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Grahovac v. Hartfiel, [2015] B.C.J. No. 1494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May 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M055147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1494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1142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Borislav Grahovac, Plaintiff, and Morgan K. Hartfiel and Susan Klinkhamer,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Civil litigation — Civil procedure — Trials — Jury trials — Application by the plaintiff Grahovac for the trial to be heard without a jury and for witnesses living in Europe to be called to testify by videoconference allowed in part — Three actions were ordered tried together — The actions related to three motor vehicle accidents which Grahovac claimed caused him personal injuries — Grahovac failed to meet the onus he was required to meet in order to take away the defendants' fundamental right to have a civil trial by jury — However, it would not be contrary to fundamental justice to allow the European witnesses to testify by videoconference.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evidence — Witnesses — Testimony by video or telephone conference — Application by the plaintiff Grahovac for the trial to be heard without a jury and for witnesses living in Europe to be called to testify by videoconference allowed in part — Three actions were ordered tried together — The actions related to three motor vehicle accidents which Grahovac claimed caused him personal injuries — Grahovac failed to meet the onus he was required to meet in order to take away the defendants' fundamental right to have a civil trial by jury — However, it would not be contrary to fundamental justice to allow the European witnesses to testify by videoconference.</w:t>
      </w:r>
    </w:p>
    <w:p>
      <w:pPr>
        <w:jc w:val="both"/>
        <w:rPr>
          <w:rFonts w:ascii="arial" w:eastAsia="arial" w:hAnsi="arial" w:cs="arial"/>
          <w:sz w:val="20"/>
          <w:lang w:val="en-US" w:eastAsia="en-US" w:bidi="ar-SA"/>
        </w:rPr>
      </w:pPr>
      <w:bookmarkStart w:id="1" w:name="Legislation Cited"/>
      <w:bookmarkEnd w:id="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Act, </w:t>
      </w:r>
      <w:hyperlink r:id="rId11" w:history="1">
        <w:r>
          <w:rPr>
            <w:rFonts w:ascii="arial" w:eastAsia="arial" w:hAnsi="arial" w:cs="arial"/>
            <w:i/>
            <w:color w:val="0077CC"/>
            <w:sz w:val="20"/>
            <w:u w:val="single"/>
            <w:shd w:val="clear" w:color="auto" w:fill="FFFFFF"/>
            <w:lang w:val="en-US" w:eastAsia="en-US" w:bidi="ar-SA"/>
          </w:rPr>
          <w:t>RSBC 1996, CHAPTER 124, s. 73</w:t>
        </w:r>
      </w:hyperlink>
      <w:r>
        <w:rPr>
          <w:rFonts w:ascii="arial" w:eastAsia="arial" w:hAnsi="arial" w:cs="arial"/>
          <w:color w:val="000000"/>
          <w:sz w:val="20"/>
          <w:lang w:val="en-US" w:eastAsia="en-US" w:bidi="ar-SA"/>
        </w:rPr>
        <w:t>(2), s. 73(3), s. 73(6), s. 73(7)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7-8</w:t>
      </w:r>
      <w:r>
        <w:rPr>
          <w:rFonts w:ascii="arial" w:eastAsia="arial" w:hAnsi="arial" w:cs="arial"/>
          <w:color w:val="000000"/>
          <w:sz w:val="20"/>
          <w:lang w:val="en-US" w:eastAsia="en-US" w:bidi="ar-SA"/>
        </w:rPr>
        <w:t>(3)(d), Rule 12-6(5)(a)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 w:name="Counsel"/>
      <w:bookmarkEnd w:id="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Jeff M. Naylor.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Avon M. Mersey, QC; Eric B. Clavier.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 w:name="Judgment"/>
      <w:bookmarkEnd w:id="3"/>
      <w:r>
        <w:pict>
          <v:line id="_x0000_s1028" style="position:absolute;z-index:2518118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 w:name="S.A. GRIFFIN J. (orally)"/>
            <w:bookmarkEnd w:id="4"/>
            <w:r>
              <w:rPr>
                <w:rFonts w:ascii="arial" w:eastAsia="arial" w:hAnsi="arial" w:cs="arial"/>
                <w:b/>
                <w:color w:val="000000"/>
                <w:sz w:val="30"/>
                <w:lang w:val="en-US" w:eastAsia="en-US" w:bidi="ar-SA"/>
              </w:rPr>
              <w:t>S.A. GRIFFIN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has brought two applications in this case where three actions have been ordered tried together. The three actions relate to three motor vehicle accidents which the plaintiff claims caused him personal injuries. The accidents occurred on February 5, 2004, Action Number M055147; December 4, 2004, Action Number M060492; and May 19, 2006, Action Number M071046.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background is that the plaintiff emigrated from the former Yugoslavia to Canada prior to the accidents. He claims that at the time of the February 5, 2004, accident, he was intending to move back to his country of origin to seek employment as a law professor and businessman. His wage loss claim or loss of earning capacity claim arises from alleged delays in realizing these plans and an ongoing diminished earning capacity. He did become a law professor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two applications are: first, for an order that the trial be heard without a jury; and second, for an order that five witnesses who live in Europe, all relating to the plaintiff's loss of earning capacity claim, be called by the plaintiff to testify by videoconference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applications are opposed by counsel for all defendants, except the defendant Mr. Perez. Counsel for the defendant Perez, who is a defendant in Action Number M071046, has not appeared on these applications, stating he takes no position on the application to set aside the jury notice, but opposes the application regarding the witnesses testifying by videoconference.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ease of reference, I will refer to the defendants who appeared in opposition to this application as "the defendants", meant to exclude Mr. Perez.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trial is set to begin May 25, 2015, and is set for 15 days. No party has submitted that the trial cannot be completed in the time allotted; however, the parties assume in part that a trial judge will be assigned early and could hear and determine motions regarding the admissibility of expert opinion evidence in advance of the start of trial. I am not sure this scheduling will be possible this close to trial. Also, in my view, the parties underestimate the impact of using interpreters at trial for several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consulting with the parties and Supreme Court Scheduling at the close of the parties' submissions, I made a direction extending the trial for an additional five days. This, in my view, will provide a cushion, should the trial take longer than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Given the close proximity of trial, there is urgency to decide these applications. I have had the benefit of helpful submissions and motion materials, which I have read and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legal principles set out in the notice of applications and the application responses are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My reasons for judgment will, of necessity, be quite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for Trial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the governing rule for the first application is R. 12-6(5)(a) which provides: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in cases of defamation, false imprisonment and malicious prosecution, a party on whom a notice under subrule (3) has been served may apply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7 days after service for an order that the trial or part of it be heard by the court without a jury on the ground that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that cannot be made conveniently with a jury,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extra time and cost involved in requiring that the trial be heard by the court with a jury would be disproportionate to the amount involved in the action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reference to subrule (3) is to service of the notice requiring a trial by jury. The parties did not raise any issue before me regarding the timing of the present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also no argument that a jury trial would be disproportionate to the amount involved in the action. The plaintiff is advancing a claim for loss of earning capacity of close to $3 million prior to discounting.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Personal injury claims are often tried by jury, even those involving complex medical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background facts are that the plaintiff was in three separate car accidents, each of which involved his vehicle being rear-ended. All of the defendants but Mr. Perez are connected to the vehicles which collided with the rear of the plaintiff's vehicle. Mr. Perez was driving a vehicle which collided with the rear of another vehicle, which then hit the rear of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say that the medical evidence indicates that the plaintiff's injuries from the first accident had resolved by the time of the second accident. The plaintiff says that there will be evidence that the first accident made him more vulnerable to the injuries subsequently incurred, and the implications of this will need to be addressed in any jury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nature of the injuries, which are soft-tissue injuries, are similar in relation to all three accidents. There will be a contest at trial as to whether or not the injuries are divisible as between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As for liability, the defendants pleaded that the plaintiff was contributorily negligent. On questioning from the Court, these defendants have conceded that they will not contend at trial that there is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is not a concession made on behalf of Mr. Perez, and I am not aware of whether he pleads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even if he does plead it, it is difficult to believe this will actually be a serious issue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concedes that while there are some medical issues in the case, there is likely to be less evidence of a scientific and medical nature than is seen in some other cases where plaintiffs' applications to set aside jury notices have been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defendants emphasize two such cases where the expert evidence and issues were much more extensive than the present case, but the right to a jury trial was upheld: </w:t>
      </w:r>
      <w:r>
        <w:rPr>
          <w:rFonts w:ascii="arial" w:eastAsia="arial" w:hAnsi="arial" w:cs="arial"/>
          <w:i/>
          <w:color w:val="000000"/>
          <w:sz w:val="20"/>
          <w:lang w:val="en-US" w:eastAsia="en-US" w:bidi="ar-SA"/>
        </w:rPr>
        <w:t>Cliff v. Dahl</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2012 BCSC 276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Rados v. Pannu</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2015 BCSC 453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Rados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However, the plaintiff argues that because these actions involve three car accidents spanning a long time period, the factual and legal issues of causation and apportionment will be so complex that they cannot be conveniently determined by a jury. On the pleadings and evidence, the issues include: whether the plaintiff's injuries in each accident are divisible; whether one accident was an intervening cause of the plaintiff's injuries; to what extent the "thin-skull" rule applies; and apportionment of damages as between the various defendants in relation to the three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points out that in a parallel set of actions in which this plaintiff's wife was a plaintiff, Abrioux J. granted the wife's application to have the action tried without a jury: see </w:t>
      </w:r>
      <w:r>
        <w:rPr>
          <w:rFonts w:ascii="arial" w:eastAsia="arial" w:hAnsi="arial" w:cs="arial"/>
          <w:i/>
          <w:color w:val="000000"/>
          <w:sz w:val="20"/>
          <w:lang w:val="en-US" w:eastAsia="en-US" w:bidi="ar-SA"/>
        </w:rPr>
        <w:t>Grahovac v. Hartfiel</w:t>
      </w:r>
      <w:r>
        <w:rPr>
          <w:rFonts w:ascii="arial" w:eastAsia="arial" w:hAnsi="arial" w:cs="arial"/>
          <w:color w:val="000000"/>
          <w:sz w:val="20"/>
          <w:lang w:val="en-US" w:eastAsia="en-US" w:bidi="ar-SA"/>
        </w:rPr>
        <w:t>, (2 August 2014), Vancouver M055151 (B.C.S.C.) [</w:t>
      </w:r>
      <w:r>
        <w:rPr>
          <w:rFonts w:ascii="arial" w:eastAsia="arial" w:hAnsi="arial" w:cs="arial"/>
          <w:i/>
          <w:color w:val="000000"/>
          <w:sz w:val="20"/>
          <w:lang w:val="en-US" w:eastAsia="en-US" w:bidi="ar-SA"/>
        </w:rPr>
        <w:t>Grahovac v. Hartfiel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Grahovac was in the same three accidents as was the plaintiff herein. However, she was in three other relevant car accidents as well, one on May 2, 2011, one on January 27, 2012, for which she had started actions in relation to her injuries, and another one on March 1, 2009, in which she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After reviewing the applicable legal principles, at paras. 19-22 of </w:t>
      </w:r>
      <w:r>
        <w:rPr>
          <w:rFonts w:ascii="arial" w:eastAsia="arial" w:hAnsi="arial" w:cs="arial"/>
          <w:i/>
          <w:color w:val="000000"/>
          <w:sz w:val="20"/>
          <w:lang w:val="en-US" w:eastAsia="en-US" w:bidi="ar-SA"/>
        </w:rPr>
        <w:t>Grahovac v. Hartfiel,</w:t>
      </w:r>
      <w:r>
        <w:rPr>
          <w:rFonts w:ascii="arial" w:eastAsia="arial" w:hAnsi="arial" w:cs="arial"/>
          <w:color w:val="000000"/>
          <w:sz w:val="20"/>
          <w:lang w:val="en-US" w:eastAsia="en-US" w:bidi="ar-SA"/>
        </w:rPr>
        <w:t xml:space="preserve"> Abrioux J. adopted the reasoning of Loo J. in </w:t>
      </w:r>
      <w:r>
        <w:rPr>
          <w:rFonts w:ascii="arial" w:eastAsia="arial" w:hAnsi="arial" w:cs="arial"/>
          <w:i/>
          <w:color w:val="000000"/>
          <w:sz w:val="20"/>
          <w:lang w:val="en-US" w:eastAsia="en-US" w:bidi="ar-SA"/>
        </w:rPr>
        <w:t>Pajger v. Williams</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2003 BCSC 1542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Pajger</w:t>
      </w:r>
      <w:r>
        <w:rPr>
          <w:rFonts w:ascii="arial" w:eastAsia="arial" w:hAnsi="arial" w:cs="arial"/>
          <w:color w:val="000000"/>
          <w:sz w:val="20"/>
          <w:lang w:val="en-US" w:eastAsia="en-US" w:bidi="ar-SA"/>
        </w:rPr>
        <w:t>] at paras. 9-11, and set aside the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case of </w:t>
      </w:r>
      <w:r>
        <w:rPr>
          <w:rFonts w:ascii="arial" w:eastAsia="arial" w:hAnsi="arial" w:cs="arial"/>
          <w:i/>
          <w:color w:val="000000"/>
          <w:sz w:val="20"/>
          <w:lang w:val="en-US" w:eastAsia="en-US" w:bidi="ar-SA"/>
        </w:rPr>
        <w:t>Pajger</w:t>
      </w:r>
      <w:r>
        <w:rPr>
          <w:rFonts w:ascii="arial" w:eastAsia="arial" w:hAnsi="arial" w:cs="arial"/>
          <w:color w:val="000000"/>
          <w:sz w:val="20"/>
          <w:lang w:val="en-US" w:eastAsia="en-US" w:bidi="ar-SA"/>
        </w:rPr>
        <w:t xml:space="preserve"> involved a plaintiff injured in three motor vehicle accidents for which he advanced claims which were to be tried together. Liability was admitted in two of the cases, but not the third. At the pre-trial conference, Loo J. noted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If that were the only issue that was to be resolved by a jury, I would agree that, although the issues require a scientific investigation, they could be dealt with by a jury. What makes this case more complicated, is that these three accidents aggravated a soft tissue injury that the plaintiff had sustained in two prior motor vehicle accidents, one in July of 1994 and the other in December of 1994. Fortunately, both counsel before me dealing with the three later accidents were counsel for the action involving the two earlier accidents, which I have been told was settled for a sum in excess of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Pajger</w:t>
      </w:r>
      <w:r>
        <w:rPr>
          <w:rFonts w:ascii="arial" w:eastAsia="arial" w:hAnsi="arial" w:cs="arial"/>
          <w:color w:val="000000"/>
          <w:sz w:val="20"/>
          <w:lang w:val="en-US" w:eastAsia="en-US" w:bidi="ar-SA"/>
        </w:rPr>
        <w:t xml:space="preserve"> also held at paras. 8-11: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Based on this brief summary, the issues to be determined at trial not only involve liability in the second accident, meaning the second of the last three accidents, but whether the plaintiff was contributorily negligent, the state of his medical and psychological condition immediately before each of the last three accidents, his financial circumstances immediately before each of the last three accidents, and his current medical, psychological and financial status. The plaintiff is a plumber in a family-run business. Unlike a regularly employed person, his earnings fluctuate, and this makes the issue of financial loss all the more difficult.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cause of the plaintiff's present medical and psychological condition requires resolution of a number of issues, including what injuries he sustained in the first accident, that is the first of the last three accidents, to what extent the first accident aggravated the injuries he sustained in the 1994 accidents, what injuries he suffered in the second of the last three accidents, whether that accident aggravated the injuries he suffered in the first accident, or the 1994 accident, what injuries he suffered in the third of the last three accidents, and whether that last accident aggravated the earlier accidents.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Next, the trier of fact would have to determine the proper apportionment of damages payable by the various defendants in respect of each of the accidents. Moreover, the jury will need to understand and apply the thin skull rule, the crumbling skull rule, and I accept that a jury would suffer a real disadvantage compared to a judge who has more time to analyse the evidence at the end of the trial than would a jury. I simply say that this case is unlike many of the cases Mr. Burgess referred to where the judge has refused to strike a jury notice.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For these combined reasons, that is, the issues being of an intricate and complex character, and the nature of the scientific investigation, I find that the plaintiff has met the burden, and I order the notice of trial by jury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Rados</w:t>
      </w:r>
      <w:r>
        <w:rPr>
          <w:rFonts w:ascii="arial" w:eastAsia="arial" w:hAnsi="arial" w:cs="arial"/>
          <w:color w:val="000000"/>
          <w:sz w:val="20"/>
          <w:lang w:val="en-US" w:eastAsia="en-US" w:bidi="ar-SA"/>
        </w:rPr>
        <w:t>, in analyzing the appropriateness of a jury trial, Fitch J. helpfully noted that issues may be considered complex if a judge would experience difficulty in framing questions for the jury: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defendants submit that the issues in this case will not be too prolonged or difficult to be conveniently assessed by a jury. When I asked for a sample as to questions to be put to the jury at the end of the trial, the defendants' counsel prepared and read a list of fairly simple questions. Of course, the plaintiff did not have the opportunity to compare that list to the defendants' pleadings. In addition, it did not seem entirely consistent with the approach taken in R. Dean Wilson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CIVJI: Civil Jury Instructions</w:t>
      </w:r>
      <w:r>
        <w:rPr>
          <w:rFonts w:ascii="arial" w:eastAsia="arial" w:hAnsi="arial" w:cs="arial"/>
          <w:color w:val="000000"/>
          <w:sz w:val="20"/>
          <w:lang w:val="en-US" w:eastAsia="en-US" w:bidi="ar-SA"/>
        </w:rPr>
        <w:t>, loose-leaf (consulted in May 2015), 2d ed (Vancouver: Continuing Legal Education Society of British Columbia,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note that </w:t>
      </w:r>
      <w:r>
        <w:rPr>
          <w:rFonts w:ascii="arial" w:eastAsia="arial" w:hAnsi="arial" w:cs="arial"/>
          <w:i/>
          <w:color w:val="000000"/>
          <w:sz w:val="20"/>
          <w:lang w:val="en-US" w:eastAsia="en-US" w:bidi="ar-SA"/>
        </w:rPr>
        <w:t>Grahovac v. Hartfiel</w:t>
      </w:r>
      <w:r>
        <w:rPr>
          <w:rFonts w:ascii="arial" w:eastAsia="arial" w:hAnsi="arial" w:cs="arial"/>
          <w:color w:val="000000"/>
          <w:sz w:val="20"/>
          <w:lang w:val="en-US" w:eastAsia="en-US" w:bidi="ar-SA"/>
        </w:rPr>
        <w:t xml:space="preserve"> is distinguishable because there were six accidents at issue. Likewise, </w:t>
      </w:r>
      <w:r>
        <w:rPr>
          <w:rFonts w:ascii="arial" w:eastAsia="arial" w:hAnsi="arial" w:cs="arial"/>
          <w:i/>
          <w:color w:val="000000"/>
          <w:sz w:val="20"/>
          <w:lang w:val="en-US" w:eastAsia="en-US" w:bidi="ar-SA"/>
        </w:rPr>
        <w:t>Pajger</w:t>
      </w:r>
      <w:r>
        <w:rPr>
          <w:rFonts w:ascii="arial" w:eastAsia="arial" w:hAnsi="arial" w:cs="arial"/>
          <w:color w:val="000000"/>
          <w:sz w:val="20"/>
          <w:lang w:val="en-US" w:eastAsia="en-US" w:bidi="ar-SA"/>
        </w:rPr>
        <w:t xml:space="preserve"> is distinguishable because it required considering injuries caused by five accidents. Also, </w:t>
      </w:r>
      <w:r>
        <w:rPr>
          <w:rFonts w:ascii="arial" w:eastAsia="arial" w:hAnsi="arial" w:cs="arial"/>
          <w:i/>
          <w:color w:val="000000"/>
          <w:sz w:val="20"/>
          <w:lang w:val="en-US" w:eastAsia="en-US" w:bidi="ar-SA"/>
        </w:rPr>
        <w:t>Pajger</w:t>
      </w:r>
      <w:r>
        <w:rPr>
          <w:rFonts w:ascii="arial" w:eastAsia="arial" w:hAnsi="arial" w:cs="arial"/>
          <w:color w:val="000000"/>
          <w:sz w:val="20"/>
          <w:lang w:val="en-US" w:eastAsia="en-US" w:bidi="ar-SA"/>
        </w:rPr>
        <w:t xml:space="preserve"> involved active claims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one accident in which liability apparently was still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impression I have, after hearing the parties' submissions and reading the motion materials, is that the key issues in this case at trial will have to do with factual issues of whether the accidents caused the plaintiff to suffer injuries which interfered with his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have concluded that the case is not too complex. Having considered the facts and authorities, I am not persuaded that the plaintiff has met the onus he is required to meet in order to take away the defendants' fundamental right to have a civil trial by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However, I reach this conclusion with an important caveat. I have relied to some extent on the defendants' position that the questions to be put to the jury will be straightforward. While I have decided to dismiss the plaintiff's application, I have also decided to direct the defendants to provide, at the start of trial, the other parties and the trial judge with a draft list of questions the defendants submit ought to form the framework for questions to be decided by the jury, along with submissions as to how the interplay of issues as between the three accidents ought to be addressed in a jury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Further, I wish to make it clear that the trial judge will retain his or her discretion to reconsider the appropriateness of a jury trial, and I simply observe that should the submissions not be helpful at the start of the trial, that may be taken into account by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by Videoconference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now turn to the application for an order that five witnesses who reside in Europe testify by means of videoconference.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This application is based on ss. 73(2) and (3)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which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(2) A court may allow a witness to testify in a proceeding by means of closed circuit television or any other technology that allows the court, the parties and the witness to engage in simultaneous visual and oral communication, unless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parties satisfies the court that receiving the testimony in that manner would be contrary to the principles of fundamental justice, 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technology is not available for the proceeding.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party objects to the court receiving evidence in the manner described in subsection (2), the court may consider any of the following circumstances: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location and personal circumstances of the witness;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that would be incurred if the witness had to be physically present;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evidence the witness is expected to give;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circumstance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noted by the language of the statute, granting such an order is discretionary, but there is an onus on the party opposing it to satisfy the court that receiving the testimony in this manner would be contrary to the principles of fundamental justice. Also, the applicant must establish that the technology is available for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has filed evidence that identifies that the technology is available for the proceeding, and I am satisfied that this part of the test is met. However, I note that the courts do not have an abundance of videoconferencing equipment available and so, if ordered, advance arrangements will have to be made with the court technology staff for the technology to be available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Further, I note that it will be the plaintiff who will ultimately bear the risk that the videoconferencing technology may not be available at trial due to technical issues or other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are several factors weighing in favour of granting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first factor is the location of the witnesses. They all live and work in Serbia or Bosnia-Herzegovina ("Bosnia"), and it would be extremely time-consuming to bring them to Vancouver for a trial. The travel time is estimated to be approximately 13 hours, including stopovers.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 second factor requires looking at the personal circumstances of each witness. Some have other employment commitments that do not allow them to take such time away from work as would be required to attend the trial in person. Further, each would require a Canadian visa to attend trial. Two of the witnesses provided information to illustrate that their commitments are not minor. One witness says he has government duties and university lectures as a professor. Another professor says he has university lecture obligations and these run to the end of June. A third witness simply says he will be in Europe and would like to testify by video link.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for the nature of the evidence, the plaintiff at the time of the first accident was apparently living in Canada, working on a PhD in law. He alleges that it was always his plan to return to Serbia and Bosnia where he had roots, property, and a previous career. In order to prove the employment and economic opportunities in those countries which he says were lost to him due to his injuries, he must call witnesses from those countries.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Three witnesses are expected to give evidence regarding their direct knowledge of the plaintiff and employment opportunities that would have been available to him in Serbia or Bosnia, had he been healthy.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fourth and fifth witnesses are economists and financial consultants retained by counsel for the plaintiff to provide opinion evidence relating to an economic opportunity the plaintiff alleges was lost to him due to his injuries. This apparently relates to the potential conversion of his home in Mostar, Bosnia, to a hotel. These two expert witnesses say that they have too many other professional commitments to be able to attend in person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must say that the evidence of all of these witnesses as to their inability to travel to Vancouver for trial was somewhat thin. I will concede that one of the problems may be that there are interpretation issues which impede the ease of communication with counsel for the plaintiff. Regardless, as a matter of common sense, it would no doubt be seriously inconvenient for these witnesses to travel to Vancouver for the trial. Each witness would lose not just the one or two days required for testimony. They would each also lose two days before and at least one and perhaps two days after testifying due to the travel time between their homes and Vancouver, and the need to accommodate some flexibility in the trial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These witnesses are not in the control of the plaintiff and, based on the theory of his claim that but for his injuries he would have enjoyed economic opportunities in Serbia and Bosnia, I accept the plaintiff's submission that they are critically important to his case. I also accept the plaintiff's submission that without an order permitting the witnesses to testify by way of videoconferencing, he will not be able to call comparable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importance of the witnesses goes both ways here. It is a factor that the defendants say should weigh in favour of requiring the witnesses to attend at trial. I accept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had the option of trying to obtain an order for a deposition of the evidence of these witnesses before trial. However, it is quite likely, given the defendants' position that these witnesses should be available at trial, that the defendants would have opposed a deposition in advance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Further,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provide that on an application for an order for a deposition, the court must take into account the possibility and desirability of having the person testify at trial by videoconferencing or other electronic means: R. 7-8(3)(d). As noted by Master Bouck in </w:t>
      </w:r>
      <w:r>
        <w:rPr>
          <w:rFonts w:ascii="arial" w:eastAsia="arial" w:hAnsi="arial" w:cs="arial"/>
          <w:i/>
          <w:color w:val="000000"/>
          <w:sz w:val="20"/>
          <w:lang w:val="en-US" w:eastAsia="en-US" w:bidi="ar-SA"/>
        </w:rPr>
        <w:t>Campbell v. McDougall</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2011 BCSC 1242</w:t>
        </w:r>
      </w:hyperlink>
      <w:r>
        <w:rPr>
          <w:rFonts w:ascii="arial" w:eastAsia="arial" w:hAnsi="arial" w:cs="arial"/>
          <w:color w:val="000000"/>
          <w:sz w:val="20"/>
          <w:lang w:val="en-US" w:eastAsia="en-US" w:bidi="ar-SA"/>
        </w:rPr>
        <w:t xml:space="preserve"> at paras. 47-48, this is a relatively new addition to the depositions rule which takes into account the benefits of modern technology.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Another factor I must consider is the cost of getting these witnesses here, which would be a significant cost, given that they will be travelling from Europe.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defendants point out that the cost of videoconferencing is also great, as it will have to take place outside what would be normal business hours in the locations of the witnesses. It may be that the videoconferencing cost would exceed the cost of bringing the witnesses here by economy fare flights.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take the defendants' point, but in my view it is not fair to require a witness to fly in economy class for such a long flight. These witnesses would not be travelling for a holiday. The most inexpensive business class fare would be appropriate to allow the witnesses room to stretch out, to sleep, and to do work over the many hours of the flight. On top of the cost of airfare would be hotel accommodation and food, and any other fees charged by these witnesses for the lost time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am satisfied that reasonable travel costs and costs for the witnesses' time would exceed the cost of videoconferencing. However, in my view, costs are not the most important factor; it really is the inconvenience to the witnesses in having to take so much time to come to Vancouver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are other circumstances that are relevant as well. The defendants are challenging the admissibility of the evidence being called from these witnesses. The trial judge will be required to make rulings at trial regarding the admissibility of the evidence. When a trial proceeds with a jury, there can be interruptions in the evidence while submissions and then rulings are made in the absence of the jury. Clearly, if the witnesses are required to travel to Vancouver, the travel time and travel arrangements will have to be made in advance, taking into account the possibility there could be delays in the trial and not knowing the result of any ruling by the trial judge regarding admissibility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is a risk in this situation not only that a witness who has travelled a long distance could be greatly inconvenienced, but also that considerable costs could be thrown away. Counsel for the plaintiff has inquired about travel insurance, but has been informed that none is available to cover the cost of a cancelled flight due to court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say that they strongly challenge the evidence that these witnesses are expected to give, and indeed they will challenge the credibility of the three witnesses who know the plaintiff. They submit that it is important for the witnesses to be in the courtroom, given that their evidence is so highly contentious. As already noted, it is expected that these witnesses will be used to support the plaintiff's large claim for damages for loss of earning capacity. The defendants say that it will be difficult to effectively cross-examine the witnesses by videoconference because of the need to put documents to them, and because of the need for an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accept that cross-examination by videoconference may have somewhat less of an impact than cross-examination in the courtroom, but I do not accept it will have a significant impact on the jury's ability to assess the evidence in this case. While the defendants argue that the credibility of the witnesses will be challenged and that eye contact is important to do so, in the context of the nature of the evidence, I think it is more likely that the reliability of their evidence will be challenged and this will turn more on the content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Notably, the fact that an interpreter would have to be used with these witnesses, in any event, means that the pace of cross-examination and ability for eye contact when questioning the witness was already going to be hindered, even if the witnesses testified while present in the courtroom.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for an interpreter, the plaintiff's plan is to have an interpreter present in the courtroom in Vancouver, rather than with the witness in Europe. This makes the most sense to me, as the interpreter will then be under this Court's 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assures the Court that arrangements can be made in advance for documents to be provided to the witnesses. The defendants have not provided me with any details of the documents that might be involved in the testimony, other than perhaps the witnesses' own reports. I am satisfied that if counsel work together, the documents that are going to be relevant can be provided to the witnesses in advance and can be organized so that agreement is reached that what is seen by a witness is a true copy of an exhibit in the courtroom. Whether what is provided is a hard copy or an electronic image accessible in real time by computer, I will leave for counsel to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It is my view that any risk to the defendants that their examination of the witnesses will be hampered if done by videoconference is at least equalled by the risk to the plaintiff that the evidence will not be as helpful to him as it might be if the witnesses were in court. It surely has to be the case that, all things being equal, the plaintiff would prefer to have his witnesses in court. If in court, the witnesses would have the opportunity to look directly at the jury and there would then be a greater chance that the sincerity of the evidence would resonate with the jury. This was the point made by plaintiff's counsel referring to eye contact in </w:t>
      </w:r>
      <w:r>
        <w:rPr>
          <w:rFonts w:ascii="arial" w:eastAsia="arial" w:hAnsi="arial" w:cs="arial"/>
          <w:i/>
          <w:color w:val="000000"/>
          <w:sz w:val="20"/>
          <w:lang w:val="en-US" w:eastAsia="en-US" w:bidi="ar-SA"/>
        </w:rPr>
        <w:t>Miley v. Abulaban</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2014 BCSC 1905</w:t>
        </w:r>
      </w:hyperlink>
      <w:r>
        <w:rPr>
          <w:rFonts w:ascii="arial" w:eastAsia="arial" w:hAnsi="arial" w:cs="arial"/>
          <w:color w:val="000000"/>
          <w:sz w:val="20"/>
          <w:lang w:val="en-US" w:eastAsia="en-US" w:bidi="ar-SA"/>
        </w:rPr>
        <w:t xml:space="preserve"> at para. 16. Counsel for the defendants quite fairly conceded this point in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But again, as I have already stated, in this case the plaintiff appears to have no choice, given that the witnesses have indicated that they will not voluntarily travel to Canada for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Of course, a witness does not dictate to the court whether or not they will be allowed to testify by videoconferencing. Nevertheless, when a procedure exists under the law to accommodate witnesses who live a long distance away from the trial, and this evidence will not be otherwise available to the plaintiff, it would seem to me consistent with the principles of fundamental justice to attempt to accommodate 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Slaughter v. Sluys</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2010 BCSC 1576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Slaughter</w:t>
      </w:r>
      <w:r>
        <w:rPr>
          <w:rFonts w:ascii="arial" w:eastAsia="arial" w:hAnsi="arial" w:cs="arial"/>
          <w:color w:val="000000"/>
          <w:sz w:val="20"/>
          <w:lang w:val="en-US" w:eastAsia="en-US" w:bidi="ar-SA"/>
        </w:rPr>
        <w:t>], Beames J. allowed an application to have seven lay witnesses and four expert witnesses testify at trial by videoconferencing. The estimated time at trial to be taken up by these witnesses was approximately four days. The Court noted that credibility could still be assessed when a witness testifies by videoconference: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Here, the estimated time of the witnesses' evidence might be as much as five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defendants point out that in </w:t>
      </w:r>
      <w:r>
        <w:rPr>
          <w:rFonts w:ascii="arial" w:eastAsia="arial" w:hAnsi="arial" w:cs="arial"/>
          <w:i/>
          <w:color w:val="000000"/>
          <w:sz w:val="20"/>
          <w:lang w:val="en-US" w:eastAsia="en-US" w:bidi="ar-SA"/>
        </w:rPr>
        <w:t>Slaughter</w:t>
      </w:r>
      <w:r>
        <w:rPr>
          <w:rFonts w:ascii="arial" w:eastAsia="arial" w:hAnsi="arial" w:cs="arial"/>
          <w:color w:val="000000"/>
          <w:sz w:val="20"/>
          <w:lang w:val="en-US" w:eastAsia="en-US" w:bidi="ar-SA"/>
        </w:rPr>
        <w:t>, the Court did not allow some witnesses to testify by videoconference because of the possibility that their evidence would be very contentious, going to the plaintiff's most significant claim (loss of earning capacity), and because each knew the plaintiff: at para. 12. As the defendants point out, that is somewhat similar to the facts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However, the fact distinguishing this latter aspect of </w:t>
      </w:r>
      <w:r>
        <w:rPr>
          <w:rFonts w:ascii="arial" w:eastAsia="arial" w:hAnsi="arial" w:cs="arial"/>
          <w:i/>
          <w:color w:val="000000"/>
          <w:sz w:val="20"/>
          <w:lang w:val="en-US" w:eastAsia="en-US" w:bidi="ar-SA"/>
        </w:rPr>
        <w:t>Slaughter</w:t>
      </w:r>
      <w:r>
        <w:rPr>
          <w:rFonts w:ascii="arial" w:eastAsia="arial" w:hAnsi="arial" w:cs="arial"/>
          <w:color w:val="000000"/>
          <w:sz w:val="20"/>
          <w:lang w:val="en-US" w:eastAsia="en-US" w:bidi="ar-SA"/>
        </w:rPr>
        <w:t xml:space="preserve"> from the facts of the present case was the lack of any evidence in </w:t>
      </w:r>
      <w:r>
        <w:rPr>
          <w:rFonts w:ascii="arial" w:eastAsia="arial" w:hAnsi="arial" w:cs="arial"/>
          <w:i/>
          <w:color w:val="000000"/>
          <w:sz w:val="20"/>
          <w:lang w:val="en-US" w:eastAsia="en-US" w:bidi="ar-SA"/>
        </w:rPr>
        <w:t>Slaughter</w:t>
      </w:r>
      <w:r>
        <w:rPr>
          <w:rFonts w:ascii="arial" w:eastAsia="arial" w:hAnsi="arial" w:cs="arial"/>
          <w:color w:val="000000"/>
          <w:sz w:val="20"/>
          <w:lang w:val="en-US" w:eastAsia="en-US" w:bidi="ar-SA"/>
        </w:rPr>
        <w:t xml:space="preserve"> that those witnesses would be personally inconvenienced or suffer hardship as a result of testifying in person, as noted at para. 12. The witnesses would simply have to travel from Northern Ontario to Vernon, BC. Here it is obviously a much greater inconvenience to bring the witnesses from Serbia or Bosnia to Vancouver to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far greater inconvenience to the witnesses in this case also distinguishes the present circumstances from other cases relied on by the defendants, such as </w:t>
      </w:r>
      <w:r>
        <w:rPr>
          <w:rFonts w:ascii="arial" w:eastAsia="arial" w:hAnsi="arial" w:cs="arial"/>
          <w:i/>
          <w:color w:val="000000"/>
          <w:sz w:val="20"/>
          <w:lang w:val="en-US" w:eastAsia="en-US" w:bidi="ar-SA"/>
        </w:rPr>
        <w:t>Pack All Manufacturing Inc. v. Triad Plastics Inc</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(2001), 29 C.P.C. (5th) 354</w:t>
        </w:r>
      </w:hyperlink>
      <w:r>
        <w:rPr>
          <w:rFonts w:ascii="arial" w:eastAsia="arial" w:hAnsi="arial" w:cs="arial"/>
          <w:color w:val="000000"/>
          <w:sz w:val="20"/>
          <w:lang w:val="en-US" w:eastAsia="en-US" w:bidi="ar-SA"/>
        </w:rPr>
        <w:t xml:space="preserve"> (Ont. S.C.J.), and </w:t>
      </w:r>
      <w:r>
        <w:rPr>
          <w:rFonts w:ascii="arial" w:eastAsia="arial" w:hAnsi="arial" w:cs="arial"/>
          <w:i/>
          <w:color w:val="000000"/>
          <w:sz w:val="20"/>
          <w:lang w:val="en-US" w:eastAsia="en-US" w:bidi="ar-SA"/>
        </w:rPr>
        <w:t>Feeney v. Labatt</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2007 CanLII 1862</w:t>
        </w:r>
      </w:hyperlink>
      <w:r>
        <w:rPr>
          <w:rFonts w:ascii="arial" w:eastAsia="arial" w:hAnsi="arial" w:cs="arial"/>
          <w:color w:val="000000"/>
          <w:sz w:val="20"/>
          <w:lang w:val="en-US" w:eastAsia="en-US" w:bidi="ar-SA"/>
        </w:rPr>
        <w:t xml:space="preserve"> (Ont.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defendants also question whether the witnesses would be as inclined to tell the truth if testifying outside of this Court's jurisdiction. I have no reason to be concerned about that issue. Sections 73(6) and (7)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(6) The court must require evidence under subsection (2) to be given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oath in accordance with the law of British Columbia,</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oath in accordance with the law in the place in which the witness is physically present, 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another manner that demonstrates that the witness understands that he or she must tell the truth.</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witness outside of British Columbia gives evidence under subsection (2), the evidence is deemed to be given in British Columbia, and given under oath in accordance with the law of British Columbia, for the purposes of the laws relating to evidence, procedure, perjury and contempt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biggest factor affecting the compulsion of a witness to tell the truth is personal morality and a sense of duty, which is brought home to the witness by the oath to tell the truth and by the formality of the courtroom setting. These factors will still be at play when the witnesses testify by videoconferencing, although I accept that the physical distance could potentially lessen the moral suasion of the courtroom setting to some extent. Regardless, the challenge to the evidence of these witnesses, in my view, is most likely to come through in the content of the evidence as tested in cross-examination, rather than being a matter of oath-taking or demeanour.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a balancing exercise, I am not persuaded that allowing these witnesses to testify by videoconferencing will prejudice the defendants as much as not allowing them to testify would seriously prejudice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Considering all of the factors, I am not persuaded it would be contrary to fundamental justice to allow the witnesses to testify by videoconference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order that the plaintiff's application that five named witnesses testify by means of videoconferencing in the trial be granted, subject to certain conditions: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order is subject to the overriding discretion of the trial judge.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order is subject to counsel making arrangements with court staff for videoconferencing equipment to be available at the necessary time in the courtroom. It is also subject to the technical quality of the video transmission being acceptable to the trial judge.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must make advance arrangements to allow for the presentation of documents to the witnesses at trial. If the parties cannot agree on this process, they must appear at a trial management conference for directions.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witnesses' testimony by videoconferencing will be at the times and dates directed by the trial judge.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a witness testifying by video, the plaintiff must address the form of oath-taking with the witness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COUNSEL 1: I'm sorry, My Lady, what did you say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COURT: The plaintiff must address the form of oath-taking.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COUNSEL 1: Address the form,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COURT: Address the form of oath-taking with the witness, opposing counsel, and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point here is to minimize any delay and confusion when the witness is called, and to sort out any issues that the parties might have as to the proper oath in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That concludes the directions. I also want to make a couple of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make a recommendation that the plaintiff make best efforts to do a test run with the videoconferencing provider to check the technology and the setup of the camera, taking into account that there will be an interpreter, prior to the first videoconferencing witness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Counsel, I am not sure how you do that. It could be helpful to have someone from each side come here the morning of or late one day during the trial to do it. I am not sure how far in advance you can do it with the use of the court equipment, but I will let you try to figure that out. I also do not know what the person on the other side will see: will they have a screen with two divisions or three divisions, for example. But I want you to try to work that out together so that there is some agreement. I want to avoid any excessive delays during the trial due to technology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will simply ask the defendants' counsel to do their best to cooperate with the plaintiff in that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COURT: All right,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COUNSEL: I guess the issue of costs should come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COURT: Yes, in my view costs should just be in the cause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COUNSEL: For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
          <w:headerReference w:type="default" r:id="rId21"/>
          <w:footerReference w:type="even" r:id="rId22"/>
          <w:footerReference w:type="default" r:id="rId23"/>
          <w:headerReference w:type="first" r:id="rId24"/>
          <w:footerReference w:type="first" r:id="rId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 w:history="1">
        <w:r>
          <w:rPr>
            <w:rFonts w:ascii="arial" w:eastAsia="arial" w:hAnsi="arial" w:cs="arial"/>
            <w:b/>
            <w:bCs/>
            <w:i/>
            <w:color w:val="0077CC"/>
            <w:kern w:val="32"/>
            <w:sz w:val="28"/>
            <w:szCs w:val="32"/>
            <w:u w:val="single"/>
            <w:shd w:val="clear" w:color="auto" w:fill="FFFFFF"/>
            <w:lang w:val="en-US" w:eastAsia="en-US" w:bidi="ar-SA"/>
          </w:rPr>
          <w:t>Great White North Bar &amp; Grill Inc. v. Tompkins, [2010] B.C.J. No. 2173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J.R. Dillon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26-28,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S087301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2173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1572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194 A.C.W.S. (3d) 684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2978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Great White North Bar &amp; Grill Inc., Plaintiff, and Ronald Keith Tompkins,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 w:name="Keywords_0"/>
      <w:bookmarkEnd w:id="5"/>
      <w:r>
        <w:rPr>
          <w:rFonts w:ascii="arial" w:eastAsia="arial" w:hAnsi="arial" w:cs="arial"/>
          <w:b/>
          <w:color w:val="000000"/>
          <w:sz w:val="20"/>
          <w:lang w:val="en-US" w:eastAsia="en-US" w:bidi="ar-SA"/>
        </w:rPr>
        <w:t>Damages — For torts — Affecting property — Trespass — Action for trespass damages allowed in part — Defendant entered plaintiffs' land and cut down 11 trees — Plaintiff corporation operated a restaurant on land where principals also lived — Defendant lived next door and decided to cut down trees to create surprise view for ill wife — On defendant's own evidence, plaintiffs never gave permission with knowledge trees were on their property — Trespass was careless but not intentional — Damage minimal and did not decease property value — Plaintiff corporation could not suffer loss of amenities — $1,000 general damages awarded plus damages restoration costs for total of $11,504.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land — Conduct constituting trespass — Action for trespass damages allowed in part — Defendant entered plaintiffs' land and cut down 11 trees — Plaintiff corporation operated a restaurant on land where principals also lived — Defendant lived next door and decided to cut down trees to create surprise view for ill wife — On defendant's own evidence, plaintiffs never gave permission with knowledge trees were on their property — Trespass was careless but not intentional — Damage minimal and did not decease property value — Plaintiff corporation could not suffer loss of amenities — $1,000 general damages awarded plus damages restoration costs for total of $11,504.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 w:name="Case Summary"/>
            <w:bookmarkEnd w:id="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trespass. The plaintiff corporation operated a restaurant on the lands in question, upon which the principals also resided. The defendant owned the land adjacent to the plaintiffs' lands. The defendant entered the plaintiffs' lands and cut down 11 trees but claimed he had express or implied permission. The defendant decided to cut down the trees to create a better view to surprise his cancer-stricken wife. The defendant claimed he believed the trees were on the property of the plaintiffs' other neighbour and those owners gave him permission. The defendant also testified that the plaintiffs heard him cutting and the male principal spoke with him and was quite enthusiastic about his cutting plans. The parties were unsure at first whom the land with the trees belonged to, but he plaintiffs denied ever giving the defendant permission to cut. There was no evidence that the cutting lowered the plaintiffs' property value. The plaintiffs had retained the value of the logs. The plaintiffs were unhappy with the loss of privacy and remaining stumps.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 w:name="Holdings of Court"/>
            <w:bookmarkEnd w:id="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clearly denied giving the defendant permission to cut down the trees. Even on the defendant's evidence, the plaintiffs never gave permission with the knowledge the trees were on their property. The defendant's evidence about conversations with the plaintiffs was confused and inconsistent. It was apparent the defendant was so keen to move forward with his plans to clear the trees that he did not really listen to anyone. Trespass had been established. The trespass was careless but not intentional. The damage to the plaintiffs' property was minimal. The area where the trees were cut was small, swampy area that was not generally accessible. The plaintiffs did not establish any loss of value. By its nature, the plaintiff corporation, which owned the land, could not suffer a loss of amenities. General damages of $1,000 were awarded to deter similar conduct. The plaintiffs were also entitled to special damages based on the estimate of restoration costs. The plaintiffs were awarded a total of $11,504.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 w:name="Legislation Cited_0"/>
      <w:bookmarkEnd w:id="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Rules, Rule 14-1(10)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 w:name="Counsel_0"/>
      <w:bookmarkEnd w:id="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 Spence.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R.A. Lundberg.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 w:name="Judgment_0"/>
      <w:bookmarkEnd w:id="10"/>
      <w:r>
        <w:pict>
          <v:line id="_x0000_s1033"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 w:name="J.R. DILLON J."/>
            <w:bookmarkEnd w:id="11"/>
            <w:r>
              <w:rPr>
                <w:rFonts w:ascii="arial" w:eastAsia="arial" w:hAnsi="arial" w:cs="arial"/>
                <w:b/>
                <w:color w:val="000000"/>
                <w:sz w:val="30"/>
                <w:lang w:val="en-US" w:eastAsia="en-US" w:bidi="ar-SA"/>
              </w:rPr>
              <w:t>J.R. DILLON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from the defendant for trespass to its lands located at 3249 and 3251 Weird Woods Frontage, Revelstoke, British Columbia, because the defendant entered upon the lands without permission and cut down eleven trees. The defendant says that he had the express or implied permission of the plaintiff to do so through its principal, Jason Worby ("Jason"). Further, the defendant says that he also sought permission of an adjacent owner whom he also believed held rights over the property and that any trespass was inadvertent.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are neighbours on a road that fronts the Trans-Canada Highway in Revelstoke. The plaintiff company ("Great White") operates a restaurant located at the roadside of its L-shaped, 3-acre property and the two principals of the company, Jason and his wife, Natasha Worby ("Tasha"), live in a residence behind the restaurant near the back end of the property. They had moved to Revelstoke in June 2005 to operate the restaurant. The defendant, Ronald Tompkins ("Tompkins"), lives next door to the plaintiff's property in a house shared with his spouse, Arlene Murray ("Murray"), and his daughter, Heather Bishop ("Bishop"). He has owned that property since 1993, and lived there continuously except for a period from 1998-2003. The Tompkins property adjoins the plaintiff's property on its east side. The plaintiff's property is surrounded on all other sides by a property owned by a family called "Yuros".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Tompkins testified that in early May 2008, he decided to surprise his cancer stricken spouse, Murray, with a view of the nearby hill by cutting down certain trees in the heavily wooded area near to their house. He knew that the trees were not on his property. Although the statement of defence states that the defendant knew at all times that the property belonged to the plaintiff, he resiled from this position at trial. He testified that he had a rough sketch, not produced, which showed that the property might belong to somebody else. He denied that it showed the Great White property and his property adjoining. He testified that he spoke with a mechanic in town to locate the other person and eventually talked with Yuros. Tompkins testified that Yuros did not know if this was his property, but told him that he could cut down a dozen trees. Tompkins assumed that there was an easement or something between the two properties, but did not undertake further investigation. He testified that he had permission from Yuros to take down trees. He testified that he had been talking with Jason over the course of three weeks to get him to determine where his property line was. However, Jason denied that any conversation occurred during this period and no specifics were mentioned in his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Tompkins and the Worbys were friendly until June 3, 2008. On that day, Tasha testified that the restaurant had been closed while they were doing renovations. She, Jason and other workers were enjoying a break on the porch of their house when she heard chainsaws and saw trees coming down in the wooded area nearby her house. She did not think that the trees were on her property. She carried on with her work. She denied that the cut had occurred after Tompkins had spoken with Jason. She denied that she ever saw red tape markings on any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Jason confirmed that they were having lunch with the renovation workers when he heard cutting. He had no conversation with Tompkins about cutting trees prior to this, except for a conversation about "widow maker trees" and Tompkins' suggestion that those particular trees should come down because they were a hazard to the hydro lines. He testified that Tompkins never asked him for permission to cut any trees prior to the first trees coming down on June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Jason said that he went over to the Tompkins house when he heard the cutting. There were already trees down. He said that they had a lengthy conversation during which Tompkins pointed out a cottonwood tree that he thought should be taken down. He wanted to cut the trees for his cancer stricken spouse who had just returned from the hospital to provide a view to enjoy while she rested outside. Both Tompkins and Jason knew that the trees were not on Tompkins' property. However, Jason was not really sure whose property the trees were on and said that he should have a survey done. Jason said that Tompkins asked his permission to cut more trees but he told Tompkins that he wanted no more trees cut. He said that Tompkins did not tell him that he needed permission from him and from Yuros to cut the trees and denied that there was any mention of permission from Yuros. There was discussion about cutting down a cottonwood tree. While on Tompkins' property, Jason said that another neighbour, Raphael Baras ("Baras"), approached. Jason pointed out the down trees to him and asked whether he might be available for tree removal at a later date. There was discussion about removing the trees at 16 foot lengths but no dates were set. Jason explained that he did not want to get involved in trees that might not be his and no specific arrangements were made. He denied that he had any plans for the cut lumber, that he discussed bucking up wood for firewood, or that he offered to build a gazebo from the lumber for Murray's comfort. He testified that he simply could not afford to do so and did not have the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Tompkins said that there were no trees cut down when Jason came over to his house on June 3. This was confirmed by Bishop, the defendant's daughter, who said that the first trees came down after Jason had come over. However, there was no other reason given for Jason to have come over then. Specifically, it was not suggested that he went over to visit Tompkins' cancer stricken spouse. Tompkins first mentioned Murray's condition to Jason in conversation that day, at which point Jason was overcome with emotion. Tompkins said that he told Jason of his plan to take down trees for his view and that Yuros had agreed. He testified that Jason was enthusiastic for the plan. Tompkins said that he sought Jason's permission to cut the trees as a neighbourly thing, not because he thought that the trees were on Great White's property. He said that he thought that the trees were on Yuros property. Tompkins went into the house to get red tape to select the trees and testified that Jason went to the edge of the property. He testified that the two walked into the ribboned off area where Jason pointed out his property line, about 75 feet from the Tompkins' property line. Jason said "OK buddy, get'er done". Murray was present and confirmed that Jason said this. At another time, he said that he and Jason selected the trees together, taking 45 minutes to do so. On direct examination, Bishop also said that the two went into the woods to mark trees. However, on cross-examination, she recalled only that Tompkins came into the house to get the tape. Tompkins said that Jason wanted to take even more trees down to use for a balcony at the restaurant and to build a gazebo for Murray. He said that Jason specified that he would use the cottonwood for decking on the balcony, the cedar for siding, the birch as firewood, and the spruce to be cut into lumber by Baras. All of this was denied by Jason who had no plans for a balcony or for anything else that required an expenditure while the renovations were underway. Tompkins said that he cut trees only after his conversation with Jason. He also said that he remained under the impression that the property belonged to Yuros.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No red tape or ribboned area can be identified in the pictures of the fallen trees taken shortly afterwards. Also, Jason testified that Tompkins left the red tape at the restaurant sometime. It was not suggested to Jason or to Tasha in cross-examination that, on June 3, Jason had tromped into the woods with Tompkins for 45 minutes to select certain trees for cutting as testified by Tompkins. It is not consistent with the Worbys' working plans for the renovation of the restaurant that Jason would have taken that long to do so 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Tompkins was cutting more trees down on June 4 when he noticed "widow makers" near a power line that Tompkins testified he was surprised to see there. He testified that he was concerned for safety reasons and immediately went over to the restaurant to discuss the matter with Jason. He denied that he went there because he knew that they were on Great White property. Jason was not there, but Tompkins had a conversation with Tasha. Tasha testified that Tompkins told her that there were "widow maker" trees that should come down on the property as they overhung an electrical line and asked her permission to cut them. Tasha did not know whose property the trees were on and told Tompkins so. She also said that she did not want any more trees to come down. She said that Murray was nearby in the parking lot during the conversation. Murray testified that Tasha said: "It's all good, they are not on our property". However, she was quite some distance away. Tasha denied that she said this. Tompkins testified that he asked Tasha to tell Jason to see him about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Tompkins said that Jason came over after his conversation with Tasha and that they walked together to the widow makers. Jason agreed that they had to come down. Tompkins said that he then continued cutting. However, he did not cut the widow makers. Jason denied that he had any conversation with Tompkins that day or that he viewed the widow makers. Tompkins also said that this was the day that Baras came over by himself to discuss how he was to move the logs.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More trees came down. Tompkins said that Jason came over again the following day, June 5, and said that it was "good news" that the trees were coming down because he could use the wood for the balcony at the restaurant. He also told Tompkins that he had a faller in mind for the cottonwood, a carpenter working on the renovations. Tompkins said that he had an extra chainsaw that this fellow could use if his chainsaw got pinched. Tompkins said that Baras also came over to the site on June 5 for more discussions about how the logs were to be used and Jason said that he and Baras were going to exchange lumber for Baras' services in removal of the logs. Tompkins said that he then overheard Jason talking with the carpenter and went over to the restaurant to talk to him. He said that he asked the carpenter when he was going to take down the cottonwood. Tasha testified that she saw Tompkins next at the restaurant when he was speaking with this particular worker, but Jason was not there. Tompkins held up his hand so that she did not interrupt and they did not speak. Jason said that he did not have a conversation with Tompkins or Baras on that day, that he did not go to the site of the falling on that day, and that he made no arrangement with Baras with respect to the logs.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Tompkins said that Jason came over again on June 6 and surprisingly said that he did not want a divorce or to lose his house, "trust me". Jason recalled that he told Tompkins to stop cutting and said that he may have said that he did not want a divorce to show his conviction. However, he said that the conversation occurred on his property when Tompkins came over, as he had several times during these days. He could not recall specifically when he may have said this. Tompkins said that he could not figure out what was going on, but knew that something had changed. It was no longer a happy scene. In any event, it was clear to Tompkins at least by June 6 that there was no permission from Great White to cut any trees. Nonetheless, he remained steadfast in his approach to the Worbys that Yuros owned the property and that he had Yuros permission.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the conversation with Tompkins on June 4, Tasha became concerned that the trees might be on her property whilst more came down. She secured a copy of the legal sites of the properties through the Shuswap Regional District, which indicated that the cuts were certainly on Great White's property. She called Tompkins on June 7, and left a message asking him to show her something to verify his statement that the property belonged to Yuros. She told Tompkins to stop cutting on Great White's property. Tompkins left a message in reply that he knew that it was within Yuros property line, that Yuros had told him that he could take down 9 or 10 trees from there, and that he was at 9 or 10 right now, so what was going on. Why he would have left such a message after the conversation with Jason, which he testified occurred on June 6, is mystifying.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Tasha called Tompkins back immediately and spoke with Murray. Shortly after, Tompkins phoned and told Tasha that Yuros had an easement on the property and that Yuros had allowed him to cut. He then came over to the restaurant and showed Tasha a drawing or sketch and said that it showed that Yuros had an easement that allowed him to cut there. Tasha showed the map that she had obtained from the regional district office which showed that the property belonged to Great White. Tompkins said that he did not want to mess with property owned by Great White and said that he would stop cutting until this was cleared up. Tasha was happy with this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was no cutting after this time. Baras did not come to take away the logs as Tompkins testified was the agreement. Tompkins became frustrated.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Worbys then researched the matter further and eventually had a survey taken of their property. It was from this survey that ribboning of the property lines was made. It confirmed the information received from the regional district office. It also confirmed that the cut had occurred on Great White's property. There was no easement on the property to Yuros or to anybody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cut opens a swath between the two properties such that the Tompkins' house is now visible from the Worbys' house. However, the swath is a small part of a heavily wooded natural, marshy area and the distance between the houses is still significant. Natural growth has overcome much of the unsightliness, but nasty stumps remain. There is no evidence that this has reduced the value of the property. The Worbys had not planned to remove any trees and had made no arrangements with anyone to do so. The plaintiff retained the value of the cut logs.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early July, Tasha received a message from Tompkins saying that some of the tree tips were on his property and that he intended to fill the property immediately. He wanted the trees removed before he could fill. Tasha was concerned that the defendant would place fill over the fallen trees. She phoned the defendant and left a message that he was not to place fill on top of the trees or she would get the authorities involved. Tompkins called back. Tasha testified that he was yelling and intimidating, gave her no opportunity to respond, and eventually hung up. She was frightened and called the police who intervened, speaking with both households.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Worbys did not answer further messages from Tompkins until he left a message that the logs had to be removed by Saturday or the fill would come. Prior to this, removal of the downed logs had not been a priority for the plaintiff as their time and finances were involved with renovation of the restaurant. Tasha immediately arranged to have the logs removed through an access route made onto Great White's property. When a skidder was brought in to clear the access route, Murray came out and told Tasha that she could use their property for access. Tasha declined. The logs were removed to the Great White parking lot and remained in the possession of Great 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obtained an estimate for removal of the stumps and for replanting of trees. The work has not taken place because of the cost. Tasha testified that she was concerned with the loss of privacy and thought that the stumps needed to be removed before new trees could be put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first issue is whether the defendant had permission from Great White to cut trees on its property. Based upon the evidence of Jason and Tasha, the answer is clearly no. How then to reconcile the evidence of Tompkins that both had given permission? Certainly, no permission had been given before June 3. As well, based upon Tompkins evidence, neither Tasha nor Jason ever gave permission with the knowledge that the trees were on their property. Further, Yuros did not confirm that the trees were on his property. There was no clear permission from anyone who considered the trees to be on their property. The circumstances, as described, that Tompkins wanted to surprise his spouse coming home from the hospital, that the trees were first cut on the day of her homecoming, that Jason went over while on lunch break from his restaurant renovations without knowledge about Murray's condition, that Great White had no plans to cut trees and no extra money for balconies or the like, and that Jason did not know at first if the trees were on his property, support the plaintiff's evidence that trees were cut before any conversation with Jason. The defendant was confused in his evidence about when certain conversations occurred and obviously was so keen to accomplish this clearing for his spouse that he was not listening. He was of the mind that the trees were on Yuros property at least until June 7 as indicated from his telephone message on that date, despite the averment in the statement of defence. Tompkins testified that any permission sought from Jason was just a neighbourly thing and clearly not required; however, at another point, he stated that the widow makers were on Great White property and that was why he had gone over to talk about them. The widow makers were immediately adjacent to the cut trees. He testified that there was an agreement with Baras to clear off the logs but this did not occur. On cross-examination, when his previous affidavits were put to him, Tompkins admitted that numerous statements were false and that significant mistakes were made in these sworn statements. In those, he had made absolute statements that certain events had not occurred, when in fact they had. In the end, Tompkins appeared confused and uncertain about what had occurred. He acknowledged that he was under great stress because his spouse was fighting for her life. The reliability of Murray's recollection was undermined in cross-examination by the fact that her stated ability to hear what was said on June 4 and 5 was compromised by the statements in her affidavit about how far away she was, by her acknowledgment that she could only remember bits and pieces of conversations, and by the fact that she assumed certain facts from information obtained from Tompkins and then did not differentiate assumptions from her own independent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Despite Tompkins' vigorous assertions, on balance, it cannot be concluded that either Jason or Tasha gave consent to have trees taken down on Great White property. Further, any apparent acquiescence on their part was without knowledge as to whose property the trees were on and in the face of the defendant's assertion that they were on Yuros property and that Yuros had given permission. Trespass is established. The only question is the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these cases, the court must exercise common sense and do what is fair and just in the circumstances. As stated by Melnick J. in </w:t>
      </w:r>
      <w:r>
        <w:rPr>
          <w:rFonts w:ascii="arial" w:eastAsia="arial" w:hAnsi="arial" w:cs="arial"/>
          <w:i/>
          <w:color w:val="000000"/>
          <w:sz w:val="20"/>
          <w:lang w:val="en-US" w:eastAsia="en-US" w:bidi="ar-SA"/>
        </w:rPr>
        <w:t>Bower v. Rosicky</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2000 BCSC 85</w:t>
        </w:r>
      </w:hyperlink>
      <w:r>
        <w:rPr>
          <w:rFonts w:ascii="arial" w:eastAsia="arial" w:hAnsi="arial" w:cs="arial"/>
          <w:color w:val="000000"/>
          <w:sz w:val="20"/>
          <w:lang w:val="en-US" w:eastAsia="en-US" w:bidi="ar-SA"/>
        </w:rPr>
        <w:t>, at para. 10 [</w:t>
      </w:r>
      <w:r>
        <w:rPr>
          <w:rFonts w:ascii="arial" w:eastAsia="arial" w:hAnsi="arial" w:cs="arial"/>
          <w:i/>
          <w:color w:val="000000"/>
          <w:sz w:val="20"/>
          <w:lang w:val="en-US" w:eastAsia="en-US" w:bidi="ar-SA"/>
        </w:rPr>
        <w:t>Bower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Our Court of Appeal in </w:t>
      </w:r>
      <w:r>
        <w:rPr>
          <w:rFonts w:ascii="arial" w:eastAsia="arial" w:hAnsi="arial" w:cs="arial"/>
          <w:b/>
          <w:i/>
          <w:color w:val="000000"/>
          <w:sz w:val="20"/>
          <w:lang w:val="en-US" w:eastAsia="en-US" w:bidi="ar-SA"/>
        </w:rPr>
        <w:t>Kates v. Hall</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(1991), 53 B.C.L.R. (2d) 322</w:t>
        </w:r>
      </w:hyperlink>
      <w:r>
        <w:rPr>
          <w:rFonts w:ascii="arial" w:eastAsia="arial" w:hAnsi="arial" w:cs="arial"/>
          <w:color w:val="000000"/>
          <w:sz w:val="20"/>
          <w:lang w:val="en-US" w:eastAsia="en-US" w:bidi="ar-SA"/>
        </w:rPr>
        <w:t xml:space="preserve"> at 332, affirmed that courts in cases such as this must apply common sense and do justice that is reasonable and fair in the circumstances. I note also that Mr. Justice Drost summarized the law as follows in </w:t>
      </w:r>
      <w:r>
        <w:rPr>
          <w:rFonts w:ascii="arial" w:eastAsia="arial" w:hAnsi="arial" w:cs="arial"/>
          <w:b/>
          <w:i/>
          <w:color w:val="000000"/>
          <w:sz w:val="20"/>
          <w:lang w:val="en-US" w:eastAsia="en-US" w:bidi="ar-SA"/>
        </w:rPr>
        <w:t>Bawa v. Noton</w:t>
      </w:r>
      <w:r>
        <w:rPr>
          <w:rFonts w:ascii="arial" w:eastAsia="arial" w:hAnsi="arial" w:cs="arial"/>
          <w:color w:val="000000"/>
          <w:sz w:val="20"/>
          <w:lang w:val="en-US" w:eastAsia="en-US" w:bidi="ar-SA"/>
        </w:rPr>
        <w:t xml:space="preserve"> (26 May 1994), Duncan No. 53095; </w:t>
      </w:r>
      <w:hyperlink r:id="rId29" w:history="1">
        <w:r>
          <w:rPr>
            <w:rFonts w:ascii="arial" w:eastAsia="arial" w:hAnsi="arial" w:cs="arial"/>
            <w:i/>
            <w:color w:val="0077CC"/>
            <w:sz w:val="20"/>
            <w:u w:val="single"/>
            <w:shd w:val="clear" w:color="auto" w:fill="FFFFFF"/>
            <w:lang w:val="en-US" w:eastAsia="en-US" w:bidi="ar-SA"/>
          </w:rPr>
          <w:t>[1994] B.C.J. No. 1703</w:t>
        </w:r>
      </w:hyperlink>
      <w:r>
        <w:rPr>
          <w:rFonts w:ascii="arial" w:eastAsia="arial" w:hAnsi="arial" w:cs="arial"/>
          <w:color w:val="000000"/>
          <w:sz w:val="20"/>
          <w:lang w:val="en-US" w:eastAsia="en-US" w:bidi="ar-SA"/>
        </w:rPr>
        <w:t xml:space="preserve"> (B.C.S.C.):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These decisions demonstrate that, in cases such as this, where there has been a trespass and conversion, the court must first ascertain the degree of culpability, or want of bona fides, on the part of the trespasser. Then, depending on the characterization of the trespasser's conduct, one or other of two "rules" are applied. The first, or "milder", rule applies where the trespass was accidental or inadvertent. There the plaintiffs are entitled to recover, as damages for the trespass and conversion, the realized value of the trees taken less the cost of harvesting them from the land and taking them to market. The second, or "severer" rule applies where it is determined that the trespass was wilful, and there the plaintiffs are entitled to recover the realized value of the trees taken less only the cost of taking them to market.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Shewish [</w:t>
      </w:r>
      <w:r>
        <w:rPr>
          <w:rFonts w:ascii="arial" w:eastAsia="arial" w:hAnsi="arial" w:cs="arial"/>
          <w:b/>
          <w:i/>
          <w:color w:val="000000"/>
          <w:sz w:val="20"/>
          <w:lang w:val="en-US" w:eastAsia="en-US" w:bidi="ar-SA"/>
        </w:rPr>
        <w:t>Shewish v. MacMillan Bloedel Ltd.</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(1990) 48 B.C.L.R. (2d) 290</w:t>
        </w:r>
      </w:hyperlink>
      <w:r>
        <w:rPr>
          <w:rFonts w:ascii="arial" w:eastAsia="arial" w:hAnsi="arial" w:cs="arial"/>
          <w:color w:val="000000"/>
          <w:sz w:val="20"/>
          <w:lang w:val="en-US" w:eastAsia="en-US" w:bidi="ar-SA"/>
        </w:rPr>
        <w:t xml:space="preserve"> (B.C.C.A.)] the Court of Appeal considered the "in-between" area, that which does not involve inadvertence or deliberate trespass, but rather a trespass resulting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indifference on the part of the defendant. There, Hollinrake, J.A., for the court, observed that: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the law has looked for in assessing damages in cases such as this is what I see as the degree of culpability, or want of bona fides, in the trespasser. I do not think it can be said that the law has developed to the point that it sees negligent trespass in cases such as this as necessarily attracting the severer rule for the assessment of damages. There are degrees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 think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terms of culpability and bona fides must be looked at in determining the rule to be applied to the assessment of damages in cases such as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This law was also reviewed in </w:t>
      </w:r>
      <w:r>
        <w:rPr>
          <w:rFonts w:ascii="arial" w:eastAsia="arial" w:hAnsi="arial" w:cs="arial"/>
          <w:i/>
          <w:color w:val="000000"/>
          <w:sz w:val="20"/>
          <w:lang w:val="en-US" w:eastAsia="en-US" w:bidi="ar-SA"/>
        </w:rPr>
        <w:t>Graw v. Rockwell</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2010 BCSC 1295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Graw</w:t>
      </w:r>
      <w:r>
        <w:rPr>
          <w:rFonts w:ascii="arial" w:eastAsia="arial" w:hAnsi="arial" w:cs="arial"/>
          <w:color w:val="000000"/>
          <w:sz w:val="20"/>
          <w:lang w:val="en-US" w:eastAsia="en-US" w:bidi="ar-SA"/>
        </w:rPr>
        <w:t xml:space="preserve">] where, at para. 19, the court said that it is the degree of culpability that determines the scope of damages that will be awarded when the defendant's conduct is neither entirely wilful nor purely accidental, as here. A less severe measure of damages will be applied where the trespass was careless and minimal damage was done to a property: </w:t>
      </w:r>
      <w:r>
        <w:rPr>
          <w:rFonts w:ascii="arial" w:eastAsia="arial" w:hAnsi="arial" w:cs="arial"/>
          <w:i/>
          <w:color w:val="000000"/>
          <w:sz w:val="20"/>
          <w:lang w:val="en-US" w:eastAsia="en-US" w:bidi="ar-SA"/>
        </w:rPr>
        <w:t>Bower</w:t>
      </w:r>
      <w:r>
        <w:rPr>
          <w:rFonts w:ascii="arial" w:eastAsia="arial" w:hAnsi="arial" w:cs="arial"/>
          <w:color w:val="000000"/>
          <w:sz w:val="20"/>
          <w:lang w:val="en-US" w:eastAsia="en-US" w:bidi="ar-SA"/>
        </w:rPr>
        <w:t xml:space="preserve">. The test for damages in these circumstances was described in </w:t>
      </w:r>
      <w:r>
        <w:rPr>
          <w:rFonts w:ascii="arial" w:eastAsia="arial" w:hAnsi="arial" w:cs="arial"/>
          <w:i/>
          <w:color w:val="000000"/>
          <w:sz w:val="20"/>
          <w:lang w:val="en-US" w:eastAsia="en-US" w:bidi="ar-SA"/>
        </w:rPr>
        <w:t>Graw</w:t>
      </w:r>
      <w:r>
        <w:rPr>
          <w:rFonts w:ascii="arial" w:eastAsia="arial" w:hAnsi="arial" w:cs="arial"/>
          <w:color w:val="000000"/>
          <w:sz w:val="20"/>
          <w:lang w:val="en-US" w:eastAsia="en-US" w:bidi="ar-SA"/>
        </w:rPr>
        <w:t xml:space="preserve">, as quoted from </w:t>
      </w:r>
      <w:r>
        <w:rPr>
          <w:rFonts w:ascii="arial" w:eastAsia="arial" w:hAnsi="arial" w:cs="arial"/>
          <w:i/>
          <w:color w:val="000000"/>
          <w:sz w:val="20"/>
          <w:lang w:val="en-US" w:eastAsia="en-US" w:bidi="ar-SA"/>
        </w:rPr>
        <w:t>Henderson v. Bakken</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2010 BCSC 559</w:t>
        </w:r>
      </w:hyperlink>
      <w:r>
        <w:rPr>
          <w:rFonts w:ascii="arial" w:eastAsia="arial" w:hAnsi="arial" w:cs="arial"/>
          <w:color w:val="000000"/>
          <w:sz w:val="20"/>
          <w:lang w:val="en-US" w:eastAsia="en-US" w:bidi="ar-SA"/>
        </w:rPr>
        <w:t xml:space="preserve"> as follows, at paras. 21-22: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w:t>
      </w:r>
      <w:r>
        <w:rPr>
          <w:rFonts w:ascii="arial" w:eastAsia="arial" w:hAnsi="arial" w:cs="arial"/>
          <w:i/>
          <w:color w:val="000000"/>
          <w:sz w:val="20"/>
          <w:lang w:val="en-US" w:eastAsia="en-US" w:bidi="ar-SA"/>
        </w:rPr>
        <w:t>Henderson v. Bakken</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2010 BCSC 559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Henderson</w:t>
      </w:r>
      <w:r>
        <w:rPr>
          <w:rFonts w:ascii="arial" w:eastAsia="arial" w:hAnsi="arial" w:cs="arial"/>
          <w:color w:val="000000"/>
          <w:sz w:val="20"/>
          <w:lang w:val="en-US" w:eastAsia="en-US" w:bidi="ar-SA"/>
        </w:rPr>
        <w:t xml:space="preserve">], Savage J. found the defendant had carelessly determined the incorrect boundary line and, as a consequence, trespassed on the plaintiff's property when building a horse fence. The defendant cut down 220 trees along a 400 metre stretch of the plaintiff's property. In awarding damages, Savage J. relied upon the test described in </w:t>
      </w:r>
      <w:r>
        <w:rPr>
          <w:rFonts w:ascii="arial" w:eastAsia="arial" w:hAnsi="arial" w:cs="arial"/>
          <w:i/>
          <w:color w:val="000000"/>
          <w:sz w:val="20"/>
          <w:lang w:val="en-US" w:eastAsia="en-US" w:bidi="ar-SA"/>
        </w:rPr>
        <w:t>Kates v. Hall</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[1989] B.C.J. No. 1358</w:t>
        </w:r>
      </w:hyperlink>
      <w:r>
        <w:rPr>
          <w:rFonts w:ascii="arial" w:eastAsia="arial" w:hAnsi="arial" w:cs="arial"/>
          <w:color w:val="000000"/>
          <w:sz w:val="20"/>
          <w:lang w:val="en-US" w:eastAsia="en-US" w:bidi="ar-SA"/>
        </w:rPr>
        <w:t xml:space="preserve"> (S.C.), aff'd </w:t>
      </w:r>
      <w:hyperlink r:id="rId28" w:history="1">
        <w:r>
          <w:rPr>
            <w:rFonts w:ascii="arial" w:eastAsia="arial" w:hAnsi="arial" w:cs="arial"/>
            <w:i/>
            <w:color w:val="0077CC"/>
            <w:sz w:val="20"/>
            <w:u w:val="single"/>
            <w:shd w:val="clear" w:color="auto" w:fill="FFFFFF"/>
            <w:lang w:val="en-US" w:eastAsia="en-US" w:bidi="ar-SA"/>
          </w:rPr>
          <w:t>(1991), 53 B.C.L.R. (2d) 322</w:t>
        </w:r>
      </w:hyperlink>
      <w:r>
        <w:rPr>
          <w:rFonts w:ascii="arial" w:eastAsia="arial" w:hAnsi="arial" w:cs="arial"/>
          <w:color w:val="000000"/>
          <w:sz w:val="20"/>
          <w:lang w:val="en-US" w:eastAsia="en-US" w:bidi="ar-SA"/>
        </w:rPr>
        <w:t xml:space="preserve"> (C.A.) and cited with approval the following passage from the trial judgment in </w:t>
      </w:r>
      <w:r>
        <w:rPr>
          <w:rFonts w:ascii="arial" w:eastAsia="arial" w:hAnsi="arial" w:cs="arial"/>
          <w:i/>
          <w:color w:val="000000"/>
          <w:sz w:val="20"/>
          <w:lang w:val="en-US" w:eastAsia="en-US" w:bidi="ar-SA"/>
        </w:rPr>
        <w:t>Kates</w:t>
      </w:r>
      <w:r>
        <w:rPr>
          <w:rFonts w:ascii="arial" w:eastAsia="arial" w:hAnsi="arial" w:cs="arial"/>
          <w:color w:val="000000"/>
          <w:sz w:val="20"/>
          <w:lang w:val="en-US" w:eastAsia="en-US" w:bidi="ar-SA"/>
        </w:rPr>
        <w:t xml:space="preserve"> at para. 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find it appropriate to award compensatory damages in a sum sufficient to pay for the remedial work which a reasonable person without money constraints in the plaintiffs' position would have implemented had the loss been caused without fault on anyone's part, and in addition an amount which will fairly compensate the plaintiffs for loss of use and enjoyment to the extent that this scheme will not completely replace what has been lost.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Savage J. applied the more severe measure of damages and awarded compensation for remedial work and loss of amenities. However, there is no discussion of the connection between the degree of culpability and the amount of damage caused by the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was not an intentional, deliberate trespass. The defendant carelessly thought that he had permission to cut trees that he knew were not on his property. He took minimum steps to confirm ownership. His overwhelming desire to surprise his cancer stricken spouse led to recklessness on his part. The degree of culpability is low. It is worthwhile to note here that trespass occurs even if done by accident and in good faith (</w:t>
      </w:r>
      <w:r>
        <w:rPr>
          <w:rFonts w:ascii="arial" w:eastAsia="arial" w:hAnsi="arial" w:cs="arial"/>
          <w:i/>
          <w:color w:val="000000"/>
          <w:sz w:val="20"/>
          <w:lang w:val="en-US" w:eastAsia="en-US" w:bidi="ar-SA"/>
        </w:rPr>
        <w:t>Verkerk v. McDowell,</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[1996] B.C.J. No. 1717</w:t>
        </w:r>
      </w:hyperlink>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1996 CanLII 8517</w:t>
        </w:r>
      </w:hyperlink>
      <w:r>
        <w:rPr>
          <w:rFonts w:ascii="arial" w:eastAsia="arial" w:hAnsi="arial" w:cs="arial"/>
          <w:color w:val="000000"/>
          <w:sz w:val="20"/>
          <w:lang w:val="en-US" w:eastAsia="en-US" w:bidi="ar-SA"/>
        </w:rPr>
        <w:t xml:space="preserve"> at para. 17 (B.C.S.C.)). The level of culpability is reflected in the award of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Damage to the property was relatively minimal because it represents a small area of the plaintiff's property that was not generally accessible and will regenerate naturally to some extent. There is no evidence of loss of value to the property. However, the cuts can be seen from the Worbys' home. Damages for loss of amenity would be relatively small. However, the plaintiff corporation cannot, by its nature, suffer a loss of amenities (</w:t>
      </w:r>
      <w:r>
        <w:rPr>
          <w:rFonts w:ascii="arial" w:eastAsia="arial" w:hAnsi="arial" w:cs="arial"/>
          <w:i/>
          <w:color w:val="000000"/>
          <w:sz w:val="20"/>
          <w:lang w:val="en-US" w:eastAsia="en-US" w:bidi="ar-SA"/>
        </w:rPr>
        <w:t>City of Prince Rupert v. Pederson</w:t>
      </w:r>
      <w:r>
        <w:rPr>
          <w:rFonts w:ascii="arial" w:eastAsia="arial" w:hAnsi="arial" w:cs="arial"/>
          <w:color w:val="000000"/>
          <w:sz w:val="20"/>
          <w:lang w:val="en-US" w:eastAsia="en-US" w:bidi="ar-SA"/>
        </w:rPr>
        <w:t xml:space="preserve"> (1994), </w:t>
      </w:r>
      <w:hyperlink r:id="rId35" w:history="1">
        <w:r>
          <w:rPr>
            <w:rFonts w:ascii="arial" w:eastAsia="arial" w:hAnsi="arial" w:cs="arial"/>
            <w:i/>
            <w:color w:val="0077CC"/>
            <w:sz w:val="20"/>
            <w:u w:val="single"/>
            <w:shd w:val="clear" w:color="auto" w:fill="FFFFFF"/>
            <w:lang w:val="en-US" w:eastAsia="en-US" w:bidi="ar-SA"/>
          </w:rPr>
          <w:t>[1995] 1 W.W.R. 421</w:t>
        </w:r>
      </w:hyperlink>
      <w:r>
        <w:rPr>
          <w:rFonts w:ascii="arial" w:eastAsia="arial" w:hAnsi="arial" w:cs="arial"/>
          <w:color w:val="000000"/>
          <w:sz w:val="20"/>
          <w:lang w:val="en-US" w:eastAsia="en-US" w:bidi="ar-SA"/>
        </w:rPr>
        <w:t xml:space="preserve"> at para. 20 (B.C.C.A.)) and none are awarded. General damages for trespass are awarded to deter similar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can, however, recover costs of restoration within reasonable bounds. The estimates for restoration work are duplicate as they relate to replacement of trees, the number of stumps is excessive, and the species for replanting as all conifers does not accurately represent what was cut. Having reviewed the estimates in evidence, it appears that replacement of 9 conifers will cost $500 per tree for a total of $4,500. There is then a corresponding reduction in the estimates for replanting costs related to labour and materials by about a quarter to account for this reduction and consideration of duplication. I also consider that installation of sprinklers and related costs are not necessary as this is a marshy area by all accounts. The lower rate for machine and man hour costs is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Damages are assessed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49"/>
        <w:gridCol w:w="238"/>
        <w:gridCol w:w="2477"/>
        <w:gridCol w:w="1961"/>
        <w:gridCol w:w="423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Survey cost</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$735.00</w:t>
            </w:r>
          </w:p>
        </w:tc>
        <w:tc>
          <w:tcPr>
            <w:tcW w:w="419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Log removal</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742.00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Tree replacement ($4,500 + 12% HST) 5,040.00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241"/>
        <w:gridCol w:w="1569"/>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 Stump removal,</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3,987.20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replanting and related</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($3,560 + 12% HST)</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2091"/>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 General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1046"/>
        <w:gridCol w:w="1882"/>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$11,504.20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is entitled to damages in the amount of $11,504.20.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will be no order as to costs, except disbursements because the amount of the award is within the Provincial Court's jurisdiction pursuant to Rule 14-1(10). It was apparent from the start that there would be no damages awarded for loss of amenities and special damage was well within the Provincial Court's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J.R. DILLON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 w:history="1">
        <w:r>
          <w:rPr>
            <w:rFonts w:ascii="arial" w:eastAsia="arial" w:hAnsi="arial" w:cs="arial"/>
            <w:b/>
            <w:bCs/>
            <w:i/>
            <w:color w:val="0077CC"/>
            <w:kern w:val="32"/>
            <w:sz w:val="28"/>
            <w:szCs w:val="32"/>
            <w:u w:val="single"/>
            <w:shd w:val="clear" w:color="auto" w:fill="FFFFFF"/>
            <w:lang w:val="en-US" w:eastAsia="en-US" w:bidi="ar-SA"/>
          </w:rPr>
          <w:t>Houghton (Litigation Guardian of) v. Zalesky, [2008] B.C.J. No. 477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R.S.K. Wong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21,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M088184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477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335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847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Camille Elizabeth Hannah Houghton, Matthew David Christopher Houghton, and Geoffrey Glenn Douglas Houghton, infants by their litigation guardian, Tara Houghton, and the said Tara Houghton, Plaintiffs, and Paul Steffan Zalesky, Allwest Insurance Services Ltd. (Lessee), Daimlerchrysler Services Canada Inc./Services Daimlerchrysler Canada Inc. (Lessor), and Nissan Canada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 w:name="Keywords_1"/>
      <w:bookmarkEnd w:id="12"/>
      <w:r>
        <w:rPr>
          <w:rFonts w:ascii="arial" w:eastAsia="arial" w:hAnsi="arial" w:cs="arial"/>
          <w:b/>
          <w:color w:val="000000"/>
          <w:sz w:val="20"/>
          <w:lang w:val="en-US" w:eastAsia="en-US" w:bidi="ar-SA"/>
        </w:rPr>
        <w:t>Damages — General damages — For personal injuries — Non-pecuniary damages, including pain and suffering — Age of claimant — 36 to 45 — Non-pecuniary award — $40,001 to $60,000 — The 44-year-old plaintiff was awarded $129,604 in damages for neck and back injuries sustained in a motor vehicle accident, for which the defendant was totally at fault — The defendant had a legal obligation to be sure there was no hazardous oncoming traffic before he emerged abruptly into the plaintiff's path and he failed to do so — She was awarded $50,000 in non-pecuniary damages, $30,000 for lost past income, $25,000 for loss of future earning capacity, $16,194 in special damages (including homemaking costs), and two years of future care costs, totalling $8,410.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Back — Neck — The 44-year-old plaintiff was awarded $129,604 in damages for neck and back injuries sustained in a motor vehicle accident, for which the defendant was totally at fault — The defendant had a legal obligation to be sure there was no hazardous oncoming traffic before he emerged abruptly into the plaintiff's path and he failed to do so — She was awarded $50,000 in non-pecuniary damages, $30,000 for lost past income, $25,000 for loss of future earning capacity, $16,194 in special damages (including homemaking costs), and two years of future care costs, totalling $8,410.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The 44-year-old plaintiff was awarded $129,604 in damages for neck and back injuries sustained in a motor vehicle accident, for which the defendant was totally at fault — The defendant had a legal obligation to be sure there was no hazardous oncoming traffic before he emerged abruptly into the plaintiff's path and he failed to do so — She was awarded $50,000 in non-pecuniary damages, $30,000 for lost past income, $25,000 for loss of future earning capacity, $16,194 in special damages (including homemaking costs), and two years of future care costs, totalling $8,410.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 w:name="Case Summary_0"/>
            <w:bookmarkEnd w:id="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44-year-old plaintiff sought damages for injuries sustained in a motor vehicle accident. Although the defence conceded 80 per fault for failing to yield the right of way, they argued the plaintiff was 20 per cent contributorily negligent for failing to keep a proper lookout. The plaintiff suffered injuries to her neck and back, along with headaches. The headaches had resolved within six weeks, while the neck pain improved 60 per cent as of the trial, and the lower back by 70 per cent.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 w:name="Holdings of Court_0"/>
            <w:bookmarkEnd w:id="14"/>
            <w:r>
              <w:rPr>
                <w:rFonts w:ascii="arial" w:eastAsia="arial" w:hAnsi="arial" w:cs="arial"/>
                <w:color w:val="000000"/>
                <w:sz w:val="20"/>
                <w:lang w:val="en-US" w:eastAsia="en-US" w:bidi="ar-SA"/>
              </w:rPr>
              <w:t>HELD: The defendant was wholly liable for the accident and the plaintiff was awarded $129,604 in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had a legal obligation to be sure there was no hazardous oncoming traffic before he emerged abruptly into the plaintiff's path. He failed to do so and was wholly liable for the collision. The stress of an ongoing matrimonial asset dispute and divorce with her first husband, and concern about nursing and caring for her second husband's terminal illness of cancer before his death in July 2007, were legitimate distractions from her intended goal of more vigorous conditioning and they were not held against her as failure to mitigate. She was awarded $50,000 in non-pecuniary damages, $30,000 for lost past income (as her one-year delay before returning to the workforce was found to be reasonable), $25,000 for loss of future earning capacity, $16,194 in special damages (including homemaking costs), and two years of future care costs, totalling $8,410. The plaintiff was awarded double costs from the date of the offer to settle.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 w:name="Legislation Cited_1"/>
      <w:bookmarkEnd w:id="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3" w:history="1">
        <w:r>
          <w:rPr>
            <w:rFonts w:ascii="arial" w:eastAsia="arial" w:hAnsi="arial" w:cs="arial"/>
            <w:i/>
            <w:color w:val="0077CC"/>
            <w:sz w:val="20"/>
            <w:u w:val="single"/>
            <w:shd w:val="clear" w:color="auto" w:fill="FFFFFF"/>
            <w:lang w:val="en-US" w:eastAsia="en-US" w:bidi="ar-SA"/>
          </w:rPr>
          <w:t>R.S.B.C. 1996, c. 318, s. 175</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 w:name="Counsel_1"/>
      <w:bookmarkEnd w:id="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T.E. Sprague.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D.C. Fong and D. Busch.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 w:name="Judgment_1"/>
      <w:bookmarkEnd w:id="17"/>
      <w:r>
        <w:pict>
          <v:line id="_x0000_s1038" style="position:absolute;z-index:2518138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 w:name="R.S.K. WONG J. (orally)"/>
            <w:bookmarkEnd w:id="18"/>
            <w:r>
              <w:rPr>
                <w:rFonts w:ascii="arial" w:eastAsia="arial" w:hAnsi="arial" w:cs="arial"/>
                <w:b/>
                <w:color w:val="000000"/>
                <w:sz w:val="30"/>
                <w:lang w:val="en-US" w:eastAsia="en-US" w:bidi="ar-SA"/>
              </w:rPr>
              <w:t>R.S.K. WONG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Judgment. This is a motor vehicle accident personal injury claim. Liability and quantum of damages are both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claims of Ms. Tara Houghton's three children, who were co-plaintiffs and passengers in her vehicle, were settled before trial. This trial was only about Ms. Houghton's claim as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closing submissions the defence changed their initial position of denying liability and conceded that the defendant driver, Mr. Zalesky was 80 per cent to blame for the accident in failing to yield to Ms. Houghton's right-of-way under s. 175(1)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However, the defence submitted that Ms. Houghton should be attributed 20 per cent contributory liability for failing to keep a proper lookout.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motor vehicle accident happened on June 2, 2004, shortly after 8:00 a.m. at the intersection of Cypress Bowl Road and the Highway 1 exit ramp in West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Ms. Houghton, was driving her late model Suburban sports utility vehicle with her three younger children as passengers northbound on Cypress Bowl Road en route to Mulgrave School. Near the end of the Highway 1 overpass which has an upward grade, Ms. Houghton encountered the defendant, Mr. Zalesky, suddenly emerging westbound from his stop sign position intending to turn left and proceed south on the Highway overpass.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That corner presents poor visibility, both for Ms. Houghton and Mr. Zalesky with respect to cross traffic because of the overpass guardrail and concrete abutment to Mr. Zalesky's left. In addition the northbound overpass direction is not at 90 degrees to Mr. Zalesky's visual position but angled.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Houghton had the right-of-way travelling on the through road with no previous experience of vehicles suddenly emerging from that stop sign location. Mr. Zalesky had the legal obligation to be sure that there was no hazardous oncoming traffic before he emerged abruptly into Ms. Houghton's path. He failed to do so and I find him wholly liable for the motor vehicle collision. The collision was very forceful, resulting in both vehicles being written off as total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time of the impact, Ms. Houghton was wearing a shoulder/lap seatbelt. There was a headrest adjusted to her head and she was travelling at approximately 50 kilometres per hour. She was hit on the right front side of her vehicle by a Mercedes sports utility vehicle driven by Mr. Zalesky.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the impact, she was looking straight ahead. She reported that she felt her body go to the left, hit the driver's door with her body, and thought that her head hit the window. Her body then went to the right. She did not lose consciousness. Apparently, the airbag did not deploy and the damage to her vehicle was estimated at $11,000. Ms. Houghton did not go to the emergency room. She did attend at her family physician's office approximately two days later. She reported that she felt at the time of the accident immediate right side neck and back pain, and her left lower back was a bit sore.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she attended at the doctor's office she reported that she had low back pain, headaches and neck ache. She also had some numbness in her thighs with prolonged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Houghton then had ongoing treatment with chiropractic, some limited massage, and some physiotherapy. She also made use of a personal trainer. She has had that trainer since 1998 and continued to use the trainer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Since the time of the accident, Ms. Houghton testified that she has improved. She had some headaches which resolved after four to six weeks, her neck pain improved approximately 60 per cent, her upper and lower back improved 70 per cent, but did not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Houghton was later assessed by Dr. G.M. McKenzie, an orthopaedic surgeon specialist. Dr. McKenzie reported on November 18, 2007, and at p. 5 under "Physical Examination"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remains five feet, eight inches tall. I weighed her today, she is 125 pounds. She has had a 15-pound weight loss since I saw her. She attributes it to the "stress and death of my husband". Having said that, she is now back at her pre-accident weight. Her gait and squat were normal. Cervical spine shows flexion with chin one finger breadth from the sternum. Extension is full. Rotation was full. Side bending was full. She had discomfort with side bending. She has tenderness in the midline from C3 to C5. She was tender on the right side at C3/4 which is minimal. On the left side she was tender from C3 to 5 over the paraspinals. She was tender over the left trapezius and mildly over the strapezius. I compared this to my previous report to you and this is not significantly changed. The upper extremity examination was unchanged from my previous report. Thoracolumbar spine shows flexion with fingertips to the ankle joint. Lumbar increment is four centimetres, extension was full and caused lumbar pain. Side bending and rotation were full and she had some tightness with side bending. She had tenderness from T3 to T5 over the right and left paraspinal areas and in the midline at T7. In the lumbar spine, she had some midline L5 S1 tenderness. She also had some left sacroiliac tenderness today but had no right sided SI joint tenderness. The paraspinal were not tender at the lumbar spine today. The lower extremity examination was normal, straight leg raising was full, femoral stretch testing was negative. The neurologic examination was normal. Again, I compared this to my previous report and there is no significant change in her physical examination today compared to then.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Investigations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had the MRI that I commented on previously. In essence the MRI at the lumbar spine was normal for her age showing some mild disc bulging at L5 S1. On the cervical spine she had some mild disc bulging at C5-6 with some minor degenerative changes.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Assessment/Opinion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lady is now almost three-and-a-half years from the time of her accident. Prior to this accident she had some essentially asymptomatic or minimally symptomatic problems in the cervical spine. She had what she describes as situational issues which would always resolve within a two to three week timeframe. She did not have a history of any ongoing persistent chronic discomfort in her spine. She functioned at a very high level, both with regard to her activities of daily living, her housework and yard work and her recreational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her neck, it remains my opinion that she likely has damage to the facet joints in the upper cervical spine. There may be a contribution of pain from degenerative change which was asymptomatic prior to the accident and is now activated by the accident. As it has been three-and-a-half years, she has entered the chronic phase in my opinion. The prognosis for resolution of this pain is poor. She is likely to have some ongoing permanent discomfort for the foreseeable future and perhaps permanently as a result of this motor vehicle accident. In my opinion, the causation of this discomfort is her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upper thoracic spine, it remains my opinion she has myofascial discomfort. As per the neck, this is now chronic and the prognosis for the resolution of this is poor. In my opinion, the causation is her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lumbar spine, it remains my opinion she has non-specific low back pain. In my opinion, the causation is her motor vehicle accident and the prognosis for resolution is poor.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her ongoing discomfort, in my opinion she will be limited in her job opportunities. She will require a job that does not involve prolonged lifting, carrying, bending, lifting, et cetera. In other words, in my opinion she would not be fit for a manual labour job. She will require a job that allows for control of her working environment. In other words, she is going to need to have the opportunity for frequent changes of position. This is likely also to affect the way she does her housework and the amount and type of recreational activities that she will be able to do without having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Another specialist consulted by Ms. Houghton is Dr. John Le Nobel, a specialist in physical medicine and rehabilitation, who had several assessments of Ms. Houghton and in his last report dated November 19, 2007 under the heading of "Current Treatments"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days Tara uses Advil anti-inflammatory generally some two to six tablets, five days per week. She uses Ativan in the range of once per week. She tells me she has not been for gymnasium workouts since June 2007. She had up to that time been slowly building up her fitness workouts to as much as 25 pound dumbbells in either hand. She did do the Grouse Grind once during the first half of 2007. She has been doing some gardening work, as much as 16 hours a week these days, although now is being more cautious and careful. In 2002 and 2003 years she would carry bags of yard trash down the driveway to the street. These days she will take them in a wheelbarrow. She tells me that she recently did two consecutive five-hour days in the garden. After, she felt sore and tired, but a good tired. On account of her symptoms, Tara has delegated more of the household tasks to her children. She tells me that absent the motor vehicle accident she would she feels have likely continued on with her previous style of shouldering the majority of the household work herself. Tara is hoping to return to doing some additional fitness workouts. She does have some of her own equipment available to her. She is hoping to get some help from a kinesiologist or fitness trainer to set up a home exercise workout program. She feels that more concentration on flexibility and stretching may be productive, perhaps utilizing some yoga or Pilates-type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Finally, Dr. Le Nobel's opinion in that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above information, Tara Houghton before the June 2nd, 2004 motor vehicle accident, was affected from time to time with pains in her low back which were addressed effectively with simple measures, such as massage, chiropractic and occasional medication. In spite of her symptoms, she was able to engage in heavy physical activity such as full days of gardening and able to perform regular fitness exercises in the gymnasium and regular and frequent walks on the Grouse Grind.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motor vehicle accident of June 2nd, 2004 exposed her to acceleration/deceleration forces leading to symptoms of headache and neck and shoulder pain and pain worsening in her low back and limb numbness consistent with symptoms due to injury from exposure to such forces superimposed on her pre-accident status.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spite of treatments through her own practitioner and through massage and chiropractic, she has remained symptomatic and limited in her activity tolerance, some three years and five months following the June 2nd, 2004 motor vehicle accident. Based on the time elapsed since being injured she is affected with a chronic pain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Tara has ongoing neck pain diagnosed as due to symptomatic cervical spondylosis. Her neck symptoms have, I believe, resulted as a consequence of forces from the motor vehicle accident of June 2nd, 2004. It is as well evidence that there were some, albeit minor, pre-accident neck symptoms. That said, the symptomatic cervical spondylosis has been materially worsened and contributed to by effects of the motor vehicle accident of June 2nd,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noted, Tara has had low back pain prior to the motor vehicle accident going back some years. She has as well since the motor vehicle accident felt a worsening and increased persistence of her low back symptoms. Her diagnosis today is of mechanical low back pain. She is I believe deconditioned with loss of muscle strength and endurance contributed to by effects of the motor vehicle accident superimposed on her prior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limited of her tolerance for activities and particular for sustained sitting. Reported in her comments regarding limitation in her sitting tolerance are entries in the records from North Shore Wellness late 2000 year, November 28th: "Sat three hours, sore this morning". December 7th: "Hard time sitting".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Tara was I believe prior to the motor vehicle accident able to improve her functional capabilities through a variety of exercise measures. It is still I believe to be anticipated that with further attempts at exercise on a regular basis she will experience at least some improvement to the point that she can increase her sitting tolerance close to or possibly to the level that would otherwise be expected absent the June 2nd, 2004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anticipate that the assistance of a kinesiologist or fitness trainer could be of help in this respect. I would anticipate that the majority of benefit to be obtained through such an exercise program would be realized over a period of 12 to 14 months and that with such a fitness program, she will have her best chances of functional and symptomatic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such a fitness reconditioning program will offer to Tara her best chances of being able to engage in work such as she has done earlier in her life in the real estate field and such that she was most recently engaged in for the past ten weeks. I am not anticipating that surgery will be recommended for Tara.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certainly optimism that she can realize some improvement although a full return to all of her pre-accident activities in a symptom-free state is not definite. In that respect, her prognosis for the present time is uncertain. She has not in other words achieved maximal medical recovery based on my evaluation today.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noted that Tara has faced a significant loss over the past several months with the death of her husband of a few years only. To what degree precisely this loss has impacted on her musculo-skeletal symptoms is not certain. Certainly caring for her husband during the present year has compromised to some extent her ability to focus on the exercise fitness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also a report by Mr. Paul Pakulak, an occupational therapist as to a work capacity study which he did of Ms. Houghton. That report is dated November 22nd, 2007 and at p. 26 on "Overall Functional Capacity" under the sub-heading of "Maximum Sustainable Activity Level" the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Ms. Houghton is best suited for activity requiring light and modified medium level strength with limitations specific to prolonged and repetitive below waist level work, prolonged overhead work and prolonged positioning of the neck. Given her response to testing, significant increases in pain levels and a reduction in work pace and capacity at the conclusion of the assessment, it is anticipated that prolonged activity above a light level and/or without provisions for the above limitations will adversely impact her productivity and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Under the sub-heading of "Overall Work Capacity" Mr. Pakulak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Ms. Houghton demonstrated the capacity to be competitively employable at up a light level on a full and part-time basis with restrictions and limitations as noted above. She should avoid repetitive and prolonged low level work whenever possible. Prolonged overhead work should be kept to a minimum. She will require the flexibility to change positions periodically and to take stretching breaks to manage pain. It is also my opinion that her overall ability to compete for work in an open job market is reduced due to her ongoing injuries and resultant physical limitations. That is, the overall number of jobs that she would be able to compete for given her physical limitations and formal training are now limited. I would also say as an aside that Dr. McKenzie's assessment of some injury to the facet joints is the only one to pinpoint that aspect. Other doctors have not alluded to that aspect.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From the evidence, Ms. Houghton appears to be an energetic, driven and perfectionistic person. She is clearly not a malingerer. Ms. Houghton is in the process of taking realtor refresher courses in order to challenge the examination to reinstate her realtor's licence. Taking into account her present physical limitations, it is a course of action I would commend.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defence contends that had Ms. Houghton earlier more assiduously pursued her reconditioning program her improvement as to pain symptoms would be sooner and better than it presently is. However, I think the stress of ongoing matrimonial asset dispute and divorce with her first husband, and concern about nursing and caring for her second husband's terminal illness of cancer before his death in July 2007, were legitimate distractions from her intended goal of more vigorous conditioning and should not be held against her as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For loss of amenities and pain and suffering over the last four years, including projecting into the future, I would fix the amount at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the time of the accident, Ms. Houghton was not gainfully employed outside of her home. She was a full-time caregiver and homemaker as her husband's income at that time was sufficient to comfortably support her and their children. However, the parties separated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Houghton testified that it was her intention at that time to eventually return to the work force. She further testified that coping with her accident injuries delayed her return to the workforce. A friend of Ms. Houghton, a Ms. Tracey Chalmers, who has business experience and acumen, testified that it was her view that Ms. Houghton had no choice but eventually to return to the workforce if she was to maintain the home in which she presently resides.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Houghton gave evidence as to the reasons for her delayed entry and said that absent the accident, she would have been in a position to return to the workforce earlier than she did and with perhaps better success than she experienced with her later short-term employment as a manager at Absolute Spa and also with a realtor marketing agency where she was briefly employed called Brandu Industries.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was submitted on behalf of Ms. Houghton that a one-year delayed entry into the workforce under these circumstances was reasonable and may perhaps be calculated at $30,000. I think that is reasonable and I would grant her that amount as loss of past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or General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am satisfied that Ms. Houghton's injuries, even with future improvement of symptoms will have some impact on her future overall capital asset earning capacity. Taking into account her present age of 44 years, her present physical condition, and that she will mostly likely re-enter her previous occupation as a realtor in residential sales which for her would be the most suitable and financially remunerative vocation available, I fix future earning capacity loss at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Houghton seeks recovery of special damages outlined in Exhibit 7 that include the costs of hiring people to perform tasks that she would have otherwise performed absent the motor vehicle accident. In addition, Ms. Houghton seeks the increased costs of homemaking services that she has incurred and paid. I think those items and amounts specified are appropriate and reasonable and I would grant the amount of $16,194.00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have concluded future care should be time-limited to two years. Ms. Houghton will likely be better physically reconditioned and her pain symptoms will likely be less or better tolerated. The following items accordingly are appropriate:</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housecleaning assistance: $2,880;</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heavier seasonal house cleaning assistance: $960;</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Spring and fall heavy garden clean-up assistance: $1,600;</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Assessment and physical training assistance by a kinesiologist: $1,620;</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Provision for periodic massage therapy or chiropractic sessions to assist with pain management during more severe flare-ups of pain: $1,350.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total of which is $8,410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AND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Mr. Zalesky, is wholly liable for the collision. As to damages, in summary the plaintiff is awarded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660"/>
        <w:gridCol w:w="2195"/>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241"/>
        <w:gridCol w:w="261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764"/>
        <w:gridCol w:w="2091"/>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General Earning</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Capacity</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$25,000.00</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241"/>
        <w:gridCol w:w="261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$16,194.00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450"/>
        <w:gridCol w:w="2405"/>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$8,410.00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405"/>
        <w:gridCol w:w="3451"/>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$129,604.00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Court order interest will be added to the appropriate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Any issue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SPRAGUE: Well there was a formal offer made by the plaintiff of $90,000, or my friend may have some issue with regard to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FONG: Yes, My Lord. The issue that we would have for the double costs was that the formal offer was made four days prior to trial which would not be within the seven days and so it would be up to you, Your Lordship's discretion on when the - if double costs for trial should be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Was there only one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SPRAGUE: No there wasn't My Lord. The offers go back - the history is that back on the 29th of January the defendants made an offer of significantly less than the $90,000 and within seven days of the trial the plaintiff made an offer of $60,000. That offer was withdrawn a couple of days later and replaced with the offer of $90,000 with a letter explaining that perhaps the earlier offer significantly under-estimated the correct value of the plaintiff's claim - and so it is my submission that the defendants clearly had an opportunity - while they had directed their mind to resolution didn't accept the earlier offer so they are hardly prejudiced by a larger offer at a later date so - there was lots of opportunity in my view to consider the offer and I don't know why they shouldn't be penalized by double costs for at least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Mr. Fong?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FONG: My friend is correct with his timing and it is a factual summary of what has happened in that timing and I would just leave it to Your Lordship's discretion to award double costs as it is within your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COURT: I think generally under these circumstances it follows as a matter of course and I see no reason to depart from this. This was a lengthy trial that the plaintiff was required to go through and the award was an amount more than the previous offers. Accordingly, there will be an order for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SPRAGUE: Thank you, My Lord. I suppose we could just leave it at liberty to apply if we are not able - in the most unlikely event that we are not able to work out the Court order interest - I can't imagine that arising, but liberty to apply if we are not able to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COURT: Well, I think basically we will go by this route. Refer it to the Registrar and the Registrar will set it and I will either approve it or not. So there is no need to come back before me if there is a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SPRAGUE: Oh, fine. I will draft the order with that indication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COURT: All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FONG: Thank you,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SPRAGUE: Thank you, My Lord. Thank you very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R.S.K. WONG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 w:history="1">
        <w:r>
          <w:rPr>
            <w:rFonts w:ascii="arial" w:eastAsia="arial" w:hAnsi="arial" w:cs="arial"/>
            <w:b/>
            <w:bCs/>
            <w:i/>
            <w:color w:val="0077CC"/>
            <w:kern w:val="32"/>
            <w:sz w:val="28"/>
            <w:szCs w:val="32"/>
            <w:u w:val="single"/>
            <w:shd w:val="clear" w:color="auto" w:fill="FFFFFF"/>
            <w:lang w:val="en-US" w:eastAsia="en-US" w:bidi="ar-SA"/>
          </w:rPr>
          <w:t>Hunter West Consulting Group Inc. v. 0748697 B.C. Ltd., [2019] B.C.J. No. 678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Supplementary hearing: December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12, 2018 (plaintiffs), December 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November 23, 2018 (Proposed Atwal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Sidhu defendants), by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judgment: April 17,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S32312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678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591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92 B.L.R. (5th) 263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1016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Hunter West Consulting Group Inc. and Jasbinder Singh Gill also known as Jesse Gill, Plaintiffs, and 0748697 B.C. Ltd., 0748702 B.C. Ltd. and Pinnacle Acquisitions Ltd., DSB Holdings Inc., 3181979 Canada Ltd. (previously known as International Herbs Ltd.), 0759198 B.C. Ltd., Cascade Creek Development Corporation, Rick Brar also known as Ricky Brar, Gurjit Sangha, and Swean Kaur Sangha,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 w:name="Keywords_2"/>
      <w:bookmarkEnd w:id="19"/>
      <w:r>
        <w:rPr>
          <w:rFonts w:ascii="arial" w:eastAsia="arial" w:hAnsi="arial" w:cs="arial"/>
          <w:b/>
          <w:color w:val="000000"/>
          <w:sz w:val="20"/>
          <w:lang w:val="en-US" w:eastAsia="en-US" w:bidi="ar-SA"/>
        </w:rPr>
        <w:t>Corporations, partnerships and associations law — Corporations — General principles — Distinct legal entity — Application by Atwal and Sidhu defendants from 2017 decision permitting plaintiffs to add them as defendants and sue for knowing receipt of trust monies allowed — Plaintiff was one-third shareholder in Pinnacle which held 50 per cent interest in Cascade Creek — Plaintiff alleged expenditures improperly made by defendants were impressed with trust and traceable to profits and funds received by Cascade Creek — Plaintiffs' claim of knowing receipt against Atwal and Sidhu defendants was not independent claim and independent loss or cause of action that belonged to plaintiffs personally apart from Pinnacle's entitlement.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 w:name="Case Summary_1"/>
            <w:bookmarkEnd w:id="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Atwal and Sidhu defendants from a 2017 decision permitting the plaintiffs to add them as defendants. The defendant argued EY Holdings and the Foss v. Harbottle rule provided a complete answer to the addition of them as defendants. The plaintiff sued for liquidation and dissolution of the respondent Pinnacle Acquisitions and for remedies for oppressive conduct. The plaintiff and the two numbered company defendants were equal shareholders in Pinnacle which in turn held a 50 per cent interest in Cascade Creek, a developer of a residential and commercial property. The plaintiff alleged it did not receive its one-third profit for the development. It sued co-shareholders in Pinnacle, Pinnacle, Cascade Creek, and various others. The proposed claim against the Atwal and Sidhu defendants was knowing receipt of monies taken from trust. The plaintiffs claimed that the expenditures improperly made by the Atwals and Sidhus were impressed with a trust. Those expenditures were alleged to be traceable to the profits and funds received by Cascade Creek from the resale of the development property. The Atwal and Sidhu defendants argued that if there was a cause of action against them at all, it belonged exclusively to Pinnacle which was obligated to the plaintiff and that the only fact offered to support this alleged trust in favour of the plaintiffs was that Pinnacle did not have its own bank account.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 w:name="Holdings of Court_1"/>
            <w:bookmarkEnd w:id="2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EY Holdings applied to this case. The rule in Foss v. Harbottle precluded the plaintiffs from adding the Atwal and Sidhu defendants. The nature of the claim and the loss the plaintiffs allegedly suffered lacked an independence and distinctiveness from Pinnacle's or Cascade Creek's equal entitlement to claim for knowing receipt on the corporate losses of the alleged misapplication of the Cascade Creek monies and expenditures. The plaintiffs must only claim through Pinnacle, after obtaining leave from the Court to commence a derivative action. The plaintiffs' claim of knowing receipt against the Atwal and the Sidhu defendants was not an independent claim and an independent loss, or cause of action that belonged to the plaintiffs personally apart from Pinnacle's entitlement. It was also a claim of Pinnacle's, or depending on the outcome of the resolution of that knowing receipt claim, Cascade Creek's. On the corporate structure as pleaded, the claim in knowing receipt against the Atwal and Sidhu defendants belonged to Pinnacle as it did to the one-third shareholders of Pinnacle, including the plaintiffs. Pinnacle had equal entitlement to advance a claim for knowing receipt as against the Atwal and Sidhu defendants if a court was to find that those proposed defendants were constructive trustees over the profits and funds that flowed from Cascade Creek's development and resale of the property. The claim of knowing receipt, even if the plaintiffs had entitlement to sue for it, did not change Pinnacle's or Cascade Creek's equal entitlement to sue on the cause of action. The funds and expenditures claimed to be the plaintiffs' losses in this instant case were not just derivative, but directly the profits and losses due to Pinnacle as 50 per cent interest holder under the corporate arrangement. There was no separate and distinct character or nature of the losses the plaintiffs' claim in the alleged misappropriation of the Cascade Creek development and resale monies.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 w:name="Legislation Cited_2"/>
      <w:bookmarkEnd w:id="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1"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Corporations Act, </w:t>
      </w:r>
      <w:hyperlink r:id="rId51" w:history="1">
        <w:r>
          <w:rPr>
            <w:rFonts w:ascii="arial" w:eastAsia="arial" w:hAnsi="arial" w:cs="arial"/>
            <w:i/>
            <w:color w:val="0077CC"/>
            <w:sz w:val="20"/>
            <w:u w:val="single"/>
            <w:shd w:val="clear" w:color="auto" w:fill="FFFFFF"/>
            <w:lang w:val="en-US" w:eastAsia="en-US" w:bidi="ar-SA"/>
          </w:rPr>
          <w:t>S.B.C. 2002, c. 57, s. 227</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6-2</w:t>
      </w:r>
      <w:r>
        <w:rPr>
          <w:rFonts w:ascii="arial" w:eastAsia="arial" w:hAnsi="arial" w:cs="arial"/>
          <w:color w:val="000000"/>
          <w:sz w:val="20"/>
          <w:lang w:val="en-US" w:eastAsia="en-US" w:bidi="ar-SA"/>
        </w:rPr>
        <w:t>(7), Rule 9-5(1)(a)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 w:name="Counsel_2"/>
      <w:bookmarkEnd w:id="2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A.D.R. Delmonico.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Defendants, Anita Atwal and Mandeep Atwal: P.F. Lewis.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Defendants, Davinder Sidhu aka Dave Sidhu and 0753021 B.C. Ltd.: D.J. Conolly.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 w:name="Judgment_2"/>
      <w:bookmarkEnd w:id="24"/>
      <w:r>
        <w:pict>
          <v:line id="_x0000_s1043" style="position:absolute;z-index:251814912" from="0,12pt" to="512pt,12pt" strokecolor="#009ddb" strokeweight="1.5pt">
            <v:stroke linestyle="single"/>
          </v:line>
        </w:pict>
      </w:r>
    </w:p>
    <w:p>
      <w:p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Supplementary Reasons to </w:t>
      </w:r>
      <w:r>
        <w:rPr>
          <w:rFonts w:ascii="arial" w:eastAsia="arial" w:hAnsi="arial" w:cs="arial"/>
          <w:i/>
          <w:color w:val="000000"/>
          <w:sz w:val="20"/>
          <w:lang w:val="en-US" w:eastAsia="en-US" w:bidi="ar-SA"/>
        </w:rPr>
        <w:t>Hunter West Consulting Group Inc. v. 0748697 B.C. Ltd.</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2017 BCSC 2326</w:t>
        </w:r>
      </w:hyperlink>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Supplementary Reasons for Judgment</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N.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15, 2017, I rendered a decision in which the plaintiffs, Hunter West Consulting Group Inc. and Jasbinder Singh Gill, also known as Jesse Gill, applied to add additional defendants to this action. I granted the plaintiffs leave to add Anita Atwal and Mandeep Atwal (collectively the "Atwal defendants") together with two other parties, Davinder Sidhu aka Dave Sidhu and 0753021 B.C. Ltd. (the "Sidhu defendants"). Mr. Lewis is counsel for the Atwal defendants; Mr. Connolly, for the Sidhu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my original decision, I allowed the plaintiffs to add those parties as defendants to the action subject to the right of those parties to seek reconsideration of the decision based on a then-recent decision of the British Columbia Court of Appeal: </w:t>
      </w:r>
      <w:r>
        <w:rPr>
          <w:rFonts w:ascii="arial" w:eastAsia="arial" w:hAnsi="arial" w:cs="arial"/>
          <w:i/>
          <w:color w:val="000000"/>
          <w:sz w:val="20"/>
          <w:lang w:val="en-US" w:eastAsia="en-US" w:bidi="ar-SA"/>
        </w:rPr>
        <w:t>EY Holdings Ltd. v. Great Pacific Mortgage &amp; Investments Ltd.</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2017 BCCA 405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The Court of Appeal had rendered its decision after the parties argued the motion for joining the parties as defendants but before I rendered Reasons for Judgment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ORIGINAL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citation for the original Reasons is indexed at </w:t>
      </w:r>
      <w:r>
        <w:rPr>
          <w:rFonts w:ascii="arial" w:eastAsia="arial" w:hAnsi="arial" w:cs="arial"/>
          <w:i/>
          <w:color w:val="000000"/>
          <w:sz w:val="20"/>
          <w:lang w:val="en-US" w:eastAsia="en-US" w:bidi="ar-SA"/>
        </w:rPr>
        <w:t>Hunter West Consulting Group Inc. v. 0748697 B.C. Ltd.</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2017 BCSC 2326</w:t>
        </w:r>
      </w:hyperlink>
      <w:r>
        <w:rPr>
          <w:rFonts w:ascii="arial" w:eastAsia="arial" w:hAnsi="arial" w:cs="arial"/>
          <w:color w:val="000000"/>
          <w:sz w:val="20"/>
          <w:lang w:val="en-US" w:eastAsia="en-US" w:bidi="ar-SA"/>
        </w:rPr>
        <w:t>. For ease of reference, I will incorporate some portions of it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plaintiffs had applied to add seven defendants pursuant to Rule 6-2(7)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to the action they commenced. The history of the litigation is set out at paras. 6 to 12 in the previous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Some of the most significant procedural history up to the hearing date is as follows: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 2012, a petition was filed by Hunter West Consulting Group Inc. in the Chilliwack Registry, File No. S23972, for appointment of a "Receiver" manager "without security, of all the assets, undertakings and properties of Pinnacle Acquisitions Ltd. ... including all proceeds thereof (the "Property")";</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21, 2012, Rick Brar, owner and controller of 0748697 B.C. Ltd., filed a response to the petition. Pinnacle Acquisitions Ltd. and 0748702 B.C. Ltd. did not file one;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April 30, 2014, the plaintiff Hunter West Consulting Group Inc. commenced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lawsuit against former counsel;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14, 2014, a Notice of Appointment or Change of Lawyer was filed by the plaintiff Hunter West Consulting Group Inc.;</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4, 2015, a Notice of Application returnable March 23, 2015 was filed asking for leave to add parties and amend the petition; and to seek production of third party documents from TD Bank, Coast Capital Savings Credit Union, and Richard Ledding Law Corporation;</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18, 2015, the matter was adjourned by requisition to April 13, 2015. On April 13, 2015, Master Tokarek adjourned the portion of the relief sought before him to add parties and amend the petition, and granted production of third party documents;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production of financial and conveyancing documents and an expert report prepared by Ms. Praveen Sidhu, CPA, CA, CFE, on December 2, 2015, the matter was reset for January 25, 2016; and</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25, 2016, Justice Grist heard the chambers application; and on June 17, 2016, Grist J. heard the petitioner's application to add parties and amend their petition which had originally been filed on February 1,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At para. 1 of his decision (</w:t>
      </w:r>
      <w:r>
        <w:rPr>
          <w:rFonts w:ascii="arial" w:eastAsia="arial" w:hAnsi="arial" w:cs="arial"/>
          <w:i/>
          <w:color w:val="000000"/>
          <w:sz w:val="20"/>
          <w:lang w:val="en-US" w:eastAsia="en-US" w:bidi="ar-SA"/>
        </w:rPr>
        <w:t>Hunter West Consulting Group Inc. v. 0748697 B.C. Ltd.</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2016 BCSC 1126</w:t>
        </w:r>
      </w:hyperlink>
      <w:r>
        <w:rPr>
          <w:rFonts w:ascii="arial" w:eastAsia="arial" w:hAnsi="arial" w:cs="arial"/>
          <w:color w:val="000000"/>
          <w:sz w:val="20"/>
          <w:lang w:val="en-US" w:eastAsia="en-US" w:bidi="ar-SA"/>
        </w:rPr>
        <w:t xml:space="preserve">) Grist J. stated, "[t]he petition in its present form present[ed] a case for liquidation and dissolution of the respondent company, Pinnacle Acquisitions Ltd. ("Pinnacle"), under s. 324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and remedies for oppressive conduct under s. 227 of the same statute."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At para. 2 of his reasons, Grist J. characterized the case before him as one "[focussed] on dispersal of monies generated by a real estate development company, Cascade Creek Development Corporation ("Cascade")." That characterization of the case is still applicable; although depending on the results of this application, it will entail additional characteristics.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At paras. 3 and 4 of his reasons, Grist J.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 The relationship between the principals involved in the development and their respective corporate vehicles is as follows:</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Pinnacle was formed to receive funds generated from a 50% interest it held in the real estate development company, Cascade;</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respondent numbered companies: 0748697 B.C. Ltd. ("697"), and 0748702 B.C. Ltd. ("702"); and the Petitioner, Hunter West Consulting Group Inc. ("Hunter"), holds a one-third interest in Pinnacle.</w:t>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Hunter is owned or controlled by the proposed petitioner Jasbinder Singh Gill.</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697 is owned or controlled by the proposed respondent Rick Brar.</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702 is owned or controlled by the proposed respondent Phil Bain.</w:t>
      </w:r>
    </w:p>
    <w:p>
      <w:pPr>
        <w:numPr>
          <w:numId w:val="1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other 50% of the shareholding in Cascade is held by a third numbered company 0759198 B.C. Ltd. ("198"), a company owned or controlled by Gurjit Sangha.</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directorship of Cascade consisted of Brar and Sangha; Brar on behalf of Pinnacle and Sangha on behalf of his own company, 198.</w:t>
      </w:r>
    </w:p>
    <w:p>
      <w:pPr>
        <w:numPr>
          <w:numId w:val="1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Pinnacle was a company formed to disperse or direct payment from Cascade, of one-half of the profits generated by Cascade as a result of the real estate development, to be received in equal amounts by the three shareholder companies, or their nominees.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The petitioner says that Brar and Sangha, through Pinnacle or Cascade on Pinnacle's behalf, or Cascade on its own behalf,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paid monies to persons or entities having no legitimate claim to the amounts paid out, and;</w:t>
      </w:r>
    </w:p>
    <w:p>
      <w:pPr>
        <w:numPr>
          <w:numId w:val="1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account for the profits generated and pay Hunter its share of the Cascade profits.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Grist J. further explained at para. 7 that "[t]he addition of parties include[d] Mr. Gill, the principal of Hunter, as Petitioner; and a number of persons and entities who the Petitioner said participated in wrongdoings and are necessary to advance remedies by way of equitable tracing." He granted leave to add DSB Holdings Ltd., Rick Brar, 0759198 Ltd., Gurjit Sangha, Swean Kaur Sangha, and that the petition be amended accordingly.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Grist J. concluded at paras. 11 and 12 of his reasons: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 With the joinder of Mr. Gill, this claim alleges that he and his corporate entity, Hunter, entered into the corporate arrangement with the reasonable expectation of participating in a one-third interest in the profits Pinnacle was to receive from its interest in the project. This, says the Petitioners, was frustrated by the wrongful actions of Brar and Sangha. The company, Pinnacle, was created for the sole purpose of managing the distribution of profits among the three shareholders and Brar's function was to represent Pinnacle's interests as a director in Cascade. The Petitioners' minority position puts them at risk if they are not able to exercise an oppression remedy; and at this stage on the facts plead, the alleged failure to account for the proceeds of the development, diversion of funds, and failure to pay Pinnacle its share, presents a case of wrongs done to Hunter and its sole shareholder, Gill, incompatible with their reasonable expectations for fair dealing and equal sharing.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 I find the Petition, on the amended pleadings, to be a viable action under the statute; and in the context of the case, find that the proposed additional parties may be necessary to determine questions or issues raised by these pleadings.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Continuing now with the procedural history:</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24, 2016, an amended petition was filed by the plaintiffs (in Chilliwack Registry File no. S23972);</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28, 2016, the defendants 0759198 B.C. Ltd., Gurjit Sangha, and Swean Kaur Sangha filed a petition response;</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9, 2016, Rick Brar, 0748697 B.C. Ltd., and DBS Holdings Inc. filed a response (in the S23972 proceeding);</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12, 2017, a Requisition for a Consent Order Without Notice for conversion of the Petition to an action was filed (in S23972);</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3, 2017, a Notice of Civil Claim was filed by the plaintiffs in this action (Chilliwack Registry File no. S32312);</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20, 2017, the defendants Gurjit Sangha, Swean Kaur Sangha and 0759198 B.C. Ltd. filed a Response to Civil Claim (in S32312);</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11, 2017, the plaintiffs filed a Notice of Application in this action returnable June 5, 2017, seeking leave to add the parties within, and Amend the Notice of Civil Claim;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Requisition dated August 1, 2017 filed by the plaintiffs had the hearing rescheduled for August 28, 2017, at which time it was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NATURE OF THE CIVIL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Submissions of Counsel for defendants Anita Atwal and Mandeep Atwal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Counsel for the Atwals laid out a chronology of pertinent events (November 23, 2018 submissions, pp. 2-3) in order to bring the Court up to date. I recite it here:</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363.05pt;height:586.58pt">
            <v:imagedata r:id="rId55"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Given the lapse of time, counsel for the Atwals briefly commented on the nature of the motion to add Mr. Sidhu and the Atwals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Atwals noted the underlying action had been commenced by petition and was converted by consent to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Hunter West and the two numbered company defendants were equal shareholders in Pinnacle Acquisitions Ltd. ("Pinnacle"), which in turn held a 50% interest in Cascade Creek Development Corporation ("Cascade Creek") a developer of a residential and commercial property in Surrey, as I noted earlier in these reasons. As noted above, Hunter West complained it did not receive its one-third profit for the development. It sued co-shareholders in Pinnacle, Pinnacle itself, Cascade Creek, and various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Atwals noted that Hunter West's basic complaint lies in its not having received one-third profit from the development. It is not in issue that the Atwals are husband and wife. As was the case with Mr. Sidhu, the plaintiffs later sought to add them on the ground of an allegation they knowingly received from Cascade Creek funds diverted from the development, giving rise to claims that formed a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Atwals granted in their application response that the threshold for adding parties is low but argued in Part 5, at paras. 11-15 of their application response that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(1843), 67 E.R. 189 (Ch.), was a complete bar to the plaintiffs' claim, regardless of the cause of action advanced. The plaintiffs were claiming losses allegedly suffered by Pinnacle, without their having obtained leave to derivatively sue on Pinnacle's behalf. The Atwals noted Mr. Sidhu took a similar position in his application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Atwals' oral submissions did not further press their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submission in light of certain authorities of this Court that the plaintiff relied on and which appear to suggest that the time for such a submission would come later, rather than at that threshold stage. That noted, the Atwals submit that in light of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that is no longer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Atwals, in their reconsideration submissions, accurately pointed out that I allowed the plaintiffs to add the Atwals and Mr. Sidhu but only based on independent claims against them, separate from the oppression and breach of trust claims made against the existing defendants, and that I directed that the Notice of Civil Claim be amended to show that separation. On that basis, I indicated I was satisfied that the addition of the proposed parties may be necessary to determine issues or questions raised in the pleadings (Reasons at paras. 62-65).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it now stands, the proposed Amended Notice of Civil Claim limits the intended claim against the Atwals and Mr. Sidhu to the cause of action of knowing receipt of monies taken from trust (Part 1, paras. 66-70 and Part 3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three necessary elements of the claim in knowing receipt are set out at Part 3 at para. 18. The first two necessary elements require that the property sought to be recovered was subject to a trust in favour of the plaintiffs; the second requirements is that the property received by the defendants was taken from the plaintiffs in breach of trust relying on </w:t>
      </w:r>
      <w:r>
        <w:rPr>
          <w:rFonts w:ascii="arial" w:eastAsia="arial" w:hAnsi="arial" w:cs="arial"/>
          <w:i/>
          <w:color w:val="000000"/>
          <w:sz w:val="20"/>
          <w:lang w:val="en-US" w:eastAsia="en-US" w:bidi="ar-SA"/>
        </w:rPr>
        <w:t>Laxton v. Jurem Anstalt</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2010 BCSC 1002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Laxton</w:t>
      </w:r>
      <w:r>
        <w:rPr>
          <w:rFonts w:ascii="arial" w:eastAsia="arial" w:hAnsi="arial" w:cs="arial"/>
          <w:color w:val="000000"/>
          <w:sz w:val="20"/>
          <w:lang w:val="en-US" w:eastAsia="en-US" w:bidi="ar-SA"/>
        </w:rPr>
        <w:t xml:space="preserve">], aff'd </w:t>
      </w:r>
      <w:hyperlink r:id="rId57" w:history="1">
        <w:r>
          <w:rPr>
            <w:rFonts w:ascii="arial" w:eastAsia="arial" w:hAnsi="arial" w:cs="arial"/>
            <w:i/>
            <w:color w:val="0077CC"/>
            <w:sz w:val="20"/>
            <w:u w:val="single"/>
            <w:shd w:val="clear" w:color="auto" w:fill="FFFFFF"/>
            <w:lang w:val="en-US" w:eastAsia="en-US" w:bidi="ar-SA"/>
          </w:rPr>
          <w:t>2011 BCCA 212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their earlier Application Response (Part 5 at paras. 5, 15), the Atwals had set out the same three necessary elements of a claim of knowing receipt. The Atwals maintain that there is no available claim for knowing receipt against the Atwals, as the first two elements of the knowing receipt cause of action is absent and pointed out that the plaintiffs are not shareholders in the developer, Cascade Creek. Appertaining to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the Atwals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follows that there can likewise be no claim for knowing receipt against the application respondents as the first two elements of the applicable test are absent: there is no property at issue that was subject to a trust in favour of the Plaintiffs, and there is no property that was taken from the Plaintiff's in breach of trust.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Put another way, the Atwals submitted that the proposed knowing receipt claim collapses immediately on application of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arguing that because the plaintiffs, who were not shareholders of Cascade Creek, cannot possibly show as a matter of law that the funds allegedly paid to the Atwals (improprieties aside for the moment) were held in trust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But that submission was not pressed in court, the Atwals explained, because the authorities the plaintiffs relied on at the hearing appeared to have enabled them to avoid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at the threshold stage of adding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DECISION OF </w:t>
      </w:r>
      <w:r>
        <w:rPr>
          <w:rFonts w:ascii="arial" w:eastAsia="arial" w:hAnsi="arial" w:cs="arial"/>
          <w:b/>
          <w:i/>
          <w:color w:val="000000"/>
          <w:sz w:val="20"/>
          <w:lang w:val="en-US" w:eastAsia="en-US" w:bidi="ar-SA"/>
        </w:rPr>
        <w:t>EY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Court of Appeal handed down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xml:space="preserve"> on November 23,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Counsel for the Atwals submitted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xml:space="preserve"> arose in the context of a distinct factual matrix in which former shareholders of Accredit Mortgage Ltd. (the "MIC") sought to sue the MIC's third party financial affairs manager, Great Pacific Mortgage &amp; Investments Ltd. ("Great Pacific"), claiming (a) a misrepresentation claim; (b) a mismanagement claim; and (c) a claim for return of fees: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xml:space="preserve"> at para. 34. The defendants had sought to strike the mismanagement and return of fees claims under Rule 9-5(1)(a) based on the contention that those claims offended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that a shareholder of a corporation does not have a personal cause of action for a wrong done to the corporation,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xml:space="preserve"> at para. 1. (The Atwals noted that the claim for misrepresentation was not before the court on the application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chambers judge had declined to strike the claims on his finding that it was not plain and obvious the claims would fail. The Court of Appeal allowed the appeal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plaintiffs' submissions before the chambers judge in the first instance decision of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xml:space="preserve"> happened to be very similar to the submissions of the plaintiffs in the case at bar. At para. 17, the chambers judge had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plaintiffs say that due to the unique nature of an MIC,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should not apply. They submit that an MIC is simply a corporate conduit for profit and loss that passes directly to the investors. They also point out that the individual defendants are the controlling mind of [the MIC] and there is no likelihood that [the MIC] will commence an action against any of the defendants, and there is no risk of a multiplicity of actions. The plaintiffs say that the facts in this case are novel and in the circumstances they should be given the opportunity to fully develop their case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in the case at bar likewise contend that Pinnacle was merely a conduit through which its three shareholders, including Hunter West, were to share in Cascade Creek's proceeds of sale from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At para. 33 of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the chambers judge questioned whether the claims being advanced belonged to the company or were independent personal claims of its shareholder. At that stage, he said he was unable to determine this without "full examination of all the facts and agreements" and therefore was unable to say that it was "plain and obvious" that the claim could 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At the Court of Appeal, that argument was rejected. Specifically, the Court disagreed that the MIC was merely a conduit and that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should therefore not apply while - significantly for the purposes of the case at bar - going on to describe several forms of legal entities and exceptions that have been held by our courts to possess a cause of action against a third party, rather than such cause of action being held by their shareholders or members: at paras. 30, 31. Further in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as distinct from the case at bar, a claim in misrepresentation was brought by the shareholders in that action but that was not the subject of the application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DISCUSSION OF </w:t>
      </w:r>
      <w:r>
        <w:rPr>
          <w:rFonts w:ascii="arial" w:eastAsia="arial" w:hAnsi="arial" w:cs="arial"/>
          <w:b/>
          <w:i/>
          <w:color w:val="000000"/>
          <w:sz w:val="20"/>
          <w:lang w:val="en-US" w:eastAsia="en-US" w:bidi="ar-SA"/>
        </w:rPr>
        <w:t>EY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Mr. Justice Hunter writing for the Court, distilled in paras. 1-2, both the issue on appeal and the outcome: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The rule in </w:t>
      </w:r>
      <w:r>
        <w:rPr>
          <w:rFonts w:ascii="arial" w:eastAsia="arial" w:hAnsi="arial" w:cs="arial"/>
          <w:i/>
          <w:color w:val="000000"/>
          <w:sz w:val="20"/>
          <w:lang w:val="en-US" w:eastAsia="en-US" w:bidi="ar-SA"/>
        </w:rPr>
        <w:t>Foss v. Harbottle ..</w:t>
      </w:r>
      <w:r>
        <w:rPr>
          <w:rFonts w:ascii="arial" w:eastAsia="arial" w:hAnsi="arial" w:cs="arial"/>
          <w:color w:val="000000"/>
          <w:sz w:val="20"/>
          <w:lang w:val="en-US" w:eastAsia="en-US" w:bidi="ar-SA"/>
        </w:rPr>
        <w:t>. that a shareholder of a corporation does not have a personal cause of action for a wrong done to the corporation is one of the bedrock principles of corporate law. It has survived for more than 170 years with no significant modification, apart from the statutory provision of derivative actions to mitigate against the rigour of the rule.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The issue in this appeal is whether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applies to bar an action by former shareholders of a mortgage investment corporation ("MIC") in respect of alleged mismanagement of the mortgage portfolio of the MIC ... . In my opinion, it does. The appeal must be allowed and these claims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At para. 27, Hunter J.A., expanded on the applicability of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referring to </w:t>
      </w:r>
      <w:r>
        <w:rPr>
          <w:rFonts w:ascii="arial" w:eastAsia="arial" w:hAnsi="arial" w:cs="arial"/>
          <w:i/>
          <w:color w:val="000000"/>
          <w:sz w:val="20"/>
          <w:lang w:val="en-US" w:eastAsia="en-US" w:bidi="ar-SA"/>
        </w:rPr>
        <w:t>Hercules Management Ltd. v. Ernst &amp; Young</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at para. 59,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provides that individual shareholders have no cause of action in law for any wrongs done to the corporation and that if an action is to be brought in respect of such losses, it must be brought either by the corporation itself (through management) or by way of a derivative action. The legal rationale behind the rule was eloquently set out by the English Court in Appeal in </w:t>
      </w:r>
      <w:r>
        <w:rPr>
          <w:rFonts w:ascii="arial" w:eastAsia="arial" w:hAnsi="arial" w:cs="arial"/>
          <w:i/>
          <w:color w:val="000000"/>
          <w:sz w:val="20"/>
          <w:lang w:val="en-US" w:eastAsia="en-US" w:bidi="ar-SA"/>
        </w:rPr>
        <w:t>Prudential Assurance Co. v. Newman Industries Ltd. (No. 2)</w:t>
      </w:r>
      <w:r>
        <w:rPr>
          <w:rFonts w:ascii="arial" w:eastAsia="arial" w:hAnsi="arial" w:cs="arial"/>
          <w:color w:val="000000"/>
          <w:sz w:val="20"/>
          <w:lang w:val="en-US" w:eastAsia="en-US" w:bidi="ar-SA"/>
        </w:rPr>
        <w:t>, [1982] 1 All E.R. 354, at p.367,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is the consequence of the fact that a corporation is a separate legal entity. Other consequences are limited liability and limited rights. The company is liable for its contracts and torts; the shareholder has no such liability. The company acquires causes of action for breaches of contract and for torts which damage the company. No cause of action vests in the shareholder. When the shareholder acquires a share he accepts the fact that the value of his investment follows the fortunes of the company and that he can only exercise his influence over the fortunes of the company by the exercise of his voting rights in general meeting.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paras. 3 and 4, Hunter J.A. provided background, noting at first that the respondents (the plaintiffs) are "former shareholders in a corporation known as Accredit Mortgage Ltd. Accredit is a MIC." He further explained in para.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 MICs are mortgage lending companies that acquire funds through the sale of shares, and then pool these funds to lend, often as construction financing for commercial and residential construction projects.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The status of a corporation as a MIC is governed by the provisions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R.S.C. 1985. c. 1 (5th Supp.). To maintain its status as a mortgage investment corporation, the corporation must distribute all net income earned by the MIC to shareholders through dividends issued to shareholders. If the Shareholders rely on this "flow-through" characteristic of a MIC to seek to avoid the application of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para. 5, Hunter J.A. noted "[t]he appellant Great Pacific Mortgage &amp; Investments Ltd. was the financial services manager of Accredit's operations. The individual appellants [were] directors or former directors of Great Pacific." Justice Hunter referred to the appellants "collectively as Great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At para. 6, Hunter J.A. noted that "[i]n April 2015, the [s]shareholders filed a notice of civil claim against Great Pacific seeking judgment in the amount of $3,726,050.25, an accounting of fees paid by Accredit to Great Pacific and an order that the fees be repaid to Accredit, damages for misrepresentation and general damages." The basis for the claims were set out at para. 7 of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I paraphrase them here:</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misrepresentation claim: that the individual appellants had committed various representations to induce the shareholders to invest in Accredit, that the representations were false, and that the shareholders had thereby suffered loss;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in mismanagement: that Great Pacific had mismanaged Accredit's management portfolio, resulting in losses to the shareholders through a reduction in the redemption value of their shares of $3,726,050.25;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return of fees claim: that Accredit was entitled to a return of fees paid to Great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At para. 8, Hunter J.A. discussed Great Pacific's "respon[se] to the notice of civil claim [which was] an application under Rule 9-5(1)(a) to strike the mismanagement claim and the return of fees claim on the ground that these ... causes of action belong[ed] to ... Accredit, [and] not its shareholders", who were "barred by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from pursuing them". There was no challenge brought against the shareholders' right to bring the misrepresentation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para. 10, it is noted that as "only sub-rule (a) was invoked by Great Pacific, no evidence was admissible on the application." Accordingly, the question of "[w]hether the notice of civil claim disclosed a reasonable claim was to be determined on the pleadings alone", and assumed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paras. 12 to 16, Hunter J.A. discussed the chambers proceedings, including a quote of para. 17 of the chambers judge's reasons, which I have already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Justice Hunter focuses on the chambers judgment itself at paras. 15 to 18, with paras. 15 to 17 being most instructive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As noted by Hunter J.A. at para. 15, the "Reasons for Judgment were released on January 27, 2017. The chambers judge dismissed the application to strike [because] ... he was not satisfied that it was plain and obvious that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applied to a mortgage investment corporation." The reasons in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xml:space="preserve"> continue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chambers judge accurately set out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but accepted the position of the plaintiffs that "due to the nature and ostensible purpose of an MIC, it can be argued that an MIC is incapable of truly suffering and actionable loss" (at para. 27). He explained his reasoning in this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[31] As an MIC passes on all net income to its shareholders through dividends, it is arguable that in the same way, an MIC passes on all losses to its shareholders, the revised share redemption prices.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[33] Here, the plaintiffs say that they have suffered a loss but Accredit has not. They argue that as the profits and losses of Accredit must be passed on to the shareholders or investors, Accredit has no loss to claim. Therefore, the plaintiffs are the only ones able to advance claims against the defendants. Whether that argument has merit remains to be seen, but without a full examination of all of the facts and agreements between the investors and Accredit, and Accredit and Great Pacific, I am not able to say that it is "plain and obvious" the plaintiffs claim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para. 17, the Court of Appeal noted that "[t]he reasons for judgment also appeared to rely in part on the affidavit evidence that the chambers judge had correctly ruled was inadmissible when the matter was argued in August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At paras. 19 to 26, Hunter J.A. discussed the standard of review. At para. 20, Hunter J.A. cites to </w:t>
      </w:r>
      <w:r>
        <w:rPr>
          <w:rFonts w:ascii="arial" w:eastAsia="arial" w:hAnsi="arial" w:cs="arial"/>
          <w:i/>
          <w:color w:val="000000"/>
          <w:sz w:val="20"/>
          <w:lang w:val="en-US" w:eastAsia="en-US" w:bidi="ar-SA"/>
        </w:rPr>
        <w:t>R. v. Imperial Tobacco Canada</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A claim will only be struck if it is plain and obvious, assuming the facts pleaded to be true, that the pleading discloses no reasonable cause of action. ... Another way of putting the test is that the claim has no reasonable prospect of success. Where a reasonable prospect of success exists, the matter should be allowed to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para. 20, Hunter J.A. stated the following with respect to the question for the chambers judge: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 [W]hether there was a reasonable prospect that the mismanagement and return of fees claims could succeed at the suit of the Shareholders, or whether it was plain and obvious that this part of the claim would fail by application of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Court of Appeal rejected the shareholder's argument, with reliance on </w:t>
      </w:r>
      <w:r>
        <w:rPr>
          <w:rFonts w:ascii="arial" w:eastAsia="arial" w:hAnsi="arial" w:cs="arial"/>
          <w:i/>
          <w:color w:val="000000"/>
          <w:sz w:val="20"/>
          <w:lang w:val="en-US" w:eastAsia="en-US" w:bidi="ar-SA"/>
        </w:rPr>
        <w:t>Tangerine Financial Products Limited Partnership v. The Reeves Family Trust</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2015 BCCA 359</w:t>
        </w:r>
      </w:hyperlink>
      <w:r>
        <w:rPr>
          <w:rFonts w:ascii="arial" w:eastAsia="arial" w:hAnsi="arial" w:cs="arial"/>
          <w:color w:val="000000"/>
          <w:sz w:val="20"/>
          <w:lang w:val="en-US" w:eastAsia="en-US" w:bidi="ar-SA"/>
        </w:rPr>
        <w:t>, that the decision whether to strike a pleading under Rule 9-5(1)(a) is a discretionary one and entitled to a deferential view. Justice Hunter noted that after review of those two decisions: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In my view, those decisions do not stand for the proposition that every order made under Rule 9-5(1) is to be accorded the deference owed to a discretionary decision. Whether such deference is appropriate will depend on the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realize that in the case at bar the plaintiffs were seeking to add parties, which entails a much less stringent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paras. 24 and 25, Hunter J.A. further traversed the subject of discretion: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In my view, the question whether a pleading discloses a reasonable cause of action under Rule 9-5(1) (a) will generally be an extricable issue for which no deference need be accorded the chambers judge. If it is asserted that a rule of law is a complete answer to the claim, the question at issue is a question of law for which the standard of review is correctness.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A similar analysis can be found in this Court's judgement in </w:t>
      </w:r>
      <w:r>
        <w:rPr>
          <w:rFonts w:ascii="arial" w:eastAsia="arial" w:hAnsi="arial" w:cs="arial"/>
          <w:i/>
          <w:color w:val="000000"/>
          <w:sz w:val="20"/>
          <w:lang w:val="en-US" w:eastAsia="en-US" w:bidi="ar-SA"/>
        </w:rPr>
        <w:t>Carhoun &amp; Sons Enterprises Limited v. Canada (Attorney General)</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2015 BCCA 163</w:t>
        </w:r>
      </w:hyperlink>
      <w:r>
        <w:rPr>
          <w:rFonts w:ascii="arial" w:eastAsia="arial" w:hAnsi="arial" w:cs="arial"/>
          <w:color w:val="000000"/>
          <w:sz w:val="20"/>
          <w:lang w:val="en-US" w:eastAsia="en-US" w:bidi="ar-SA"/>
        </w:rPr>
        <w:t>, cited in [</w:t>
      </w:r>
      <w:r>
        <w:rPr>
          <w:rFonts w:ascii="arial" w:eastAsia="arial" w:hAnsi="arial" w:cs="arial"/>
          <w:i/>
          <w:color w:val="000000"/>
          <w:sz w:val="20"/>
          <w:lang w:val="en-US" w:eastAsia="en-US" w:bidi="ar-SA"/>
        </w:rPr>
        <w:t>Tangerine Financial Products Limited Partnership v. The Reeves Family Trust</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2015 BCCA 359</w:t>
        </w:r>
      </w:hyperlink>
      <w:r>
        <w:rPr>
          <w:rFonts w:ascii="arial" w:eastAsia="arial" w:hAnsi="arial" w:cs="arial"/>
          <w:color w:val="000000"/>
          <w:sz w:val="20"/>
          <w:lang w:val="en-US" w:eastAsia="en-US" w:bidi="ar-SA"/>
        </w:rPr>
        <w:t>] at para. 41, where Justice Garson made the following comments: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 would frame the issue that was before the chambers judge in this way: is it plain and obvious that Canada does not owe a duty of care to Carhoun? Discretionary decisions are ones where "the law does not dictate a specific outcome, or where the decision-maker is given a choice of options within a statutorily imposed set of boundaries": </w:t>
      </w:r>
      <w:r>
        <w:rPr>
          <w:rFonts w:ascii="arial" w:eastAsia="arial" w:hAnsi="arial" w:cs="arial"/>
          <w:i/>
          <w:color w:val="000000"/>
          <w:sz w:val="20"/>
          <w:lang w:val="en-US" w:eastAsia="en-US" w:bidi="ar-SA"/>
        </w:rPr>
        <w:t>Baker v. Canada (Minister of Citizenship and Immigration)</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[1999] 2 S.C.R. 817</w:t>
        </w:r>
      </w:hyperlink>
      <w:r>
        <w:rPr>
          <w:rFonts w:ascii="arial" w:eastAsia="arial" w:hAnsi="arial" w:cs="arial"/>
          <w:color w:val="000000"/>
          <w:sz w:val="20"/>
          <w:lang w:val="en-US" w:eastAsia="en-US" w:bidi="ar-SA"/>
        </w:rPr>
        <w:t xml:space="preserve"> at para. 52; see also </w:t>
      </w:r>
      <w:r>
        <w:rPr>
          <w:rFonts w:ascii="arial" w:eastAsia="arial" w:hAnsi="arial" w:cs="arial"/>
          <w:i/>
          <w:color w:val="000000"/>
          <w:sz w:val="20"/>
          <w:lang w:val="en-US" w:eastAsia="en-US" w:bidi="ar-SA"/>
        </w:rPr>
        <w:t>459381 B.C. Ltd. v. Strata Plan BCS 1589</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2012 BCCA 44</w:t>
        </w:r>
      </w:hyperlink>
      <w:r>
        <w:rPr>
          <w:rFonts w:ascii="arial" w:eastAsia="arial" w:hAnsi="arial" w:cs="arial"/>
          <w:color w:val="000000"/>
          <w:sz w:val="20"/>
          <w:lang w:val="en-US" w:eastAsia="en-US" w:bidi="ar-SA"/>
        </w:rPr>
        <w:t xml:space="preserve"> at para. 14. Where the law does dictate a specific outcome, a chambers judge has no discretion.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para. 26, Hunter J.A. put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 Is it plain and obvious that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is a complete answer to the mismanagement and return of fees claims against the appellant? If the answer is Yes, the law dictates that these claims must be dismissed. If the answer is No, either because the rule does not apply to mortgage investment corporations or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not apply to the circumstances pled, the case must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At para. 28, Justice Hunter noted that "[t]he chambers judge expressed uncertainty as to whether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applied" to such an MIC, due to "the [s]hareholders' argument that [such a corporation] cannot not suffer a loss [since] ... any profits or losses [were] passed through to shareholders". Justice Hunter saw no reason for such uncertainty, and reframed the issue by stating that "[a] MIC is simply a corporation that is organized in such a way that its shares are qualified investments pursuant to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It is incorporation that breathes legal life into a MIC", at para. 29. He commented further in the same paragraph that notwithstanding the need to meet certain statutory requirements to maintain the mortgage investment corporation's preferential tax status, "its legal status remains that of a corporation. As a corporation, a MIC is a legal entity separate from its shareholders, can enter into contracts and sue and be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for losses suffered by an MIC, he pointed out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The fact that a loss suffered by a MIC will eventually be felt by its shareholders, either through reduced dividends or a diminution of share value, is common to corporate structures. It is in the nature of any corporation that corporate losses will flow in some form or other to the detriment of its shareholders. That does not mean that the corporation has not suffered a loss, any more than distribution of profits to shareholders means a corporation has not incurred a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Further in this vein, and the application of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Hunter J.A. states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has been applied broadly to any association of persons that has a distinct legal status such that it may sue or be sued. It has been applied to trusts [citation omitted], limited partnerships [citation omitted], strata corporations [citation omitted] and trade unions, [citation omitted] [see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As for exceptions, to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Hunter J.A. granted at para. 32 that there are exceptions to the rule; but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 [T]he only one said to apply in this case is the principle noted by Justice Newbury in [</w:t>
      </w:r>
      <w:r>
        <w:rPr>
          <w:rFonts w:ascii="arial" w:eastAsia="arial" w:hAnsi="arial" w:cs="arial"/>
          <w:i/>
          <w:color w:val="000000"/>
          <w:sz w:val="20"/>
          <w:lang w:val="en-US" w:eastAsia="en-US" w:bidi="ar-SA"/>
        </w:rPr>
        <w:t>Everest Canadian Properties Ltd. v. CIBC World Markets Inc.</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2008 BCCA 276</w:t>
        </w:r>
      </w:hyperlink>
      <w:r>
        <w:rPr>
          <w:rFonts w:ascii="arial" w:eastAsia="arial" w:hAnsi="arial" w:cs="arial"/>
          <w:color w:val="000000"/>
          <w:sz w:val="20"/>
          <w:lang w:val="en-US" w:eastAsia="en-US" w:bidi="ar-SA"/>
        </w:rPr>
        <w:t>] at para. 9, that "the rule does not apply in respect of a cause of action that 'belongs to' an individual member of the corporation or the association personally." This is perhaps less an "exception" than the statement of the converse of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para. 33, Hunter J.A. concluded, "that as a matter of law, the rule applies to MICs to bar shareholders from bringing action to enforce a claim that is properly the claim of the MIC. The real question here is not whether the rule applies to a MIC, but whether the claims being advanced in [the] proceeding are claims of the MIC or independent personal claims of its shareholders." He then discussed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Court noted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 misrepresentation claim is based on an allegation that individual appellants made material misrepresentations to the respondents upon which they relied to their detriment. This is an example of an independent personal claim belonging to the shareholders and ... [the appellants appropriately omitted from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para. 38, Hunter J.A.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The basis of the return of fees claim is found at para. 18 of the notice of civil claim as follows: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the January 30, 2006 Financial Services Agreement, in consideration for the services provided to Accredit and its shareholders by Great Pacific, Accredit pays to Great Pacific an annual fee of 2% of the total assets under management, including but not limited to the Portfolio (as defined in the Agreement), calculated and payable on a monthly basis. The Financial Services Agreement also permits Great Pacific to charge brokerage fees, lenders' fees, commitment fees, extension fees, renewal fees, NSF fees, administration fees and similar fees to borrowers with respect to any Mortgage Loan, all of which fees are the sole property of Great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para. 39, Hunter J.A.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The relief sought in the notice of civil claim in relation to the fees paid by Accredit is: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accounting of all fees paid by Accredit the Great Pacific and the Directors pursuant to the Financial Services Agreements from September 2004 through June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para. 40, Hunter J.A. noted "the fees were paid by Accredit and any claim for their return can only be made by Accredit. The Shareholders have no independent claim to advance for the return of Accredit's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Turning now to the case at bar, the Atwal and Sidhu defendants assert (at para. 19) "[t]he plaintiffs can no more claim against [them in the claim of] knowing receipt than they could for a ... [conventional] breach of trust; indeed, the knowing receipt claim includes as necessary components that the money said to be received was held in trust for the Plaintiffs and was paid in breach ... [of that trust to the defendants]. The defendants further submit that to conclude this would be to "ignore the critical intermediate existence of the Pinnacle company: [that is,] if Cascade Creek held monies in trust at all, it surely was </w:t>
      </w:r>
      <w:r>
        <w:rPr>
          <w:rFonts w:ascii="arial" w:eastAsia="arial" w:hAnsi="arial" w:cs="arial"/>
          <w:i/>
          <w:color w:val="000000"/>
          <w:sz w:val="20"/>
          <w:lang w:val="en-US" w:eastAsia="en-US" w:bidi="ar-SA"/>
        </w:rPr>
        <w:t>for its own shareholders</w:t>
      </w:r>
      <w:r>
        <w:rPr>
          <w:rFonts w:ascii="arial" w:eastAsia="arial" w:hAnsi="arial" w:cs="arial"/>
          <w:color w:val="000000"/>
          <w:sz w:val="20"/>
          <w:lang w:val="en-US" w:eastAsia="en-US" w:bidi="ar-SA"/>
        </w:rPr>
        <w:t>, including Pinnacle. [Further that] Pinnacle will in turn have been obligated to Hunter West cannot possibly give the latter a cause of action against third parties such as the Atwals". They submit that "[i]f there is a cause of action at all, it belongs exclusively to Pinnacle", which is obligated to Hunter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Counsel for the Atwals submits (at para. 20) the "Plaintiffs' position [on] ... the alleged trust in their favour is set out at paragraph [57] of Part I of the proposed Amended Notice of Civil Claim"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In particular, Cascade, on Pinnacle's behalf, received certain sums of money on account of the development, construction, and sale of the Development, and a share of these sums in proportion with Hunter West's interest in Pinnacle constitute a trust fund for the benefit of the Plaintiffs (the "Trust"), particularly since Pinnacle did not have its own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Atwals submit (at para. 21) that this "allegation expresses a legal position and therefore is not one [of fact] that ... the Court is bound to accept for the narrow purpose of an application to add a party." The Atwals further submit that "the </w:t>
      </w:r>
      <w:r>
        <w:rPr>
          <w:rFonts w:ascii="arial" w:eastAsia="arial" w:hAnsi="arial" w:cs="arial"/>
          <w:i/>
          <w:color w:val="000000"/>
          <w:sz w:val="20"/>
          <w:lang w:val="en-US" w:eastAsia="en-US" w:bidi="ar-SA"/>
        </w:rPr>
        <w:t>only</w:t>
      </w:r>
      <w:r>
        <w:rPr>
          <w:rFonts w:ascii="arial" w:eastAsia="arial" w:hAnsi="arial" w:cs="arial"/>
          <w:color w:val="000000"/>
          <w:sz w:val="20"/>
          <w:lang w:val="en-US" w:eastAsia="en-US" w:bidi="ar-SA"/>
        </w:rPr>
        <w:t xml:space="preserve"> fact offered to support this alleged trust in favour of the Plaintiffs is that Pinnacle did not have its own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Counsel for the Atwals submits (further at para. 21) that while the Court at this stage (that is on the reconsideration application), must accept the fact that Pinnacle does not have its own bank account, the following would issue:</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be a startling proposition if the holding of a bank account was essential to the status of a trust beneficiary (and doubtless unprecedented in law);</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bare allegation that the Cascade Creek held funds in trust for the Plaintiffs, while ignoring entirely its shareholder, Pinnacle, is legally outlandish;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a trust/beneficiary relationship between Cascade Creek and the Plaintiffs, the knowing receipt claim does not get off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Atwals further submit (at para. 22) that "the misrepresentation claim against the third party management company in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xml:space="preserve"> was entirely different: it in no way depended upon proving a fiduciary/trust relationship that belied objective corporate relationships and shareholdings, but rather required only application of the conventional neighbour principle in tort." The Atwals further contend that "[i]t is no surprise that the defendant in that case did not challenge the misrepresentation plea as [based] on the pleadings alone it was unassailable."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plaintiffs begin their position with the comment that neither the Atwal defendants nor the Sidhu defendants have taken the "usual" steps to appeal the decision, instead taking the position that it cannot possibly stand in light of the Court of Appeal's decision in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that regard, there is no reason to draw a negative inference. The parties sought and were granted a reconsideration. This was reasonable in the circumstances and consistent with comments made in the Court of Appeal encouraging parties to seek a hearing with the trial judge to clarify issues, terms of orders, consideration of new appellate case law, authorities overlooked, or correctable errors in Reasons for Judgement. In the case at bar, considering the significance of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which was not published and not before this Court, seeking a reconsideration was an appropriate election instead of appealing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plaintiffs submit (at para. 3), "[t]he present reconsideration is not one for all purposes. The sole issue to be determined is [whether] ... the Court of Appeal's treatment of the rule in </w:t>
      </w:r>
      <w:r>
        <w:rPr>
          <w:rFonts w:ascii="arial" w:eastAsia="arial" w:hAnsi="arial" w:cs="arial"/>
          <w:i/>
          <w:color w:val="000000"/>
          <w:sz w:val="20"/>
          <w:lang w:val="en-US" w:eastAsia="en-US" w:bidi="ar-SA"/>
        </w:rPr>
        <w:t>Foster v. Harbottle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xml:space="preserve"> changed or clarified the existing law, such that the Decision must be reversed."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plaintiffs submit (at para. 4) that "analyzed correctly, the </w:t>
      </w:r>
      <w:r>
        <w:rPr>
          <w:rFonts w:ascii="arial" w:eastAsia="arial" w:hAnsi="arial" w:cs="arial"/>
          <w:i/>
          <w:color w:val="000000"/>
          <w:sz w:val="20"/>
          <w:lang w:val="en-US" w:eastAsia="en-US" w:bidi="ar-SA"/>
        </w:rPr>
        <w:t>EY Decision</w:t>
      </w:r>
      <w:r>
        <w:rPr>
          <w:rFonts w:ascii="arial" w:eastAsia="arial" w:hAnsi="arial" w:cs="arial"/>
          <w:color w:val="000000"/>
          <w:sz w:val="20"/>
          <w:lang w:val="en-US" w:eastAsia="en-US" w:bidi="ar-SA"/>
        </w:rPr>
        <w:t xml:space="preserve"> has not altered the law"; and that, "[m]ore accurately, the plaintiffs in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xml:space="preserve"> argued for what they admitted was a 'novel' claim that, ultimately, was not permitted to proceed." Accordingly the plaintiffs submit in a sense, "the law remains the same now as when the Plaintiffs' application was originally before this Court. The plaintiffs submit (at para. 5) that "[f]or this reason, the Decision adding the Atwal Defendants and Sidhu Defendants was correct in the first instance, and remains so, particularly in light of the low threshold applicable to adding new parties. Nothing in the Court of Appeal's decision in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xml:space="preserve"> or the submission of the Atwal Defendants compels the Court to reach a contrary result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attached copies of several authorities, in addition to those referenced in the submissions of the Atwal defendants or which were not contained in the plaintiffs' original brief of authorities in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issue on the reconsideration before me is whether, the </w:t>
      </w:r>
      <w:r>
        <w:rPr>
          <w:rFonts w:ascii="arial" w:eastAsia="arial" w:hAnsi="arial" w:cs="arial"/>
          <w:i/>
          <w:color w:val="000000"/>
          <w:sz w:val="20"/>
          <w:lang w:val="en-US" w:eastAsia="en-US" w:bidi="ar-SA"/>
        </w:rPr>
        <w:t>ratio</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xml:space="preserve"> and the application of the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rule provides a complete answer to the addition of the Atwal and Sidhu defendants which I earlier permitted in my original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parties' submissions do not explicitly contest the matter of whether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applies to any alleged trust. However, in substance, they disagree on this point. As I earlier noted, the Atwal and Sidhu defendants argue that the plaintiffs' position ignores the status of Pinnacle as a company. In other words, if Cascade Creek is found to be a constructive trustee or otherwise found to be holding funds in trust at all, it would be for its shareholders, which includes Pinnacle. The defendants submit that any such cause of action against the added defendants would belong exclusively to Pinnacle.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At the outset, I note that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xml:space="preserve"> acknowledges that the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rule applies to trusts: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xml:space="preserve"> at para. 31, citing </w:t>
      </w:r>
      <w:r>
        <w:rPr>
          <w:rFonts w:ascii="arial" w:eastAsia="arial" w:hAnsi="arial" w:cs="arial"/>
          <w:i/>
          <w:color w:val="000000"/>
          <w:sz w:val="20"/>
          <w:lang w:val="en-US" w:eastAsia="en-US" w:bidi="ar-SA"/>
        </w:rPr>
        <w:t>Everest Canadian Properties Ltd. v. CIBC World Markets Inc.</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2008 BCCA 276</w:t>
        </w:r>
      </w:hyperlink>
      <w:r>
        <w:rPr>
          <w:rFonts w:ascii="arial" w:eastAsia="arial" w:hAnsi="arial" w:cs="arial"/>
          <w:color w:val="000000"/>
          <w:sz w:val="20"/>
          <w:lang w:val="en-US" w:eastAsia="en-US" w:bidi="ar-SA"/>
        </w:rPr>
        <w:t>. While the merits of the trust arguments are yet to be explored, at this reconsideration stage of adding a party, the defendants properly focus on the nature of the corporate relationship between the plaintiffs, and Pinnacle, Cascade Creek, and the Atwal and Sidhu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Despite the plaintiffs' insistence that their claim and loss suffered is a personal one, that ignores and diminishes the clear corporate structure, organization and interrelationship between the plaintiff, Mr. Gill as a sole director of the other plaintiff Hunter West, which is a one-third interest holder in Pinnacle, who in turn holds a 50% interest in Cascade Creek. While the plaintiffs emphasize that the parties have "expressly contemplated and agreed" that the monies from the development project payable by Cascade Creek to Pinnacle would be directed to the plaintiffs where they directed its payment, that is insufficient to ward off the application of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I revisit this point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foundational element of the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rule is that a corporation is a separate legal entity. Here Pinnacle is a corporation, specifically a holding company, and it is not argued that it is not a separate legal entity. The plaintiffs are shareholders of Pinnacle in a one-third interest. If, as I assume the facts as pleaded are true, that the Atwals and the Sidhu defendants have wrongfully caused certain funds or expenditures to be made from Pinnacle or from Cascade Creek, Pinnacle, as a 50% interest holder of Cascade Creek, is entitled to the proceeds or profits of the development and would equally have standing to sue as against the Atwals and Sidhu defendants for knowing receipt.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point is that Pinnacle is a recognized separate person at law vested with separate legal standing, personality, and the ability to sue in respect of wrongs committed against it by trustees or any other strangers to the trustee. On this basis alone, with reference to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xml:space="preserve"> and acknowledgment that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applies to trusts, I would conclude that the procedural rule of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also applies to the claim of knowing receipt advanced by the plaintiffs against the Atwals and Sidhu defendants, which is contingent on the finding of a constructive trustee-ship on the part of the proposed defendants. However, I proceed with a consideration of the nature of the claim and the nature of the losses the plaintiffs advance.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Nature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specific issue is whether the plaintiffs' claim of knowing receipt against the Atwal and the Sidhu defendants is an </w:t>
      </w:r>
      <w:r>
        <w:rPr>
          <w:rFonts w:ascii="arial" w:eastAsia="arial" w:hAnsi="arial" w:cs="arial"/>
          <w:color w:val="000000"/>
          <w:sz w:val="20"/>
          <w:u w:val="single"/>
          <w:lang w:val="en-US" w:eastAsia="en-US" w:bidi="ar-SA"/>
        </w:rPr>
        <w:t>independent claim</w:t>
      </w:r>
      <w:r>
        <w:rPr>
          <w:rFonts w:ascii="arial" w:eastAsia="arial" w:hAnsi="arial" w:cs="arial"/>
          <w:color w:val="000000"/>
          <w:sz w:val="20"/>
          <w:lang w:val="en-US" w:eastAsia="en-US" w:bidi="ar-SA"/>
        </w:rPr>
        <w:t xml:space="preserve">, and an </w:t>
      </w:r>
      <w:r>
        <w:rPr>
          <w:rFonts w:ascii="arial" w:eastAsia="arial" w:hAnsi="arial" w:cs="arial"/>
          <w:color w:val="000000"/>
          <w:sz w:val="20"/>
          <w:u w:val="single"/>
          <w:lang w:val="en-US" w:eastAsia="en-US" w:bidi="ar-SA"/>
        </w:rPr>
        <w:t>independent loss</w:t>
      </w:r>
      <w:r>
        <w:rPr>
          <w:rFonts w:ascii="arial" w:eastAsia="arial" w:hAnsi="arial" w:cs="arial"/>
          <w:color w:val="000000"/>
          <w:sz w:val="20"/>
          <w:lang w:val="en-US" w:eastAsia="en-US" w:bidi="ar-SA"/>
        </w:rPr>
        <w:t xml:space="preserve">, or cause of action that belongs to the plaintiffs' </w:t>
      </w:r>
      <w:r>
        <w:rPr>
          <w:rFonts w:ascii="arial" w:eastAsia="arial" w:hAnsi="arial" w:cs="arial"/>
          <w:color w:val="000000"/>
          <w:sz w:val="20"/>
          <w:u w:val="single"/>
          <w:lang w:val="en-US" w:eastAsia="en-US" w:bidi="ar-SA"/>
        </w:rPr>
        <w:t>personally</w:t>
      </w:r>
      <w:r>
        <w:rPr>
          <w:rFonts w:ascii="arial" w:eastAsia="arial" w:hAnsi="arial" w:cs="arial"/>
          <w:color w:val="000000"/>
          <w:sz w:val="20"/>
          <w:lang w:val="en-US" w:eastAsia="en-US" w:bidi="ar-SA"/>
        </w:rPr>
        <w:t xml:space="preserve"> apart from Pinnacle's entitlement? The answer to this question is 'no'. It is also a claim of Pinnacle's, or depending on the outcome of the resolution of that knowing receipt claim, Cascade Creek's.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plaintiffs are emphatic that the nature of the claims raised in this case are constituted differently than those advanced in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xml:space="preserve">. Although they concede that the claim advanced against the Atwal and Sidhu defendants does not fall under the oppression remedy, they argue that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xml:space="preserve"> does not resolve or consider in the context of an oppression claim, whether a minority shareholder which is Pinnacle in this case, has standing to claim against the related operating company, Cascade Creek, under s. 227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or other ground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plaintiffs suggest that if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applies to this case as the Atwals contend, since the plaintiffs are non-shareholders in Cascade Creek, they cannot show that the funds allegedly paid to the Atwals were in trust and such an argument would place a burden on them that s. 227 of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xml:space="preserve"> would not and they cite to that provision. Further, they argue that a court's remedial jurisdiction under s. 227 does not require that the plaintiffs be shareholders in Cascade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All of these arguments bolster the plaintiffs' position that they have standing to bring a claim of knowing receipt against the proposed defendants which distinguishes the nature of their claims from those advanced in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As I explain below, they do not undermine the equal entitlement of Pinnacle to claim for knowing receipt.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1043325 Ontario Ltd. v. CSA Building Sciences Western Ltd.</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2012 BCSC 1058</w:t>
        </w:r>
      </w:hyperlink>
      <w:r>
        <w:rPr>
          <w:rFonts w:ascii="arial" w:eastAsia="arial" w:hAnsi="arial" w:cs="arial"/>
          <w:color w:val="000000"/>
          <w:sz w:val="20"/>
          <w:lang w:val="en-US" w:eastAsia="en-US" w:bidi="ar-SA"/>
        </w:rPr>
        <w:t>, for support that they are entitled to a remedy of a declaration of beneficial ownership by the corporation to rectify oppression, without needing to commence a derivative action. That case provides no instruction for the issue before me. It was a decision for cancelling certificates of pending litigation which the petitioner filed. I do not find that the plaintiffs have no standing to sue for knowing receipt, they do; the issue is whether that is an independent and personal claim and loss apart from Pinnacle's claim and loss. It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As I earlier canvassed, the parties concur on the three elements of the knowing receipt claim from </w:t>
      </w:r>
      <w:r>
        <w:rPr>
          <w:rFonts w:ascii="arial" w:eastAsia="arial" w:hAnsi="arial" w:cs="arial"/>
          <w:i/>
          <w:color w:val="000000"/>
          <w:sz w:val="20"/>
          <w:lang w:val="en-US" w:eastAsia="en-US" w:bidi="ar-SA"/>
        </w:rPr>
        <w:t>Laxton</w:t>
      </w:r>
      <w:r>
        <w:rPr>
          <w:rFonts w:ascii="arial" w:eastAsia="arial" w:hAnsi="arial" w:cs="arial"/>
          <w:color w:val="000000"/>
          <w:sz w:val="20"/>
          <w:lang w:val="en-US" w:eastAsia="en-US" w:bidi="ar-SA"/>
        </w:rPr>
        <w:t xml:space="preserve">. It includes proof that the property sought, here the development funds or profits received by Cascade from resale of the development property, was subject to a trust in favour of the plaintiffs; that these funds were received by the defendants in breach of the alleged trust to the plaintiffs; and that the Atwal and Sidhu defendants did not take these funds as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purchasers for value without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claim for knowing receipt is moored in constructive principles where the law foists on third parties, or strangers to a trust, the obligations of a trustee in certain instances. This includes a situation where the stranger knowingly participates in a breach of trust: </w:t>
      </w:r>
      <w:r>
        <w:rPr>
          <w:rFonts w:ascii="arial" w:eastAsia="arial" w:hAnsi="arial" w:cs="arial"/>
          <w:i/>
          <w:color w:val="000000"/>
          <w:sz w:val="20"/>
          <w:lang w:val="en-US" w:eastAsia="en-US" w:bidi="ar-SA"/>
        </w:rPr>
        <w:t>Air Canada v. M&amp;L Travel Ltd.</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[1993] 3 S.C.R. 787</w:t>
        </w:r>
      </w:hyperlink>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108 D.L.R. (4th) 592</w:t>
        </w:r>
      </w:hyperlink>
      <w:r>
        <w:rPr>
          <w:rFonts w:ascii="arial" w:eastAsia="arial" w:hAnsi="arial" w:cs="arial"/>
          <w:color w:val="000000"/>
          <w:sz w:val="20"/>
          <w:lang w:val="en-US" w:eastAsia="en-US" w:bidi="ar-SA"/>
        </w:rPr>
        <w:t xml:space="preserve">. The remedy for a finding of liability for "knowing receipt" is a restitutionary one: </w:t>
      </w:r>
      <w:r>
        <w:rPr>
          <w:rFonts w:ascii="arial" w:eastAsia="arial" w:hAnsi="arial" w:cs="arial"/>
          <w:i/>
          <w:color w:val="000000"/>
          <w:sz w:val="20"/>
          <w:lang w:val="en-US" w:eastAsia="en-US" w:bidi="ar-SA"/>
        </w:rPr>
        <w:t>Citadel General Assurance Co. v. Lloyds Bank Canada</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[1997] 3 S.C.R. 805</w:t>
        </w:r>
      </w:hyperlink>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152 D.L.R. (4th) 411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While the success of the plaintiffs' entitlement to a restitutionary remedy on a finding of liability for knowing receipt is yet to be seen, based on the assumed facts as pleaded, the plaintiffs have standing to claim for knowing receipt. However, notwithstanding an ostensible entitlement by the plaintiffs as assumed beneficiaries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constructive trustees, the Atwal and Sidhu defendants, the plaintiffs' entitlement does not also oust Pinnacle's entitlement or Cascade Creek's as the case may be, as equal beneficiaries on these facts as assumed to bring an action for a finding of liability against the Atwals and Sidhus on the knowing receipt claim. If a court is to find that the Atwal and Sidhu defendants were constructive trustees, it would not be fit to ignore the corporate scheme that would render Pinnacle, just as the plaintiffs present themselves, as holders of beneficial interests in the funds that are alleged to be variously misapplied and mismanaged. Whether indeed any court ignores the corporate relationship in deciding the knowing receipt claim is a separate inquiry; at this stage, the corporate relationship is established and on the facts as pleaded, support the entitlement of Pinnacle, or Cascade Creek, to also advance the knowing receipt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plaintiffs' position posits that their "independent" claim and loss can only be characterized as "exclusively theirs" or "exclusively Pinnacle's". They claim it is theirs. "Independent" connotes a separate stand alone claim or cause of action against a defendant, the validity of which is not contingent or dependent on the existence of another plaintiff's entitlement to advance the claim. If independence is understood this way, it means that the claim and loss advanced by the plaintiffs must be one that is separate and distinct from Pinnacle's, but it is not a contest of whether the subject cause of action is the plaintiff's' or Pinnacle's exclusively, to bring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It is only concerned with whether the </w:t>
      </w:r>
      <w:r>
        <w:rPr>
          <w:rFonts w:ascii="arial" w:eastAsia="arial" w:hAnsi="arial" w:cs="arial"/>
          <w:i/>
          <w:color w:val="000000"/>
          <w:sz w:val="20"/>
          <w:lang w:val="en-US" w:eastAsia="en-US" w:bidi="ar-SA"/>
        </w:rPr>
        <w:t>lis</w:t>
      </w:r>
      <w:r>
        <w:rPr>
          <w:rFonts w:ascii="arial" w:eastAsia="arial" w:hAnsi="arial" w:cs="arial"/>
          <w:color w:val="000000"/>
          <w:sz w:val="20"/>
          <w:lang w:val="en-US" w:eastAsia="en-US" w:bidi="ar-SA"/>
        </w:rPr>
        <w:t xml:space="preserve"> as alleged between the proposed defendants has a characteristic that does not involve Pinnacle's entitlement to sue for losses. On the corporate structure as pleaded, the claim in knowing receipt against the Atwal and Sidhu defendants belongs perforce to Pinnacle as it does to the one-third shareholders of Pinnacle, including the plaintiffs. Accordingly, the plaintiffs have not demonstrated a complete and independent personal claim or loss that stands apart in kind from Pinnacle's claim or loss against the Atwal or Sidhu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To remove doubt I turn to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xml:space="preserve">, which is analytically on point in this regard. At para. 30, as I said before, Hunter J.A. makes it clear that it is a common by-product of a corporate structure where a loss that an MIC, or a corporation, suffers is later felt by the shareholders, either "through reduced dividends or administration of share value". After establishing that, there was no reason to adopt the plaintiffs' argument that because they as shareholders would suffer loss, it meant the corporation itself would not also suffer loss "any more than distribution of profits to shareholders means a corporation has not incurred a profit." While Hunter J.A.'s comments were made in the context of discussing that an MIC was also a corporation notwithstanding its role as a conduit and thus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applied to it, the substance of his holding derives from the nature of the corporate structure that undergirded the parties' relationship. I find the plaintiffs in the case at bar are implicitly arguing that Pinnacle will not suffer from any liability in a knowing receipt claim given that any losses suffered is properly the plaintiffs' personal claim and not suffered necessarily in their capacity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shareholders. In light of this, despite the plaintiffs' argument that there is "no commonality" between the nature of the claims advanced in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and the instant one, Hunter J.A.'s observation has equal application to the case at bar. Pinnacle, or Cascade Creek as the case may be, would equally suffer and have standing on a claim of knowing receipt in the event that the Atwal or Sidhu defendants are constructive trustees who have committed liability under knowing receipt by virtue of the fact that Pinnacle is a 50% interest holder in Cascade Creek to whom the defendants may owe constructive trustee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As a contrast, the misrepresentation claim in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xml:space="preserve"> was based on an allegation that the appellants (the defendants) in that case made material representations to the respondents (the plaintiffs) which the respondents relied on to their detriment in investing in Accredit. Without further exposition, Hunter J.A. was satisfied that this was an example of "an independent personal claim belonging to the shareholders": at para. 35. Great Pacific and its alleged mismanagement of Accredit's portfolio of which the plaintiffs in that action were shareholders, was the subject of the misrepresentation claim. It is apparent on that basis that Accredit, as the corporate entity, would not share in any standing to a claim in misrepresentation. The </w:t>
      </w:r>
      <w:r>
        <w:rPr>
          <w:rFonts w:ascii="arial" w:eastAsia="arial" w:hAnsi="arial" w:cs="arial"/>
          <w:i/>
          <w:color w:val="000000"/>
          <w:sz w:val="20"/>
          <w:lang w:val="en-US" w:eastAsia="en-US" w:bidi="ar-SA"/>
        </w:rPr>
        <w:t>lis</w:t>
      </w:r>
      <w:r>
        <w:rPr>
          <w:rFonts w:ascii="arial" w:eastAsia="arial" w:hAnsi="arial" w:cs="arial"/>
          <w:color w:val="000000"/>
          <w:sz w:val="20"/>
          <w:lang w:val="en-US" w:eastAsia="en-US" w:bidi="ar-SA"/>
        </w:rPr>
        <w:t xml:space="preserve"> in misrepresentation as between the plaintiffs and Great Pacific, who was contracted to manage Accredits portfolio and other related financial affairs, was between the plaintiffs and Great Pacific, to have the plaintiffs invest in Accredit, with no interposition of Accredits corporate rights in that claim. Any damages the plaintiffs claimed would be available only to them for a successful claim in misrepresentation, and not impact on Accredit. While Accredit was the managed company, it would have no basis on those facts to sue Great Pacific for misrepresentation of a statement that was material and induced the plaintiffs to invest in Accredit's portfolio. In any event, the same individuals comprised the controlling minds of Great Pacific and Accredit.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As is apparent, the requirement is not the plaintiffs' exclusive entitlement to the claim advanced or the loss alleged (although I note parenthetically that exclusivity is one characteristic of an independent claim or loss which may fall within an exception to the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rule, depending on the facts); instead, the inquiry is whether the claim or loss is independent or distinct from a claim or loss properly vested in Pinnacle. In this case, Pinnacle has equal entitlement to advance a claim for knowing receipt as against the Atwal and Sidhu defendants if a court is to find that those proposed defendants were constructive trustees over the profits and funds that flowed from Cascade Creek's development and resale of the property. The claim of knowing receipt, even if the plaintiffs have entitlement to sue for it, does not change Pinnacle's, or Cascade Creek's, equal entitlement to sue on the cause of action. It is not a separate, independent or personal claim or loss that does not equally impact Pinnacle, or Cascade Creek. These corporate entities cannot be artificially hived off to avoid the application of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I turn to the nature of the loss the plaintiffs' claim they suffered.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Nature of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plaintiffs claim that the expenditures improperly made by the Atwals and Sidhus are impressed with a trust. Those expenditures as alleged by the pleadings are traceable to the profits and funds received by Cascade Creek from the resale of the development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It is clear that profits of a company belong to the company, and not to the shareholders: </w:t>
      </w:r>
      <w:r>
        <w:rPr>
          <w:rFonts w:ascii="arial" w:eastAsia="arial" w:hAnsi="arial" w:cs="arial"/>
          <w:i/>
          <w:color w:val="000000"/>
          <w:sz w:val="20"/>
          <w:lang w:val="en-US" w:eastAsia="en-US" w:bidi="ar-SA"/>
        </w:rPr>
        <w:t>Re Severn and Wye and Severn Bridge Ry. Co.</w:t>
      </w:r>
      <w:r>
        <w:rPr>
          <w:rFonts w:ascii="arial" w:eastAsia="arial" w:hAnsi="arial" w:cs="arial"/>
          <w:color w:val="000000"/>
          <w:sz w:val="20"/>
          <w:lang w:val="en-US" w:eastAsia="en-US" w:bidi="ar-SA"/>
        </w:rPr>
        <w:t xml:space="preserve">, [1896] 1 Ch. 559. Further, profits may be distributed to shareholders of a company by declaring a dividend: s. 70,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plaintiffs note at para. 5 of Part 2 of their 'Factual Basis of their notice of application', that the projected profit from the TD's Developer's Programme was in the amount of $1,813,000, and that Pinnacle's share of the projected profit would have been $906,500. On the basis that Hunter West holds 33.3% interest in that, the anticipated share of the profit for the plaintiff Hunter West would have been $302,166.67. At para. 4, the flow through of the profits in the corporate structure and as pleaded, makes it clear that the profits received from Cascade Creek from any financial development and resale dealings flowing from the development property would immediately come to Pinnacle with its distribution in thirds to Hunter West, the Brar Company and the Bain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Accordingly, even by this corporate mechanism, as pleaded, the source of the expenditures or monies in which the plaintiffs claim a beneficial interest as against the Atwals and Sidhus stems from the property of Pinnacle, as monies that it is to receive as a 50% interest holder in Cascade Creek. The plaintiffs argue that at Mr. Gill's, Mr. Bain's and Mr. Brar's direction, the monies received from the development property could be paid to other recipients subject to the requirement that distribution be in equal proportions: at para. 25 of Part 1 of the Amended Notice of Civil Claim. As I alluded to before, this agreed upon mechanism of directing monies elsewhere does not set aside or render Pinnacle's separate legal entitlement to receipt of any profits from Cascade Creek, a nullity. However else the parties arranged to circumvent this corporate flow through to have the monies go elsewhere, the corporate regime and the corporate existence of Pinnacle as a separate legal entity remains. Moreover, this work around of directing monies elsewhere does not change the character or nature of the claimed against funds; they are still sourced from the profits of resale of the development property which Cascade Creek was overseeing, developed and resold. As a note of contrast, the plaintiffs' claim for damages in misrepresentation in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xml:space="preserve">, which was not argued to be captured by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are losses that deserve a remedy arising from a breach of contract, which are extraneous to any profits or property of the corporation. That is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Where the nature of the loss in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xml:space="preserve"> was determined to be the "loss in the value of the Shareholders' shares in Accredit": at para. 41, such that those losses were reflective and derivative of the loss suffered by Accredit, I find that the funds and expenditures claimed to be the plaintiffs' losses in this instant case are not just derivative, but directly the profits and losses due to Pinnacle as 50% interest holder under the corporate arrangement. There is no separate and distinct character or nature of the losses the plaintiffs' claim in the alleged misappropriation of the Cascade Creek development and resale 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 conclude that </w:t>
      </w:r>
      <w:r>
        <w:rPr>
          <w:rFonts w:ascii="arial" w:eastAsia="arial" w:hAnsi="arial" w:cs="arial"/>
          <w:i/>
          <w:color w:val="000000"/>
          <w:sz w:val="20"/>
          <w:lang w:val="en-US" w:eastAsia="en-US" w:bidi="ar-SA"/>
        </w:rPr>
        <w:t>EY Holdings</w:t>
      </w:r>
      <w:r>
        <w:rPr>
          <w:rFonts w:ascii="arial" w:eastAsia="arial" w:hAnsi="arial" w:cs="arial"/>
          <w:color w:val="000000"/>
          <w:sz w:val="20"/>
          <w:lang w:val="en-US" w:eastAsia="en-US" w:bidi="ar-SA"/>
        </w:rPr>
        <w:t xml:space="preserve"> applies to the case at bar and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precludes the plaintiffs in this reconsideration from adding the Atwal and Sidhu defendants. The nature of the claim and the loss the plaintiffs allege they have suffered lack an independence and distinctiveness from Pinnacle's, or Cascade Creek's, equal entitlement to claim for knowing receipt on the corporate losses of the alleged misapplication of the Cascade Creek monies and expenditures.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plaintiffs must only claim through Pinnacle, after obtaining leave from the Court to commence a derivative action pursuant to s. 232 of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5"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 w:history="1">
        <w:r>
          <w:rPr>
            <w:rFonts w:ascii="arial" w:eastAsia="arial" w:hAnsi="arial" w:cs="arial"/>
            <w:b/>
            <w:bCs/>
            <w:i/>
            <w:color w:val="0077CC"/>
            <w:kern w:val="32"/>
            <w:sz w:val="28"/>
            <w:szCs w:val="32"/>
            <w:u w:val="single"/>
            <w:shd w:val="clear" w:color="auto" w:fill="FFFFFF"/>
            <w:lang w:val="en-US" w:eastAsia="en-US" w:bidi="ar-SA"/>
          </w:rPr>
          <w:t>Keene v. British Columbia (Ministry of Children and Family Development), [2003] B.C.J. No. 2338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Parrett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25, and August 22,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17210/02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2338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1544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 B.C.L.R. (4th) 170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127 A.C.W.S. (3d) 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Patricia Keene and Thomas Keene, plaintiffs, and Her Majesty the Queen in Right of British Columbia, Ministry of Children and Family Development, Richard King, Katrina Ludwig, Karin Strong-Boag, Ginette Prairie, Phil Pudlas, Jane Doe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6"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 w:name="Keywords_3"/>
      <w:bookmarkEnd w:id="25"/>
      <w:r>
        <w:rPr>
          <w:rFonts w:ascii="arial" w:eastAsia="arial" w:hAnsi="arial" w:cs="arial"/>
          <w:b/>
          <w:color w:val="000000"/>
          <w:sz w:val="20"/>
          <w:lang w:val="en-US" w:eastAsia="en-US" w:bidi="ar-SA"/>
        </w:rPr>
        <w:t>Crown — Torts by and against Crown — Application of legislation — Practice — Parties — Pleadings — Striking out pleadings — With leave to amend — Grounds, failure to disclose a cause of action or defence.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 w:name="Case Summary_2"/>
            <w:bookmarkEnd w:id="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Ministry of Children and Family Development and the other defendants to strike several paragraphs of the plaintiff Keenes' statement of claim on the basis that they disclosed no reasonable cause of action. The Keenes claimed damages for breach of contract, abuse of office and power and intentional infliction of mental suffering. The Keenes were foster parents. A child in their care became ill and died. The Keenes alleged that after the child's death, the individual defendants embarked on a course of action calculated to cover their own wrongdoing and to blame them for the child's death. The Ministry and the other defendants removed other children from the Keenes' care and refused to place other children in their care.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 w:name="Holdings of Court_2"/>
            <w:bookmarkEnd w:id="27"/>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Ministry was not a legal entity and could not be sued in its own right. The language of the statement of claim advanced allegations of breach of duty against a defendant, the Ministry, which did not exist. The claim failed to comply with the Crown Proceeding Act. At best, the pleadings were obtuse and misconceived, serving more to obscure the claims being advanced than to reveal them. All claims against the Ministry were removed. The statement of claim did not plead facts sufficient to make out the cause of action for abuse of office. The prayer for relief failed to clearly set out the relief sought. The pleadings were wholly inadequate to enable the Province and the other defendants to know the case they were required to meet. The Keenes were granted leave to recast their pleadings to provide a clear, concise and logical description of their causes of action. If they did not revise their pleadings within three weeks, the pleadings were to be struck.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 w:name="Legislation Cited_3"/>
      <w:bookmarkEnd w:id="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7"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1(5), 36(1), 36(2).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Child, Family and Community Services Act, </w:t>
      </w:r>
      <w:hyperlink r:id="rId75" w:history="1">
        <w:r>
          <w:rPr>
            <w:rFonts w:ascii="arial" w:eastAsia="arial" w:hAnsi="arial" w:cs="arial"/>
            <w:i/>
            <w:color w:val="0077CC"/>
            <w:sz w:val="20"/>
            <w:u w:val="single"/>
            <w:shd w:val="clear" w:color="auto" w:fill="FFFFFF"/>
            <w:lang w:val="en-US" w:eastAsia="en-US" w:bidi="ar-SA"/>
          </w:rPr>
          <w:t>R.S.B.C. 1996, c. 46, s. 101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Crown Proceeding Act, </w:t>
      </w:r>
      <w:r>
        <w:rPr>
          <w:rFonts w:ascii="arial" w:eastAsia="arial" w:hAnsi="arial" w:cs="arial"/>
          <w:i/>
          <w:color w:val="000000"/>
          <w:sz w:val="20"/>
          <w:lang w:val="en-US" w:eastAsia="en-US" w:bidi="ar-SA"/>
        </w:rPr>
        <w:t>R.S.B.C. 1996, c. 89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 w:name="Counsel_3"/>
      <w:bookmarkEnd w:id="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8"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 Fletcher, for the plaintiffs. R. Gibbs, Q.C., for the defendant Richard King. P.A. Juk, for the remaining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 w:name="Judgment_3"/>
      <w:bookmarkEnd w:id="30"/>
      <w:r>
        <w:pict>
          <v:line id="_x0000_s1049" style="position:absolute;z-index:2518159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 w:name="PARRETT J."/>
            <w:bookmarkEnd w:id="31"/>
            <w:r>
              <w:rPr>
                <w:rFonts w:ascii="arial" w:eastAsia="arial" w:hAnsi="arial" w:cs="arial"/>
                <w:b/>
                <w:color w:val="000000"/>
                <w:sz w:val="30"/>
                <w:lang w:val="en-US" w:eastAsia="en-US" w:bidi="ar-SA"/>
              </w:rPr>
              <w:t>PARRETT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present hearing arises from the filing of a series of notices of motion that are primarily concerned with the pleadings filed in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of 4 notices of motion before the court is one filed on behalf of the plaintiff, Patricia Keene, and dated May 14, 2003. This notice of motion seeks orders that:</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Patricia Keene be appointed to represent the estate of the Plaintiff, Thomas Keene, for the purposes of the proceeding;</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Writ of Summons and Statement of Claim filed in this matter on August 22, 2002 in this matter be amended in the form attached to the Affidavit #4 of Stacy Wong sworn on May 14,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second application brought on the plaintiffs' behalf is a notice of motion dated July 16, 2003, seeking an order that: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 of Claim be amended to add the following paragraph after the current paragraph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"59A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individual defendants and each of them acted with malice in that they intended to harm the plaintiffs by their abuse of their statutory powers or were reckless in that they had a conscious disregard for the interests of the plaintiffs."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responding applications the defendants, Her Majesty the Queen in right of the Province of British Columbia, Katrina Ludwig, Karin Strong-Boag, Ginette Prairie and Phil Pudlas, seek, in a motion dated June 20, 2003, an order that:</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deliver further and better particulars of the matters stated in paragraphs 8,9,10,11,13,14,16,33,34,35,36,37,40,41,43,44, 46,51,53,56,57,58,59,60,67,68,69,70,71, and 72 of the Statement of Claim; and,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final notice of motion, filed on behalf of the same defendants, and dated July 2, 2003, seeks an order:</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paragraphs 2, 8, 9, 12, 13, 16, 19, 22, 23, 26, 27, 32, 33, 34, 35, 37, 40, 41, 42, 43, 44, 46, 48, 49, 50, 51, 52, 53, 54, 55, 56, 57, 58, 59, 60, 61, 66, 67, 68, 69, 71, and 72 of the Statement of Claim be struck out on the grounds that:</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disclose no reasonable claim; or</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may prejudice, embarrass or delay the fair trail [sic] of the proceeding;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pay the Applicants' costs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Gibbs, on behalf of the defendant Richard King, joins with the other defendants in these last two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During the course of this hearing the plaintiffs advised that they would not, at this time, be proceeding with the application to amend the style of cause, with respect to the plaintiffs, or the motion to amend the existing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turn, Mr. Juk suggested, and it was agreed, that his application for particulars would not proceed until the result of his application to strike portions of the plaintiffs' pleadings was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was also agreed at the outset that para. 68 of the existing statement of claim must be struck out, and I so order. During the course of the hearing Mr. Fletcher also abandoned the claim for intentional infliction of mental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One remaining preliminary matter must be dealt with. On July 4, 2003, Mr. Fletcher filed a notice of discontinuance purporting to wholly discontinue this action as against the defendants Ginette Prairie, Phil Pudlas, Jane Doe and John Doe. A notice of discontinuance may, of course, be filed in accordance with R. 36(1) "At any time before an action is set down for trial . . ." This action has, of course, been set for trial. It is therefore incumbent upon Mr. Fletcher to comply with R. 36(2) which provides: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an action has been set down for trial, a plaintiff may discontinue it in whole or in part against a defendant with the consent of all parties of record or by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has neither obtained the consent of all parties of record nor the leave of the court and, as a result, the notice is ineffective. Mr. Fletcher agrees that his notice was ineffective and that the claims against those defendants should be struck out. Mr. Juk seeks to have those claims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present action was commenced with the filing of a writ and statement of claim on August 22,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prayer for relief seeks four substantive types of relief in addition to costs. Those specified are:</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both general and special, for breach of contract;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both general and special, arising out of abuse of office and power;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both general and special, arising out of intentional infliction of mental suffering and harm;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exemplary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three substantive causes of action set out in the prayer for relief are (1) breach of contract; (2) abuse of office and power; and (3) intentional infliction of mental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underlying factual background to the action is that the plaintiffs were, by contract, foster parents engaged in providing foster care to children in need of care. On January 24, 2001, one of the children placed in the plaintiffs' care, a three year old female, became ill and died two days later. The plaintiffs allege that after this death the individual defendants embarked upon a course of action calculated to cover "their own wrongdoing" and to blame the plaintiffs for the death. In carrying out this plan the plaintiffs allege that the individual defendants removed the children in their care, refused to place other children in their care and interfered with or initiated various investigations into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within this broad context that an examination of these pleadings must be made. In broad terms, the defendants submit that the pleadings are obtuse, prolix and fail to set out with any reasonably comprehensible particularity the claims actually being made. In the end, and most importantly, they submit that on these pleadings it is impossible for them to reasonably respond or to even prepare their clients for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Historically, the English common law tradition has required pleadings as a means of defining the dispute that is to be decided by the court. Until the late fifteenth or early sixteenth century pleadings were delivered orally at the bar of the court. After the plaintiff set out the facts of his complaint the defendant would respond. His plea would consist of one of four responses; (1) a general traverse which denied all of the facts alleged and put them in issue; (2) a special traverse which was a denial of a single material fact which was then put in issue; (3) a demurrer which admitted the facts alleged but denied that they amounted to a case in law; or (4) confession and avoidance in which the defendant admitted the facts but then proceeded to introduce new facts to explain them and establish a defence. This latter process then required a response from the plaintiff until the issue was joined.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importance of this early pleading process is apparent from the end goal of the oral pleadings. Once this process was complete they were put into the "record" which was the parchment scroll kept by the court. Once so inscribed they could not be amended and were binding on the parties. This was a strict rule which prevented the judge or the jury from considering issues not raised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This process was eventually replaced with written pleadings and other difficulties emerged leading Hale, C.J., to comment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anciently, pleading was at the bar and then it did appear plainly what was stood upon; and if the party did demur, he knew what he did. But pleading has now got all into paper and since that, of late, men make it but a snare and trap and a piece of skill. [J.H. Baker, An Introduction to English Legal History, (3d. Ed., Butterworths, London, 1990) Chap.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nineteenth century saw several waves of significant changes as various approaches surfaced; beginning with the New Pleading Rules of Hilary Term 1834, the Common Law Procedure Act 1854, and culminating in the Judicature Acts 1873-1875. The latter legislation established the structure of much of the present English judicial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"new" practice of pleading led Lord Denning, in his forward to Bullen and Leake and Jacob's Precedents of Pleadings (12th ed., Sweet &amp; Maxwell, London, 1975), to comment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modern system under which the pleader had only to state the material facts. This reform took away much of the incentive to accuracy and led to much loose pleading and, worse still, to much loose thinking.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major recasting of the Rules of Court and, in particular, the system of pleading in 1875, was a watershed in the evolution of the English legal system. The purpose of the "new system" was at once the subject of judicial comment and an echo of today's Rules of Court. In Thorp v. Holdsworth (1876), 3 Ch. D. 637 at 639, Jessel, M.R., observed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whole object of pleadings is to bring the parties, to an issue, and the meaning of the rules . . . was to prevent the issue being enlarged, which would prevent either party from knowing when the cause came on for trial, what the real point to be discussed and decided was. In fact, the whole meaning of the system is to narrow the parties to definite issues, and thereby to diminish expense and delay, especially as regards the amount of testimony required on either side of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This language is echoed in the words of Rule 1(5) of our present Rules of Court, which states: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 of these rules is to secure the just, speedy and inexpensive determination of every proceeding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modern times, the urge to reform the process continues. This led to the enactment of the Civil Procedure Rules, in England, in 1998. These rules, which came into force on April 26, 1999, were intended to achieve " . . . greater simplicity and clarity" [592 H.L. Deb. Cols. 1593-97 (29 July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Barclays Bank v. Boulter, [1999] 1 W.L.R. 1919 at 1923, the House of Lords neatly encapsulated the basic function of pleadings: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purpose of pleadings is to define the issues and give the other party fair notice of the case which he has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What emerges from this lengthy history of pleadings is, in my view, the principle that, while strict and rigorous enforcement of technical pleading requirements has been relaxed in favour of the overriding objective of achieving a just result, the overall objective of proper pleadings remains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First and foremost the purpose is to define the issues and give the opposing parties fair notice of the case they have to meet. However, equally important in today's court process is the fact that pleadings must be relied upon to provide the boundaries and the context for effective pre-trial case management, the extent of disclosure required, as well as the parameters or necessity of expert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Once the trial has started the pleadings should form an effective guide to allow the trial judge to control the process and effectively deal with relevance and other admissibility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do not for a moment suggest that a return to the rigid and inflexible requirements of early pleading practices is desirable but, in my respectful view, the absence of proper and careful pleadings is a major source of difficulties in civil litigation today leading to unnecessary chambers applications, extended case management procedures, extended trials and unnecessary difficulty in dealing with admissibility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PRESENT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approaching the present pleadings and applications, I start by quoting a passage from the decision of our Court of Appeal in Strata Plan LMS 1328 v. Surrey (City), </w:t>
      </w:r>
      <w:hyperlink r:id="rId76" w:history="1">
        <w:r>
          <w:rPr>
            <w:rFonts w:ascii="arial" w:eastAsia="arial" w:hAnsi="arial" w:cs="arial"/>
            <w:i/>
            <w:color w:val="0077CC"/>
            <w:sz w:val="20"/>
            <w:u w:val="single"/>
            <w:shd w:val="clear" w:color="auto" w:fill="FFFFFF"/>
            <w:lang w:val="en-US" w:eastAsia="en-US" w:bidi="ar-SA"/>
          </w:rPr>
          <w:t>[2001] B.C.J. No. 2568</w:t>
        </w:r>
      </w:hyperlink>
      <w:r>
        <w:rPr>
          <w:rFonts w:ascii="arial" w:eastAsia="arial" w:hAnsi="arial" w:cs="arial"/>
          <w:color w:val="000000"/>
          <w:sz w:val="20"/>
          <w:lang w:val="en-US" w:eastAsia="en-US" w:bidi="ar-SA"/>
        </w:rPr>
        <w:t>, which captures the essence of the difficulties in the present case. Lambert, J.A., in giving the decision of the Court wrote, at para.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not a straightforward case. The pleadings are not a model of what good pleadings should set out. The result is grave difficulty for counsel acting for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MINISTRY OF CHILDREN AND FAMILY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Let me begin by dealing with the fact that the plaintiffs have named the Ministry of Children and Family Development as a defendant in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Fletcher concedes that the naming of the Ministry is improper but suggests the difficulty can be cured simply by substituting Her Majesty the Queen in Right of the Province of British Columbia for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With the greatest of respect to Mr. Fletcher, his submission by and large ignores the way in which the statement of claim frames the issues against the Ministry. For example, I set out the following paragraphs from the statement of claim:</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Ministry of Children and Family Development ("the Ministry") is the ministry of Her Majesty the Queen in Right of British Columbia charged with the administration of the Child, Family and Community Services Act.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1988, the Keene's [sic] first entered into a partly written and partly oral agreement with the Ministry whereby the Ministry from time to time would place in the Keene's [sic] home ("the Family Care Home") various children necessitous of care ("the foster children") and the Keene's [sic] would care for such children, which agreement was renewed from time to time thereafter.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August 29, 2000, the Keene's [sic] entered into a partly written and partly oral agreement, with the Ministry ("the fostering agreement") whereby the agreement referred to in the preceding paragraph was most recently renewed.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of the plaintiffs against the Ministry arises out of:</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Ministry's breach of the fostering agreement;</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Ministry's breach of its duty to act in good faith in carrying out public duties;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Ministry's abuse of public power and office.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the Keene's [sic] had a reasonable expectation of renewal of the fostering agreement by the Ministry.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the Ministry was under a duty to act in good faith in the performance of the fostering agreement and to not abuse the statutory powers under which it acted.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Ministry was constantly attempting to place more children in the Family Care Home than their residence could properly house, in 1997 the Keene's [sic] purchased a house much larger and more expensive than they required for their personal purposes.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deciding where to place a child or whether to continue a placement, the Ministry and its employees were at all relevant times under a statutory duty to consider the child's best interest.</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placement was a breach of the fostering agreement in that the Ministry placed more children with the Keene's [sic] than they might reasonably be expected to care for in compliance with the fostering agreement.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placement was also a breach of the fostering agreement in that the Ministry failed to consider the best interests of the children already resident with the Keene's [sic].</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relevant to the matter herein, the directing minds of the Ministry were aware that the servants of the Ministry had improperly carried out their duties as servants of the Ministry.</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numerous occasions, the Ministry breached the fostering agreement in other manners, which breaches include but are not limited to:</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Repeatedly and, on occasion intentionally, breaching its obligation to provide to the Keene's [sic] all information relevant to the care of children placed with the Keene's [sic], including but not limited to, medical, educational and personal care information as well as the children's history and behavior;</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Arbitrarily and without justifiable cause refusing to place any other foster children with the Keene's [sic],</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to appropriate third parties all such information and instructions as was appropriate for the care of foster children resident with the Keene's [sic];</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unfairly and arbitrarily in the conduct of investigations concerning alleged wrongdoing on the part of the Keene's [sic].</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directing minds of the Ministry were aware at all relevant times that the attempts to hide wrongdoing referred to in the preceding paragraph were occurring and, rather than stop such misconduct, the Ministry facilitated it.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referred to [in] the two preceding paragraphs was a breach of the fostering agreement and an abuse of the statutory powers under which the Ministry and its and the individual defendants acted.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support the said removal and detention of MB and JS, the Ministry alleged wrongdoing on the part of the Keene's [sic].</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 knew or ought to have known that the allegations of wrongdoing were without foundation and, in fact, the individual defendants withheld, misstated and otherwise distorted the evidence in order to support the false allegations.</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 and the individual defendants knew or ought to have known that a foreseeable consequence of the improper removal and detention of JS and MB was that the Keene's [sic] would take legal action to recover the said children and that, accordingly, the Keene's [sic] would suffer great legal expense in doing so.</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relevant to the matter herein, the Ministry and the individual defendants knew full well that the conduct of the Ministry's servants concerning SH was wrongful and that conduct, if anything, was that which made the death of SH more likely.</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false allegations levelled by the individual defendants and as a result of the conduct of the Ministry and as a result of the improper cancellation of the fostering agreement and the indication by the Ministry that the Keene's [sic] will never be permitted to foster again, their reputation within the community has been much harmed.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false allegations levelled by the individual defendants and as a result of the conduct of the Ministry and as a result of the improper cancellation of the fostering agreement and the indication by the Ministry that the Keene's [sic] will never be permitted to foster again, the Keene's [sic] have suffered psychological harm.</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 is responsible for the tortious conduct of its servants as such conduct was carried out by its servants in the course and within the scope of their employment.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 purported to terminate the fostering agreement with regard to JS upon notice in or about June 2001.</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 has taken the position that, the Ministry having terminated the fostering agreement, no payment should be made to the Keene's [sic] for their caring for the children. As a result, the Keene's [sic] have supported the children, who are legally within the care of the Ministry and the financial responsibility of the Ministry, at the expense of the Keene's [sic].</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 has persisted in attempting to have the Courts remove JS and MB from the care of the Keene's [sic], although the Ministry has known full well that such removal would be contrary to the best interests of the children and a breach of the fostering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These quotations, though extensive, are by no means exhaustive of the references to "the Ministry" in the statement of claim. They are, however, representative of the way in which the term is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Ministry of Children and Family Development is not a legal entity and as such it cannot be sued in its own right. Mr. Fletcher, while conceding this point, submits that the references to "the Ministry" within the statement of claim give context and meaning to the narrative and as such they should be retained.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clear, in my view, from the specific extracts quoted above and from the whole of the statement of claim that the presence of this defendant and the use of the phrase "the Ministry" is far more than some contextual placeholder.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Within the specific language of the statement of claim "the Ministry" is specifically alleged to have certain knowledge, to have participated in or itself done certain acts, to be legally responsible for certain legal duties, and to have certain specified decision making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particular the statement of claim alleges -</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paragraphs 10 and 11, a contract entered into and renewed from time-to-time with "the Ministry";</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 12 that the plaintiffs' claims against "the Ministry" arise from its breach of the fostering agreement, its breach of its duty to act in good faith in carrying out public duties and its abuse of public power and office;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 19 that "the Ministry" was bound by a specific duty;</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 20 that not only did "the Ministry" perform certain specific acts but that it did so "constantly";</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 21 that "the Ministry" was under a statutory duty;</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 27 that "the Ministry" failed (presumably in the legal sense) to properly consider required interests;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paragraphs 33 and 41 that "the directing minds of the Ministry" were aware of certain matters without specifying who those individuals are or how they were aware;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 35 various specific breaches of the fostering agreement by "the Ministry";</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 45 that "the Ministry" alleged wrongdoing on the part of the Keenes;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paragraphs 46, 49 and 51 a specific state of knowledge of "the Ministry" with respect to actions of the individual defendants;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paragraphs 57 and 58 that "conduct of the Ministry" and that "indication by the Ministry" have damaged the plaintiffs' reputation in the community and caused them psychological harm;</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 61 that "the Ministry" is responsible "for the tortious conduct of its servants" without specifying who those servants are;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 64 that "the Ministry" acted to terminate the fostering agreement;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 66 that "the Ministry" has sought through court proceedings certain results knowing full well that those results are contrary to the best interests of the children and breaches of the fostering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language of para. 12 in particular advances substantive allegations of breach of duty against a defendant that doesn't exist, that lacks legal standing, and that cannot be sued or executed against. In addition the claim as framed wholly fails to comply with or bring itself within the bounds of the Crown Proceeding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Other difficulties emerge from these pleadings - such as the apparent pleading of a free-standing duty to act in good faith (paras. 12(b) and 13(a)). A similar allegation emerges in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Juk submits that Mr. Fletcher, by means of this term, has essentially implied some global conspiracy or group activity without ever particularizing the individuals involved, the times or locations or even the specific activities undertaken. He submits that not only do the defendants not know the allegations made against them, which potentially lead to liability, it is impossible for them to determine what is alleged against them based on these pleadings. This, he submits, is particularly true of the first named defendant, Her Majesty the Queen in Right of the Province of British Columbia. In essence these pleadings amount to some global allegation of group wrongdoing (or conspiracy) in which unspecified acts of individuals are somehow attributed to all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best these pleadings are obtuse and misconceived serving more to obscure the claims being advanced than to reveal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Leaving aside the absence of any defined basis for joining the first named defendant or any mention of the Crown Proceeding Act, </w:t>
      </w:r>
      <w:r>
        <w:rPr>
          <w:rFonts w:ascii="arial" w:eastAsia="arial" w:hAnsi="arial" w:cs="arial"/>
          <w:i/>
          <w:color w:val="000000"/>
          <w:sz w:val="20"/>
          <w:lang w:val="en-US" w:eastAsia="en-US" w:bidi="ar-SA"/>
        </w:rPr>
        <w:t>R.S.B.C. 1996, c. 89</w:t>
      </w:r>
      <w:r>
        <w:rPr>
          <w:rFonts w:ascii="arial" w:eastAsia="arial" w:hAnsi="arial" w:cs="arial"/>
          <w:color w:val="000000"/>
          <w:sz w:val="20"/>
          <w:lang w:val="en-US" w:eastAsia="en-US" w:bidi="ar-SA"/>
        </w:rPr>
        <w:t>, these pleadings, by use of the convenient shorthand reference to "the Ministry", have alleged a series of acts and states of knowledge all without apparent consideration of the legal structure of the underlying legislation or the way in which the acts complained of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This aspect of the pleadings does not, in my view, provide context but serves to obscure the events relied upon. All claims against "the Ministry" must be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CONTRACT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Assuming, as I must, that the allegations in the statement of claim are correct, the plaintiffs entered into the contracts relied upon (paras. 10 and 11) with "the Ministry". Even assuming for the purpose of this application that "the Ministry" in fact entered into the contracts in question, a point on which I have considerable doubt based on the legislation and submissions on the present application, they are not a legal entity against whom the plaintiffs can seek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pleadings as they exist do not reflect a claim that can or should go forward. If properly pleaded a cause of action may exist within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ABUSE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Although it is difficult to trace the particular paragraphs purporting to plead the abuse of public office claim it appears to be predicated on allegations that "the Ministry" and "the defendants" were guilty of misconduct (paras. 20, 24, 25, 26, 27, 32, 34, 35,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It seems clear on the present pleadings (particularly paras. 34 and 35) that these allegations encompass claims of wilful and reckless acts and also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substance of at least one of the paragraphs (51) alleges knowing wrongful conduct that "if anything, made the death of S.H. more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appears that the claim for abuse of public office is meant to arise from the cover-up of these wrongful and/or negligent actions by the individual defendants and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Underlying this pleading, according to Mr. Juk, are the plaintiffs' attempts to advance the best interests of these children, a claim they are not, he says, entitled to pursue. These types of claims relating to the best interests of the children are found in paras. 16(a), 16(b) 21, and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addition, s. 101 of the Child, Family and Community Service Act,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xml:space="preserve">, ("C.F.C.S.A.") prevents an action lying against the individual defendants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Mr. Juk submits that the individual defendants do not owe a duty of care to the plaintiffs and even if they did they are exempted from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s.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Fletcher submits that these allegations are the factual context which led directly to the cover-up which is in fact the foundation of the abuse of public office claim advanced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portion of the statement of claim which most directly approaches a pleading of abuse of public office is found in paras. 40 to 42:</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attempt to hide their own wrongdoing and that of their colleagues in the Ministry, the individual defendants: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Persisted in attempting to lay the blame on the Keene's [sic] for the death of SH, although the autopsy of SH did not support such;</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the protocol, attempted to restrict the access of the Keene's [sic] to legal counsel, attempted to persuade the Keene's [sic] not to follow the advice of legal counsel and attempted to restrict their right to have other advisors in the investigatory process;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Attempted to persuade third parties of the guilt of the Keene's [sic] in the death of SH by presenting to them false, partial and misleading evidence of abuse by the Keene's [sic] of SH and of other children;</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Attempted to improperly influence a psychologist reporting to the Ministry concerning the Keene's [sic] by withholding relevant information and by providing false, partial and misleading evidence of abuse to that psychologist;</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follow the established protocols for investigation, thereby subverting the investigation of the allegations of wrongdoing by the Keene's [sic];</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the defendant Ludwig carry out at least one of the two investigations instigated against the Keene's [sic], although the defendant Ludwig herself was the person who had improperly placed six additional children in the home of the Keene's [sic] late in 2000;</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Caused the investigative reports to be misstated so as to give the impression that the Keene's [sic] were abusive persons who were responsible for not only the death of SH but the mistreatment of other children;</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general, attempted to obscure the true state of affairs.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directing minds of the Ministry were aware at all relevant times that the attempts to hide wrongdoing referred to in the preceding paragraph were occurring and, rather than stop such misconduct, the Ministry facilitated it.</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referred to [in] the two preceding paragraphs was a breach of the fostering agreement and an abuse of the statutory powers under which the Ministry and its and the individual defendants 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Paragraph 41 is a particularly graphic example of the difficulties inherent in this statement of claim. It appears to allege that completely unspecified "directing minds" of a non-existent legal entity, "the Ministry", were aware at all relevant times of the attempts to hide wrongdoing (particularized in para. 40) and " . . . rather than stop such misconduct, the Ministry facilitated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This appears to be an attempt to plead a positive act of abuse of public office by "the Ministry" without specifying the office, the power or the act which facilitated it. The language of para. 40 itself expands the underlying allegations of misconduct to include not just the individual defendants but "their colleagues in the Ministry". I note also the fact that these pleadings do not specify the office held by the person alleged to have abused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paras. 3 to 9 inclusive, the individual defendants are identified in turn as " . . . an employee of the Ministry". Their position as an "employee" is nowhere else defined, nor are their duties; or even an outline of a job description. Despite the absence of any such description, para. 34 alleges that the individual defendants " . . . failed to carry out their duties . . ." and para. 59 alleges that the individual defendants " . . . abused the statutory powers residing with them . . ." but fails to specify the powers or even the legislation giving rise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tort of abuse of public office is an exceptional cause of action with strict requirements. In First National Properties Ltd. v. Highlands (District), </w:t>
      </w:r>
      <w:hyperlink r:id="rId77" w:history="1">
        <w:r>
          <w:rPr>
            <w:rFonts w:ascii="arial" w:eastAsia="arial" w:hAnsi="arial" w:cs="arial"/>
            <w:i/>
            <w:color w:val="0077CC"/>
            <w:sz w:val="20"/>
            <w:u w:val="single"/>
            <w:shd w:val="clear" w:color="auto" w:fill="FFFFFF"/>
            <w:lang w:val="en-US" w:eastAsia="en-US" w:bidi="ar-SA"/>
          </w:rPr>
          <w:t>[2001] B.C.J. No. 925</w:t>
        </w:r>
      </w:hyperlink>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2001 BCCA 305</w:t>
        </w:r>
      </w:hyperlink>
      <w:r>
        <w:rPr>
          <w:rFonts w:ascii="arial" w:eastAsia="arial" w:hAnsi="arial" w:cs="arial"/>
          <w:color w:val="000000"/>
          <w:sz w:val="20"/>
          <w:lang w:val="en-US" w:eastAsia="en-US" w:bidi="ar-SA"/>
        </w:rPr>
        <w:t>, our Court of Appeal had occasion to consider the cause of action. Newbury, J.A., in giving the judgment of the court, after considering the decision of the House of Lords in Three Rivers District Council and others v. Bank of England (No. 3), [2000] 3 All E.R. 1, went on to write, at para. 38,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comments support Lord Steyn's statement in Three Rivers (supra, at 7) that the tort of misfeasance in public office is an </w:t>
      </w:r>
      <w:r>
        <w:rPr>
          <w:rFonts w:ascii="arial" w:eastAsia="arial" w:hAnsi="arial" w:cs="arial"/>
          <w:color w:val="000000"/>
          <w:sz w:val="20"/>
          <w:u w:val="single"/>
          <w:lang w:val="en-US" w:eastAsia="en-US" w:bidi="ar-SA"/>
        </w:rPr>
        <w:t>exception</w:t>
      </w:r>
      <w:r>
        <w:rPr>
          <w:rFonts w:ascii="arial" w:eastAsia="arial" w:hAnsi="arial" w:cs="arial"/>
          <w:color w:val="000000"/>
          <w:sz w:val="20"/>
          <w:lang w:val="en-US" w:eastAsia="en-US" w:bidi="ar-SA"/>
        </w:rPr>
        <w:t xml:space="preserve"> to the "general rule that, if conduct is presumptively unlawful, a good motive will not exonerate the defendant, and that, if conduct is lawful apart from motive, a bad motive will not make him liable." The 'exceptional' nature of this result alone suggests that judicial caution is advisable; and when aspects of politics or governmental policy are also involved, such caution becomes essential. As stated by this court in MacMillan Bloedel v. Galiano Island Trust Committee </w:t>
      </w:r>
      <w:hyperlink r:id="rId78" w:history="1">
        <w:r>
          <w:rPr>
            <w:rFonts w:ascii="arial" w:eastAsia="arial" w:hAnsi="arial" w:cs="arial"/>
            <w:i/>
            <w:color w:val="0077CC"/>
            <w:sz w:val="20"/>
            <w:u w:val="single"/>
            <w:shd w:val="clear" w:color="auto" w:fill="FFFFFF"/>
            <w:lang w:val="en-US" w:eastAsia="en-US" w:bidi="ar-SA"/>
          </w:rPr>
          <w:t>(1995), 10 B.C.L.R. (3d) 121</w:t>
        </w:r>
      </w:hyperlink>
      <w:r>
        <w:rPr>
          <w:rFonts w:ascii="arial" w:eastAsia="arial" w:hAnsi="arial" w:cs="arial"/>
          <w:color w:val="000000"/>
          <w:sz w:val="20"/>
          <w:lang w:val="en-US" w:eastAsia="en-US" w:bidi="ar-SA"/>
        </w:rPr>
        <w:t>, (lve. to appeal to S.C.C. dism'd), courts should be slow to impute bad faith to elected officials unless there is no other rational conclusion. (at 181-2.)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Three Rivers decision, Lord Millett, at paras. 158-9, found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It is no accident that the tort is misfeasance in public office, not nonfeasance in public office. The failure to exercise a power is not in itself wrongful. It cannot be equated with acting in excess of power. The tort is concerned with preventing public officials from acting beyond their powers to the injury of the citizen, not with compelling them to exercise the powers they do have, particularly when they have a discretion whether to exercise them or not.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conformity with the character of the tort the failure to act must be deliberate, not negligent or inadvertent or arising from a misunderstanding of the legal position. In my opinion, a failure to act can amount to misfeasance in public office only where (i) the circumstances are such that the discretion whether to act can only be exercised in one way so that there is effectively a duty to act; (ii) the official appreciates this but nevertheless makes a conscious decision not to act; and (iii) he does so with intent to injure the plaintiff, or in the knowledge that such injury will be the natural probable consequences of his failure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Six months after the decision in First National Properties Ltd., the Court of Appeal released its decision in Powder Mountain Resorts Ltd. v. British Columbia, </w:t>
      </w:r>
      <w:hyperlink r:id="rId79" w:history="1">
        <w:r>
          <w:rPr>
            <w:rFonts w:ascii="arial" w:eastAsia="arial" w:hAnsi="arial" w:cs="arial"/>
            <w:i/>
            <w:color w:val="0077CC"/>
            <w:sz w:val="20"/>
            <w:u w:val="single"/>
            <w:shd w:val="clear" w:color="auto" w:fill="FFFFFF"/>
            <w:lang w:val="en-US" w:eastAsia="en-US" w:bidi="ar-SA"/>
          </w:rPr>
          <w:t>[2001] B.C.J. No. 2172</w:t>
        </w:r>
      </w:hyperlink>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2001 BCCA 619</w:t>
        </w:r>
      </w:hyperlink>
      <w:r>
        <w:rPr>
          <w:rFonts w:ascii="arial" w:eastAsia="arial" w:hAnsi="arial" w:cs="arial"/>
          <w:color w:val="000000"/>
          <w:sz w:val="20"/>
          <w:lang w:val="en-US" w:eastAsia="en-US" w:bidi="ar-SA"/>
        </w:rPr>
        <w:t>. Newbury, J.A., at para. 8, notes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Because abuse of public office remains an intentional tort requiring proof of bad faith, it will in the minds of most observers carry the 'stench of dishonesty'. This court has suggested that where bad faith on the part of a public official is alleged, clear proof commensurate with the seriousness of the wrong should be provided: see MacMillan Bloedel Ltd. v. Galiano Island Trust Committee </w:t>
            </w:r>
            <w:hyperlink r:id="rId78" w:history="1">
              <w:r>
                <w:rPr>
                  <w:rFonts w:ascii="arial" w:eastAsia="arial" w:hAnsi="arial" w:cs="arial"/>
                  <w:i/>
                  <w:color w:val="0077CC"/>
                  <w:sz w:val="18"/>
                  <w:u w:val="single"/>
                  <w:shd w:val="clear" w:color="auto" w:fill="FFFFFF"/>
                  <w:lang w:val="en-US" w:eastAsia="en-US" w:bidi="ar-SA"/>
                </w:rPr>
                <w:t>(1995) 10 B.C.L.R. (3d) 121</w:t>
              </w:r>
            </w:hyperlink>
            <w:r>
              <w:rPr>
                <w:rFonts w:ascii="arial" w:eastAsia="arial" w:hAnsi="arial" w:cs="arial"/>
                <w:color w:val="000000"/>
                <w:sz w:val="18"/>
                <w:lang w:val="en-US" w:eastAsia="en-US" w:bidi="ar-SA"/>
              </w:rPr>
              <w:t xml:space="preserve"> per Finch J.A. (as he then was) at 181-2. (Lve. to app. to S.C.C. dism'd., </w:t>
            </w:r>
            <w:hyperlink r:id="rId80" w:history="1">
              <w:r>
                <w:rPr>
                  <w:rFonts w:ascii="arial" w:eastAsia="arial" w:hAnsi="arial" w:cs="arial"/>
                  <w:i/>
                  <w:color w:val="0077CC"/>
                  <w:sz w:val="18"/>
                  <w:u w:val="single"/>
                  <w:shd w:val="clear" w:color="auto" w:fill="FFFFFF"/>
                  <w:lang w:val="en-US" w:eastAsia="en-US" w:bidi="ar-SA"/>
                </w:rPr>
                <w:t>[1995] S.C.C.A. No. 439</w:t>
              </w:r>
            </w:hyperlink>
            <w:r>
              <w:rPr>
                <w:rFonts w:ascii="arial" w:eastAsia="arial" w:hAnsi="arial" w:cs="arial"/>
                <w:color w:val="000000"/>
                <w:sz w:val="18"/>
                <w:lang w:val="en-US" w:eastAsia="en-US" w:bidi="ar-SA"/>
              </w:rPr>
              <w:t xml:space="preserve">). In First National Properties Ltd. v. McMinn </w:t>
            </w:r>
            <w:hyperlink r:id="rId77" w:history="1">
              <w:r>
                <w:rPr>
                  <w:rFonts w:ascii="arial" w:eastAsia="arial" w:hAnsi="arial" w:cs="arial"/>
                  <w:i/>
                  <w:color w:val="0077CC"/>
                  <w:sz w:val="18"/>
                  <w:u w:val="single"/>
                  <w:shd w:val="clear" w:color="auto" w:fill="FFFFFF"/>
                  <w:lang w:val="en-US" w:eastAsia="en-US" w:bidi="ar-SA"/>
                </w:rPr>
                <w:t>(2001) 198 D.L.R. (4th) 443</w:t>
              </w:r>
            </w:hyperlink>
            <w:r>
              <w:rPr>
                <w:rFonts w:ascii="arial" w:eastAsia="arial" w:hAnsi="arial" w:cs="arial"/>
                <w:color w:val="000000"/>
                <w:sz w:val="18"/>
                <w:lang w:val="en-US" w:eastAsia="en-US" w:bidi="ar-SA"/>
              </w:rPr>
              <w:t>, we also stated that courts should be cautious in dealing with the tort because it is an exception to the normal disinterest of the civil law in the motive underlying conduct, as opposed to the conduct itself: see Bradford Corp. v. Pickles [1895] A.C. 587 (H.L.). (The criminal law distinguishes between "motive" and "intention" but that distinction seems inoperative in the present context.) Motive is of course notoriously difficult to discern, and one may act for more than one motive.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elements of the tort are usefully set out in Odhavji Estate v. Woodhouse </w:t>
      </w:r>
      <w:hyperlink r:id="rId81" w:history="1">
        <w:r>
          <w:rPr>
            <w:rFonts w:ascii="arial" w:eastAsia="arial" w:hAnsi="arial" w:cs="arial"/>
            <w:i/>
            <w:color w:val="0077CC"/>
            <w:sz w:val="20"/>
            <w:u w:val="single"/>
            <w:shd w:val="clear" w:color="auto" w:fill="FFFFFF"/>
            <w:lang w:val="en-US" w:eastAsia="en-US" w:bidi="ar-SA"/>
          </w:rPr>
          <w:t>(2000), 52 O.R. (3d) 181</w:t>
        </w:r>
      </w:hyperlink>
      <w:r>
        <w:rPr>
          <w:rFonts w:ascii="arial" w:eastAsia="arial" w:hAnsi="arial" w:cs="arial"/>
          <w:color w:val="000000"/>
          <w:sz w:val="20"/>
          <w:lang w:val="en-US" w:eastAsia="en-US" w:bidi="ar-SA"/>
        </w:rPr>
        <w:t>,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considering the elements of the tort, Lord Steyn found it helpful to do so by stating the requirements in a logical sequence. I find it convenient to reproduce the summary of Lord Steyn's description of the ingredients of the tort found in (2000), 150 New L.J. 769: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ingredients of the tort of misfeasance in public office could be considered in a logical sequence. First, the defendant had to be a public officer. The second was the exercise of power as a public officer. The third concerned the state of mind of the defendant. The case law revealed two different forms of liability for misfeasance in public office. First there was the case of targeted malice by a public officer which involved bad faith in the sense of the exercise of pubic power for an improper or ulterior motive. The second form was where a public officer acted knowing that he had no power to do the act complained of and that the act would probably injure the plaintiff.</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present case in tort was maintainable in the second form of the tort and it could now be regarded as settled law that an act performed in reckless indifference as to the outcome was sufficient to ground the tort in its second form. Only reckless indifference in a subjective sense would be sufficient. The plaintiff had to prove that the public officer acted with a state of mind of reckless indifference to the illegality of his act.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fourth requirement was the duty to the plaintiff. The question was who could sue in respect of an abuse of power by a public officer. What could be said was that any plaintiff had to have a sufficient interest to found a legal standing to sue. Subject to that qualification, principle did not require the introduction of proximity as a controlling mechanism in this corner of the law. The state of mind required to establish the tort, as already explained, as well as the special rule of remoteness hereafter discussed, kept the tort within reasonable bounds. There was no reason why such an action could not be brought by a particular class of persons, such as depositors at a bank, even if their precise identities were not known to the bank.</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fifth requirement was causation which was a question of fact. That it was unsuitable for summary determination was plainly correct.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sixth requirement was damage and remoteness. The claims by the plaintiffs were in respect of financial losses they suffered. These were, of course, claims for recovery of consequential economic losses. The question was when such losses were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Supreme Court of Canada granted leave to appeal the decision in Odhavji and the appeal was heard on February 17, 2003; judgment was reserved, </w:t>
      </w:r>
      <w:hyperlink r:id="rId82" w:history="1">
        <w:r>
          <w:rPr>
            <w:rFonts w:ascii="arial" w:eastAsia="arial" w:hAnsi="arial" w:cs="arial"/>
            <w:i/>
            <w:color w:val="0077CC"/>
            <w:sz w:val="20"/>
            <w:u w:val="single"/>
            <w:shd w:val="clear" w:color="auto" w:fill="FFFFFF"/>
            <w:lang w:val="en-US" w:eastAsia="en-US" w:bidi="ar-SA"/>
          </w:rPr>
          <w:t>[2001] S.C.C.A. No. 75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Despite this appeal the elements set out have been adopted in this province in BK Tree Services Ltd. v. B.C. Hydro and Power Authority, </w:t>
      </w:r>
      <w:hyperlink r:id="rId83" w:history="1">
        <w:r>
          <w:rPr>
            <w:rFonts w:ascii="arial" w:eastAsia="arial" w:hAnsi="arial" w:cs="arial"/>
            <w:i/>
            <w:color w:val="0077CC"/>
            <w:sz w:val="20"/>
            <w:u w:val="single"/>
            <w:shd w:val="clear" w:color="auto" w:fill="FFFFFF"/>
            <w:lang w:val="en-US" w:eastAsia="en-US" w:bidi="ar-SA"/>
          </w:rPr>
          <w:t>[2002] B.C.J. No. 2553</w:t>
        </w:r>
      </w:hyperlink>
      <w:r>
        <w:rPr>
          <w:rFonts w:ascii="arial" w:eastAsia="arial" w:hAnsi="arial" w:cs="arial"/>
          <w:color w:val="000000"/>
          <w:sz w:val="20"/>
          <w:lang w:val="en-US" w:eastAsia="en-US" w:bidi="ar-SA"/>
        </w:rPr>
        <w:t xml:space="preserve">; Price v. British Columbia, </w:t>
      </w:r>
      <w:hyperlink r:id="rId84" w:history="1">
        <w:r>
          <w:rPr>
            <w:rFonts w:ascii="arial" w:eastAsia="arial" w:hAnsi="arial" w:cs="arial"/>
            <w:i/>
            <w:color w:val="0077CC"/>
            <w:sz w:val="20"/>
            <w:u w:val="single"/>
            <w:shd w:val="clear" w:color="auto" w:fill="FFFFFF"/>
            <w:lang w:val="en-US" w:eastAsia="en-US" w:bidi="ar-SA"/>
          </w:rPr>
          <w:t>[2001] B.C.J. No. 2284</w:t>
        </w:r>
      </w:hyperlink>
      <w:r>
        <w:rPr>
          <w:rFonts w:ascii="arial" w:eastAsia="arial" w:hAnsi="arial" w:cs="arial"/>
          <w:color w:val="000000"/>
          <w:sz w:val="20"/>
          <w:lang w:val="en-US" w:eastAsia="en-US" w:bidi="ar-SA"/>
        </w:rPr>
        <w:t xml:space="preserve">; and Bingo City Games Inc. v. British Columbia Lottery Corp., </w:t>
      </w:r>
      <w:hyperlink r:id="rId85" w:history="1">
        <w:r>
          <w:rPr>
            <w:rFonts w:ascii="arial" w:eastAsia="arial" w:hAnsi="arial" w:cs="arial"/>
            <w:i/>
            <w:color w:val="0077CC"/>
            <w:sz w:val="20"/>
            <w:u w:val="single"/>
            <w:shd w:val="clear" w:color="auto" w:fill="FFFFFF"/>
            <w:lang w:val="en-US" w:eastAsia="en-US" w:bidi="ar-SA"/>
          </w:rPr>
          <w:t>[2003] B.C.J. No. 985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my view, given the elements of this claim and the authorities, the present pleadings do not plead facts sufficient to make out this cause of action, although with proper pleading it is possible that such a claim can be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OTHER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defendants also submit that the statement of claim throughout imperfectly pleads fragments of other causes of action, in particular, they submit that claims amounting to claims of defamation are found in paras. 40(a), (b), (c) and (g); 43, 45, 46, 53, 54, 57 and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effect of these pleadings is evident from the following extracts:</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 defendants have persistently told others that they believe that the Keene's [sic] were responsible for the death of SH, although they know or ought to know that such allegation is false.</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they have been reckless as to the truth of the allegation referred to in the preceding paragraph.</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false allegations levelled by the individual defendants and as a result of the conduct of the Ministry and as a result of the improper cancellation of the fostering agreement and the indication by the Ministry that the Keene's [sic] will never be permitted to foster again, their reputation within the community has been much harmed.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Ministry through its servants the individual defendants was high-handed and malicious and calculated to cause the Keene's [sic] damage by way of their professions and to cause them to be viewed with odium by right-thinking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Mr. Fletcher submits, in response, that the plaintiffs are not seeking to advance a claim in defamation and that these portions of his statement of claim simply detail a form of damage being sought by the plaintiffs. In support of this submission he relies upon the decision of the Supreme Court of Canada in Roncarelli v. Duplessis, </w:t>
      </w:r>
      <w:hyperlink r:id="rId86" w:history="1">
        <w:r>
          <w:rPr>
            <w:rFonts w:ascii="arial" w:eastAsia="arial" w:hAnsi="arial" w:cs="arial"/>
            <w:i/>
            <w:color w:val="0077CC"/>
            <w:sz w:val="20"/>
            <w:u w:val="single"/>
            <w:shd w:val="clear" w:color="auto" w:fill="FFFFFF"/>
            <w:lang w:val="en-US" w:eastAsia="en-US" w:bidi="ar-SA"/>
          </w:rPr>
          <w:t>[1959] S.C.R. 121</w:t>
        </w:r>
      </w:hyperlink>
      <w:r>
        <w:rPr>
          <w:rFonts w:ascii="arial" w:eastAsia="arial" w:hAnsi="arial" w:cs="arial"/>
          <w:color w:val="000000"/>
          <w:sz w:val="20"/>
          <w:lang w:val="en-US" w:eastAsia="en-US" w:bidi="ar-SA"/>
        </w:rPr>
        <w:t>, in which, he submits, the majority recognized loss of reputation or goodwill as a discrete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With respect, Mr. Fletcher misapprehends the nature of the decision in Roncarelli v. Duplessis. The key passage, in my view, is found at p. 159 where Martland, J.,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issue of liability, I have, for the foregoing reasons, reached the conclusion that the respondent, by acts not justifiable in law, wrongfully caused the cancellation of the appellant's permit and thus cause damage to the appellant. The respondent intentionally inflicted damage upon the appellant and, therefore, in the absence of lawful justification, which I do not find, he is liable to the appellant for the commission of a fault under art. 1053 of the Civil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is not a single finding in this passage - but two. The first is a finding with respect to the licence cancellation, but the second is a finding that the respondent intentionally inflicted damage. This passage and the reasoning which follows represents an award of damages based on a finding of what has sometimes been characterized as one of the economic torts. It does not and cannot be extended so far as to create a separate and distinct head of damages consisting of damage to reputation or goodwill.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Another series of pleadings begins at para. 44 and develops through paras. 45, 46, 49, 50, 56, 62, 66 and 67. These paragraphs appear to raise and advance a claim for abuse of process. In essence and in summary, these paragraphs appear to assert the proposition that the defendants initiated court proceedings, that they misled the courts or manipulated the process with the result that the removal of the children from the plaintiffs was effected and, as a result, they have suffered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must confess that this aspect of these pleadings is difficult to understand. I am uncertain as to precisely what is being advanced. It could be a collateral attack on separate (but related court proceedings); it could be an attempt to recover the costs of those separate court proceedings in this one; or, it could be an attempt to set up the cost of those proceedings as a separate head of damage, recoverable on some basis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What is clear to me is that these pleadings do little to explain to the reader what is being advanced and on the basis of what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PRAYER FOR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Even the prayer for relief in the statement of claim fails the basic test of clearly setting out the relief sought. In this case it does not even attempt to identify the claims advanced against particular defendants. Despite the fact that there is no contractual claim advanced within the body of the statement of claim against any of the individual defendants, damages are apparently sought against all defendants on the basis of breach of contract. Instead of particularizing the claims, all claims are set out globally and, apparently, advanced against all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 WITH RESPECT TO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concise statement with respect to permitting amendments to pleadings is found in the decision of McLachlin, J. (as she then was), in Victoria Grey Metro Trust Company v. Fort Gary Trust Company, </w:t>
      </w:r>
      <w:hyperlink r:id="rId87" w:history="1">
        <w:r>
          <w:rPr>
            <w:rFonts w:ascii="arial" w:eastAsia="arial" w:hAnsi="arial" w:cs="arial"/>
            <w:i/>
            <w:color w:val="0077CC"/>
            <w:sz w:val="20"/>
            <w:u w:val="single"/>
            <w:shd w:val="clear" w:color="auto" w:fill="FFFFFF"/>
            <w:lang w:val="en-US" w:eastAsia="en-US" w:bidi="ar-SA"/>
          </w:rPr>
          <w:t>(1982) 30 B.C.L.R. (2d) 45</w:t>
        </w:r>
      </w:hyperlink>
      <w:r>
        <w:rPr>
          <w:rFonts w:ascii="arial" w:eastAsia="arial" w:hAnsi="arial" w:cs="arial"/>
          <w:color w:val="000000"/>
          <w:sz w:val="20"/>
          <w:lang w:val="en-US" w:eastAsia="en-US" w:bidi="ar-SA"/>
        </w:rPr>
        <w:t xml:space="preserve"> at pp. 46-7: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Before addressing the proposed pleadings, I refer to the principles which govern the granting of amendments to pleadings. The basic rule, set out expressly in the former rules and no doubt still applicable, is that such amendments should be permitted as are necessary to determine the real question in issue between the parties. Rule 1(5) requires an interpretation of the rules which permit the just and speedy determination of the dispute on its merits. Similarly, the Law and Equity Act, R.S.B.C. 1979, c. 224, s. 10, requires the court to grant all such remedies as any of the parties may appear to be entitled to "so that, as far as possible, all matters in controversy between the parties may be completely and finally determined . . ." These provisions arguably support a generous approach to the question of amendments. However, the court will not allow useless amendments: Gesman v. Regina (City) </w:t>
      </w:r>
      <w:hyperlink r:id="rId88" w:history="1">
        <w:r>
          <w:rPr>
            <w:rFonts w:ascii="arial" w:eastAsia="arial" w:hAnsi="arial" w:cs="arial"/>
            <w:i/>
            <w:color w:val="0077CC"/>
            <w:sz w:val="20"/>
            <w:u w:val="single"/>
            <w:shd w:val="clear" w:color="auto" w:fill="FFFFFF"/>
            <w:lang w:val="en-US" w:eastAsia="en-US" w:bidi="ar-SA"/>
          </w:rPr>
          <w:t>(1907), 1 Sask. L.R. 39</w:t>
        </w:r>
      </w:hyperlink>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7 W.L.R. 307</w:t>
        </w:r>
      </w:hyperlink>
      <w:r>
        <w:rPr>
          <w:rFonts w:ascii="arial" w:eastAsia="arial" w:hAnsi="arial" w:cs="arial"/>
          <w:color w:val="000000"/>
          <w:sz w:val="20"/>
          <w:lang w:val="en-US" w:eastAsia="en-US" w:bidi="ar-SA"/>
        </w:rPr>
        <w:t xml:space="preserve">; Hubbuck &amp; Sons Ltd. v. Wilkinson, Heywood &amp; Clark Ltd., [1899] 1 Q.B. 86 (C.A.). Similarly, it seems to me obvious that the court will not give its sanction to amendments which violate the rules which govern pleadings. These include the requirements relating to conciseness (R. 19(1)); material facts (R. 19(1)); particulars (R. 19(11)); and the prohibition against pleadings which disclose no reasonable claim or are otherwise scandalous, frivolous or vexatious (R. 19(24)). With respect to the latter, it may be noted that it is only in the clearest cases that a pleading will be struck out as disclosing no reasonable claim; where there is doubt on either the facts or law, the matter should be allowed to proceed for determination at trial: Minnes v. Minnes (1962), 39 W.W.R. 112, </w:t>
      </w:r>
      <w:hyperlink r:id="rId89" w:history="1">
        <w:r>
          <w:rPr>
            <w:rFonts w:ascii="arial" w:eastAsia="arial" w:hAnsi="arial" w:cs="arial"/>
            <w:i/>
            <w:color w:val="0077CC"/>
            <w:sz w:val="20"/>
            <w:u w:val="single"/>
            <w:shd w:val="clear" w:color="auto" w:fill="FFFFFF"/>
            <w:lang w:val="en-US" w:eastAsia="en-US" w:bidi="ar-SA"/>
          </w:rPr>
          <w:t>34 D.L.R. (2d) 497</w:t>
        </w:r>
      </w:hyperlink>
      <w:r>
        <w:rPr>
          <w:rFonts w:ascii="arial" w:eastAsia="arial" w:hAnsi="arial" w:cs="arial"/>
          <w:color w:val="000000"/>
          <w:sz w:val="20"/>
          <w:lang w:val="en-US" w:eastAsia="en-US" w:bidi="ar-SA"/>
        </w:rPr>
        <w:t xml:space="preserve"> (B.C.C.A.); B.C. Power Corp. v. A.G.B.C. (1962), 38 W.W.R. 577, </w:t>
      </w:r>
      <w:hyperlink r:id="rId90" w:history="1">
        <w:r>
          <w:rPr>
            <w:rFonts w:ascii="arial" w:eastAsia="arial" w:hAnsi="arial" w:cs="arial"/>
            <w:i/>
            <w:color w:val="0077CC"/>
            <w:sz w:val="20"/>
            <w:u w:val="single"/>
            <w:shd w:val="clear" w:color="auto" w:fill="FFFFFF"/>
            <w:lang w:val="en-US" w:eastAsia="en-US" w:bidi="ar-SA"/>
          </w:rPr>
          <w:t>34 D.L.R. (2d) 196</w:t>
        </w:r>
      </w:hyperlink>
      <w:r>
        <w:rPr>
          <w:rFonts w:ascii="arial" w:eastAsia="arial" w:hAnsi="arial" w:cs="arial"/>
          <w:color w:val="000000"/>
          <w:sz w:val="20"/>
          <w:lang w:val="en-US" w:eastAsia="en-US" w:bidi="ar-SA"/>
        </w:rPr>
        <w:t xml:space="preserve"> at 211 (B.C.C.A.). If there is any doubt, it should be resolved in favour of permitting the pleadings to stand: Winfield v. Interior Engr. Services Ltd. (1969), 68 W.W.R. 383, </w:t>
      </w:r>
      <w:hyperlink r:id="rId91" w:history="1">
        <w:r>
          <w:rPr>
            <w:rFonts w:ascii="arial" w:eastAsia="arial" w:hAnsi="arial" w:cs="arial"/>
            <w:i/>
            <w:color w:val="0077CC"/>
            <w:sz w:val="20"/>
            <w:u w:val="single"/>
            <w:shd w:val="clear" w:color="auto" w:fill="FFFFFF"/>
            <w:lang w:val="en-US" w:eastAsia="en-US" w:bidi="ar-SA"/>
          </w:rPr>
          <w:t>4 D.L.R. (3d) 533</w:t>
        </w:r>
      </w:hyperlink>
      <w:r>
        <w:rPr>
          <w:rFonts w:ascii="arial" w:eastAsia="arial" w:hAnsi="arial" w:cs="arial"/>
          <w:color w:val="000000"/>
          <w:sz w:val="20"/>
          <w:lang w:val="en-US" w:eastAsia="en-US" w:bidi="ar-SA"/>
        </w:rPr>
        <w:t xml:space="preserve"> (B.C.S.C.). While these cases deal with striking out claims already pleaded, consistency demands that the same considerations apply to the question of amendment to permit new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Pasco v. Canadian National Railway Co. et al, </w:t>
      </w:r>
      <w:hyperlink r:id="rId92" w:history="1">
        <w:r>
          <w:rPr>
            <w:rFonts w:ascii="arial" w:eastAsia="arial" w:hAnsi="arial" w:cs="arial"/>
            <w:i/>
            <w:color w:val="0077CC"/>
            <w:sz w:val="20"/>
            <w:u w:val="single"/>
            <w:shd w:val="clear" w:color="auto" w:fill="FFFFFF"/>
            <w:lang w:val="en-US" w:eastAsia="en-US" w:bidi="ar-SA"/>
          </w:rPr>
          <w:t>(1990) 68 D.L.R. (4th) 478</w:t>
        </w:r>
      </w:hyperlink>
      <w:r>
        <w:rPr>
          <w:rFonts w:ascii="arial" w:eastAsia="arial" w:hAnsi="arial" w:cs="arial"/>
          <w:color w:val="000000"/>
          <w:sz w:val="20"/>
          <w:lang w:val="en-US" w:eastAsia="en-US" w:bidi="ar-SA"/>
        </w:rPr>
        <w:t xml:space="preserve"> at p. 479, the principle is stated to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It is a settled principle that pleadings should not be rejected unless they are clearly and obviously invalid: McNaughton v. Baker, </w:t>
      </w:r>
      <w:hyperlink r:id="rId93" w:history="1">
        <w:r>
          <w:rPr>
            <w:rFonts w:ascii="arial" w:eastAsia="arial" w:hAnsi="arial" w:cs="arial"/>
            <w:i/>
            <w:color w:val="0077CC"/>
            <w:sz w:val="20"/>
            <w:u w:val="single"/>
            <w:shd w:val="clear" w:color="auto" w:fill="FFFFFF"/>
            <w:lang w:val="en-US" w:eastAsia="en-US" w:bidi="ar-SA"/>
          </w:rPr>
          <w:t>[1988] 4 W.W.R. 742</w:t>
        </w:r>
      </w:hyperlink>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25 B.C.L.R. (2d) 17</w:t>
        </w:r>
      </w:hyperlink>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28 C.P.C. (2d) 49</w:t>
        </w:r>
      </w:hyperlink>
      <w:r>
        <w:rPr>
          <w:rFonts w:ascii="arial" w:eastAsia="arial" w:hAnsi="arial" w:cs="arial"/>
          <w:color w:val="000000"/>
          <w:sz w:val="20"/>
          <w:lang w:val="en-US" w:eastAsia="en-US" w:bidi="ar-SA"/>
        </w:rPr>
        <w:t xml:space="preserve"> (C.A.); Minnes v. Minnes </w:t>
      </w:r>
      <w:hyperlink r:id="rId89" w:history="1">
        <w:r>
          <w:rPr>
            <w:rFonts w:ascii="arial" w:eastAsia="arial" w:hAnsi="arial" w:cs="arial"/>
            <w:i/>
            <w:color w:val="0077CC"/>
            <w:sz w:val="20"/>
            <w:u w:val="single"/>
            <w:shd w:val="clear" w:color="auto" w:fill="FFFFFF"/>
            <w:lang w:val="en-US" w:eastAsia="en-US" w:bidi="ar-SA"/>
          </w:rPr>
          <w:t>(1962), 34 D.L.R. (2d) 497</w:t>
        </w:r>
      </w:hyperlink>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39 W.W.R. 112</w:t>
        </w:r>
      </w:hyperlink>
      <w:r>
        <w:rPr>
          <w:rFonts w:ascii="arial" w:eastAsia="arial" w:hAnsi="arial" w:cs="arial"/>
          <w:color w:val="000000"/>
          <w:sz w:val="20"/>
          <w:lang w:val="en-US" w:eastAsia="en-US" w:bidi="ar-SA"/>
        </w:rPr>
        <w:t xml:space="preserve"> (B.C.C.A.); Hubbuck &amp; Sons, Ltd. v. Wilkinson, Heywood &amp; Clark, Ltd., [1899] 1 Q.B. 86 (C.A.). A refusal to allow an amendment must meet the same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am troubled by these pleadings which fall far short of the goal of pleadings in this court. That goal is concisely set out by Smith, J., in Homalco Indian Band v. British Columbia, </w:t>
      </w:r>
      <w:hyperlink r:id="rId94"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ultimate function of pleadings is to clearly define the issues of fact and law to be determined by the court. The issues must be defined for each cause of action relied upon by the plaintiff. That process is begun by the plaintiff stating, for each cause, the material facts, that is those facts necessary for the purpose of formulating a complete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allegations underlying these pleadings raise serious issues on the part of the plaintiffs and equally serious concerns by the defendants. The defendants are entitled, as a matter of law, to know the case they are required to meet. The present pleadings are wholly inadequate to achieve either necessary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would be easy to simply strike these pleadings as a result of the many defects already touched on in these reasons. I am not satisfied, however, that they are in the whole clearly and obviously invalid. As a result, the plaintiffs shall have leave to recast their pleadings to provide a clear, concise and logical description of the plaintiffs' causes of action. At a minimum the new statement of claim should identify each cause of action in its own section pleading the material facts necessary to complete the cause of action and a separate section detailing the damages claimed in respect of each cause of action and the defendants against whom it is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reaching this decision to grant leave to amend I am mindful as well of the fact that on October 2, 2003, the Supreme Court of Canada released its decision in K.L.B. v. British Columbia, </w:t>
      </w:r>
      <w:hyperlink r:id="rId95" w:history="1">
        <w:r>
          <w:rPr>
            <w:rFonts w:ascii="arial" w:eastAsia="arial" w:hAnsi="arial" w:cs="arial"/>
            <w:i/>
            <w:color w:val="0077CC"/>
            <w:sz w:val="20"/>
            <w:u w:val="single"/>
            <w:shd w:val="clear" w:color="auto" w:fill="FFFFFF"/>
            <w:lang w:val="en-US" w:eastAsia="en-US" w:bidi="ar-SA"/>
          </w:rPr>
          <w:t>[2003] S.C.J. No. 51</w:t>
        </w:r>
      </w:hyperlink>
      <w:r>
        <w:rPr>
          <w:rFonts w:ascii="arial" w:eastAsia="arial" w:hAnsi="arial" w:cs="arial"/>
          <w:color w:val="000000"/>
          <w:sz w:val="20"/>
          <w:lang w:val="en-US" w:eastAsia="en-US" w:bidi="ar-SA"/>
        </w:rPr>
        <w:t>, 2003 S.C.C. 51, a decision which may well affect, in some respects, the pleading of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plaintiffs will have three weeks from the release of these reasons to amend their pleadings. In the event that is not done, the pleadings will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defendants will have leave to amend their statement of defence in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Nothing in these reasons should be read as determining any issue related to a potential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Costs may be spoken to once the amendments are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PARRETT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0"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Lawson 2005 Holdings Trust v. 0772835 B.C. Ltd. (c.o.b. Brook), [2016] B.C.J. No. 2126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Betton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23, 24, August 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S-144401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2126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1872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Lawson 2005 Holdings Trust and Kevin Lawson, Plaintiffs, and 0772835 B.C. Ltd. a.k.a. "The Brook", Local 1661 Building Inc., Almaval Building Inc., Streamline Properties Inc., Rubicon Investments Inc., Jeffrey K. Wiegel, Michael J. Knight, Mark Standerwick, Katherine Ducey, Campbell Froh May and Rice LLP, Citizens Bank of Canada and Interior Equities Corp.,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1"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 w:name="Keywords_4"/>
      <w:bookmarkEnd w:id="32"/>
      <w:r>
        <w:rPr>
          <w:rFonts w:ascii="arial" w:eastAsia="arial" w:hAnsi="arial" w:cs="arial"/>
          <w:b/>
          <w:color w:val="000000"/>
          <w:sz w:val="20"/>
          <w:lang w:val="en-US" w:eastAsia="en-US" w:bidi="ar-SA"/>
        </w:rPr>
        <w:t>Civil litigation — Civil procedure — Service — Of originating process — Time for — Application by plaintiffs to renew notice of civil claim allowed, with condition that it be without prejudice to limitation defences — In November 2015, plaintiff's second lawyer asked bank to file response and bank asked for proof of service — Plaintiff's third lawyer served bank in March 2016 — Application to renew was filed in May — Application should have been brought sooner, but length of time passed was modest in absolute terms — Rules, Rule 3-2(1).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 w:name="Case Summary_3"/>
            <w:bookmarkEnd w:id="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to renew a notice of civil claim. The plaintiffs filed a notice of civil claim in June 2014, alleging that a bank facilitated a fraud against them as investors by financing real estate developers, but the plaintiff's first lawyer did not serve the bank. The plaintiff's second lawyer assumed conduct of the matter in January 2015. The notice of civil claim expired in June. In November, the second lawyer asked the bank to file a response and the bank asked for proof of service. The plaintiff's third lawyer assumed conduct of the matter in January 2016 and served the bank in March. The application to renew was filed in May.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4" w:name="Holdings of Court_3"/>
            <w:bookmarkEnd w:id="34"/>
            <w:r>
              <w:rPr>
                <w:rFonts w:ascii="arial" w:eastAsia="arial" w:hAnsi="arial" w:cs="arial"/>
                <w:color w:val="000000"/>
                <w:sz w:val="20"/>
                <w:lang w:val="en-US" w:eastAsia="en-US" w:bidi="ar-SA"/>
              </w:rPr>
              <w:t>HELD: Application allowed, with the condition that it be without prejudice to any limitation defences.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second lawyer proceeded on the belief that the bank was served, but there was cause to question the basis of the belief when the bank asked for proof of service. The application should have been brought sooner, but the length of the time passed was modest in absolute terms. The bank did not assert any specific prejudice independent of potential limitation defences. The notice of civil claim was not unequivocally hopeless.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5" w:name="Legislation Cited_4"/>
      <w:bookmarkEnd w:id="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2"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Corporations Act </w:t>
      </w:r>
      <w:r>
        <w:rPr>
          <w:rFonts w:ascii="arial" w:eastAsia="arial" w:hAnsi="arial" w:cs="arial"/>
          <w:i/>
          <w:color w:val="000000"/>
          <w:sz w:val="20"/>
          <w:lang w:val="en-US" w:eastAsia="en-US" w:bidi="ar-SA"/>
        </w:rPr>
        <w:t>SBC 2002 Ch. 57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REDMA,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Rule 3-2(1), Rule 3-7(18), Rule 6-1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6" w:name="Counsel_4"/>
      <w:bookmarkEnd w:id="3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3"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D.J. Barker.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Citizens Bank of Canada: K.M. Johanson.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other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 w:name="Judgment_4"/>
      <w:bookmarkEnd w:id="37"/>
      <w:r>
        <w:pict>
          <v:line id="_x0000_s1054" style="position:absolute;z-index:25181696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November 10, 2016;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 w:name="D.A. BETTON J."/>
            <w:bookmarkEnd w:id="38"/>
            <w:r>
              <w:rPr>
                <w:rFonts w:ascii="arial" w:eastAsia="arial" w:hAnsi="arial" w:cs="arial"/>
                <w:b/>
                <w:color w:val="000000"/>
                <w:sz w:val="30"/>
                <w:lang w:val="en-US" w:eastAsia="en-US" w:bidi="ar-SA"/>
              </w:rPr>
              <w:t>D.A. BETTON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to renew a notice of civil claim that was not served on one of the named defendants, the Citizens Bank of Canada ("Citizens Bank"). That defendant opposes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original notice of civil claim was filed June 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claim arises out of a failed real estate development. Two groups of investors have started two separate actions that are at least similar in nature. Citizens Bank was served in the other action but not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Citizens Bank provided financing secured by a construction financing mortgage. It commenced foreclosure proceedings on October 29, 2010 and obtained an order nisi and order for conduct of sale on January 6, 2011. The issues raised in the notice of civil claim here were not raised in the context of the foreclosure.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developers were the individual defendants, Jeffrey K. Wiegel ("Wiegel"). They and Michael J. Knight ("Knight" have been or are being prosecuted under securities or other regulatory regimes for their actions in connection with the development. The numerous other entities connected with the development that have been named as defendants include the law firm acting for the developers and the Citizens Bank which provided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Plaintiffs' counsel at the time of filing the notice of civil claim was Mr. Kevin Alexander McLean. He was later suspended and ultimately disbarred although, to my knowledge, that was not as a result of conduct connected to his handling of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appears Mr. McLean had arranged for successful service of at least some of the defendants but not the Citizens Bank of Canada. There is no evidence from Mr. McLean and efforts to access his file contents were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January 26, 2015, Mr. Dean P. Davison of the Davison Law Group assumed conduct of the matter on behalf of the plaintiffs. On November 2, 2015, after expiry of the notice of civil claim, Mr. Davison requested the Citizens Bank file a response. On the same date counsel for the Citizens Bank responded by letter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provide proof of service on Citizens Bank as we are advised that Citizens Bank has not received the Notice of Civil Claim to which you refer in your 2 November 2015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Thereafter, counsel for the Citizens Bank repeated its request that it be provided with proof of service of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January 7, 2016, Mr. Barker, counsel for the plaintiffs in this application, filed a notice of appointment or change of lawyer where he assumed conduct of the matter on behalf of the plaintiffs. On March 8, 2016, Mr. Barker caused an amended notice of civil claim to be filed and on March 9, 2016, sent a letter to the Citizens Bank, the body of which contained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enclose for service upon you pursuant to Paragraph 9 of the Business Corporations Act </w:t>
      </w:r>
      <w:r>
        <w:rPr>
          <w:rFonts w:ascii="arial" w:eastAsia="arial" w:hAnsi="arial" w:cs="arial"/>
          <w:i/>
          <w:color w:val="000000"/>
          <w:sz w:val="20"/>
          <w:lang w:val="en-US" w:eastAsia="en-US" w:bidi="ar-SA"/>
        </w:rPr>
        <w:t>SBC 2002 Ch. 57</w:t>
      </w:r>
      <w:r>
        <w:rPr>
          <w:rFonts w:ascii="arial" w:eastAsia="arial" w:hAnsi="arial" w:cs="arial"/>
          <w:color w:val="000000"/>
          <w:sz w:val="20"/>
          <w:lang w:val="en-US" w:eastAsia="en-US" w:bidi="ar-SA"/>
        </w:rPr>
        <w:t xml:space="preserve"> the Notice of Civil Claim and Amended Notice of Civil Claim filed in the noted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response, counsel for the Citizens Bank communicated by letter dated March 16, 2016, including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set out in previous correspondence to you and to the plaintiffs' former counsel dated November 2, 2015, November 19, 2015, February 15, 2015, and February 25, 2016, we are instructed that the notice of civil claim was never served on Citizens Bank.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notice of civil claim was filed on June 5, 2014, and expires on June 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May 9, 2016, this application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original notice of civil claim alleges that the defendants Knight and Wiegel were precluded by various orders from regulatory agencies from raising funds for the development and that they, in conjunction with the various other defendants, created financing and other "legal" documents that were relied on by the plaintiffs. The plaintiffs allege that they were investors and that there was an "illegal financing design". Generally their assertions appear to be founded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and/or civil conspiracy, deceit and/or knowing assistance and breach of trust. The plaintiffs appear to plead that the defendant Citizens Bank facilitated the fraudulent action of the borrowers or even assisted in the perpetration of the borrowers'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allegation is that Citizens Bank entered into a construction financing agreement with the developers. The debtor defendants defaulted on the mortgage and an order nisi and order for conduct for sale was granted in February 2011. The plaintiffs did not raise the claims advanced here in those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original notice of civil claim is not a model pleading. Among its deficiencies is a lack of specific allegations of fact to support broad assertions. In addition, the specific allegations against the defendants were not clearly articulated. For example:</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Citizens negligently produced real property, financing and mortgage documents (the "Citizens' Legal Documents") with intention and/or knowledge that the Plaintiffs would rely upon them. The Citizens' Legal Documents were created by it or its counsel with intention and/or knowledge that the Plaintiffs rely upon them.</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Citizens Legal Documents contravened </w:t>
      </w:r>
      <w:r>
        <w:rPr>
          <w:rFonts w:ascii="arial" w:eastAsia="arial" w:hAnsi="arial" w:cs="arial"/>
          <w:i/>
          <w:color w:val="000000"/>
          <w:sz w:val="20"/>
          <w:lang w:val="en-US" w:eastAsia="en-US" w:bidi="ar-SA"/>
        </w:rPr>
        <w:t>REDMA</w:t>
      </w:r>
      <w:r>
        <w:rPr>
          <w:rFonts w:ascii="arial" w:eastAsia="arial" w:hAnsi="arial" w:cs="arial"/>
          <w:color w:val="000000"/>
          <w:sz w:val="20"/>
          <w:lang w:val="en-US" w:eastAsia="en-US" w:bidi="ar-SA"/>
        </w:rPr>
        <w:t>. Citizens knew that the Plaintiffs would rely on invalid and illegal documentation to their detriment.</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Citizens crafted an illegal financing document which violated the consumer protection laws of </w:t>
      </w:r>
      <w:r>
        <w:rPr>
          <w:rFonts w:ascii="arial" w:eastAsia="arial" w:hAnsi="arial" w:cs="arial"/>
          <w:i/>
          <w:color w:val="000000"/>
          <w:sz w:val="20"/>
          <w:lang w:val="en-US" w:eastAsia="en-US" w:bidi="ar-SA"/>
        </w:rPr>
        <w:t>REDMA</w:t>
      </w:r>
      <w:r>
        <w:rPr>
          <w:rFonts w:ascii="arial" w:eastAsia="arial" w:hAnsi="arial" w:cs="arial"/>
          <w:color w:val="000000"/>
          <w:sz w:val="20"/>
          <w:lang w:val="en-US" w:eastAsia="en-US" w:bidi="ar-SA"/>
        </w:rPr>
        <w:t xml:space="preserve"> under FICOM. Weigel and Knight were clients of Citizens Bank. Weigel was convicted March 3rd, 2014 of criminally breaching </w:t>
      </w:r>
      <w:r>
        <w:rPr>
          <w:rFonts w:ascii="arial" w:eastAsia="arial" w:hAnsi="arial" w:cs="arial"/>
          <w:i/>
          <w:color w:val="000000"/>
          <w:sz w:val="20"/>
          <w:lang w:val="en-US" w:eastAsia="en-US" w:bidi="ar-SA"/>
        </w:rPr>
        <w:t>REDMA</w:t>
      </w:r>
      <w:r>
        <w:rPr>
          <w:rFonts w:ascii="arial" w:eastAsia="arial" w:hAnsi="arial" w:cs="arial"/>
          <w:color w:val="000000"/>
          <w:sz w:val="20"/>
          <w:lang w:val="en-US" w:eastAsia="en-US" w:bidi="ar-SA"/>
        </w:rPr>
        <w:t xml:space="preserve"> in the ways identical to the description provided by Citizens Bank Commercial Mortgage Document for The Brook dated in 2007.</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Citizens Bank caused Lawson to believe that her Share Capital and personal covenants were safe for a period of time prolonged enough to further enable Weigel and Knight to siphon off the financing as well as the Share Capital from The Brook project such that the real estate project and deal collapsed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specific facts are pleaded to support these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amended notice of civil claim is a substantially revised document that is an improvement on the original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 and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seek an order that the court "exercise its power under Rule 3-2(1) to renew the original Notice of Civil Claim for a period of 12 months". The parties agree on the law applicable to such applications and the principle issue is simply whether the discretion afforded the court by the rule and the authorities interpreting it, should be exercised in favour of the plaintiffs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That law is as set out in </w:t>
      </w:r>
      <w:r>
        <w:rPr>
          <w:rFonts w:ascii="arial" w:eastAsia="arial" w:hAnsi="arial" w:cs="arial"/>
          <w:i/>
          <w:color w:val="000000"/>
          <w:sz w:val="20"/>
          <w:lang w:val="en-US" w:eastAsia="en-US" w:bidi="ar-SA"/>
        </w:rPr>
        <w:t>Bearhead v. Moorhouse</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(1977), 3 B.C.L.R. 81</w:t>
        </w:r>
      </w:hyperlink>
      <w:r>
        <w:rPr>
          <w:rFonts w:ascii="arial" w:eastAsia="arial" w:hAnsi="arial" w:cs="arial"/>
          <w:color w:val="000000"/>
          <w:sz w:val="20"/>
          <w:lang w:val="en-US" w:eastAsia="en-US" w:bidi="ar-SA"/>
        </w:rPr>
        <w:t xml:space="preserve"> (S.C.), upheld by the Court of Appeal, </w:t>
      </w:r>
      <w:hyperlink r:id="rId104" w:history="1">
        <w:r>
          <w:rPr>
            <w:rFonts w:ascii="arial" w:eastAsia="arial" w:hAnsi="arial" w:cs="arial"/>
            <w:i/>
            <w:color w:val="0077CC"/>
            <w:sz w:val="20"/>
            <w:u w:val="single"/>
            <w:shd w:val="clear" w:color="auto" w:fill="FFFFFF"/>
            <w:lang w:val="en-US" w:eastAsia="en-US" w:bidi="ar-SA"/>
          </w:rPr>
          <w:t>(1978), 5 B.C.L.R. 380</w:t>
        </w:r>
      </w:hyperlink>
      <w:r>
        <w:rPr>
          <w:rFonts w:ascii="arial" w:eastAsia="arial" w:hAnsi="arial" w:cs="arial"/>
          <w:color w:val="000000"/>
          <w:sz w:val="20"/>
          <w:lang w:val="en-US" w:eastAsia="en-US" w:bidi="ar-SA"/>
        </w:rPr>
        <w:t xml:space="preserve">, and more recently affirmed by Court of Appeal decisions, including </w:t>
      </w:r>
      <w:r>
        <w:rPr>
          <w:rFonts w:ascii="arial" w:eastAsia="arial" w:hAnsi="arial" w:cs="arial"/>
          <w:i/>
          <w:color w:val="000000"/>
          <w:sz w:val="20"/>
          <w:lang w:val="en-US" w:eastAsia="en-US" w:bidi="ar-SA"/>
        </w:rPr>
        <w:t>Fast Fuel Services Ltd. v. Michelin North America (Canada) Inc</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2008 BCCA 216</w:t>
        </w:r>
      </w:hyperlink>
      <w:r>
        <w:rPr>
          <w:rFonts w:ascii="arial" w:eastAsia="arial" w:hAnsi="arial" w:cs="arial"/>
          <w:color w:val="000000"/>
          <w:sz w:val="20"/>
          <w:lang w:val="en-US" w:eastAsia="en-US" w:bidi="ar-SA"/>
        </w:rPr>
        <w:t xml:space="preserve"> at para. 9. The factors to be considered are as follows:</w:t>
      </w:r>
      <w:r>
        <w:rPr>
          <w:rFonts w:ascii="arial" w:eastAsia="arial" w:hAnsi="arial" w:cs="arial"/>
          <w:sz w:val="20"/>
          <w:lang w:val="en-US" w:eastAsia="en-US" w:bidi="ar-SA"/>
        </w:rPr>
        <w:cr/>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application to renew was made promptly;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had notice of the claim before the writ expired;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was prejudiced;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failure to effect service was attributable to the defendant;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plaintiffs as opposed to their solicitors were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Additionally, the Court of Appeal has confirmed in decisions including </w:t>
      </w:r>
      <w:r>
        <w:rPr>
          <w:rFonts w:ascii="arial" w:eastAsia="arial" w:hAnsi="arial" w:cs="arial"/>
          <w:i/>
          <w:color w:val="000000"/>
          <w:sz w:val="20"/>
          <w:lang w:val="en-US" w:eastAsia="en-US" w:bidi="ar-SA"/>
        </w:rPr>
        <w:t>Seeliger v. Eagle Ridge Hospital</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2007 BCCA 582</w:t>
        </w:r>
      </w:hyperlink>
      <w:r>
        <w:rPr>
          <w:rFonts w:ascii="arial" w:eastAsia="arial" w:hAnsi="arial" w:cs="arial"/>
          <w:color w:val="000000"/>
          <w:sz w:val="20"/>
          <w:lang w:val="en-US" w:eastAsia="en-US" w:bidi="ar-SA"/>
        </w:rPr>
        <w:t xml:space="preserve"> at paras. 32-34, that if the defendant is able to prove unequivocally that the action is hopeless an application of this nature should be refused (see also: </w:t>
      </w:r>
      <w:r>
        <w:rPr>
          <w:rFonts w:ascii="arial" w:eastAsia="arial" w:hAnsi="arial" w:cs="arial"/>
          <w:i/>
          <w:color w:val="000000"/>
          <w:sz w:val="20"/>
          <w:lang w:val="en-US" w:eastAsia="en-US" w:bidi="ar-SA"/>
        </w:rPr>
        <w:t>Weldon v. Agrium Inc.</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2012 BCCA 53</w:t>
        </w:r>
      </w:hyperlink>
      <w:r>
        <w:rPr>
          <w:rFonts w:ascii="arial" w:eastAsia="arial" w:hAnsi="arial" w:cs="arial"/>
          <w:color w:val="000000"/>
          <w:sz w:val="20"/>
          <w:lang w:val="en-US" w:eastAsia="en-US" w:bidi="ar-SA"/>
        </w:rPr>
        <w:t>, at paras. 33 to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circumstances of this application an additional issue is the relevance of the amended notice of civil claim. The application is specifically for renewal of the original notice of civil claim. The amended notice of civil claim has been filed and served on other defendants and is therefore an existing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submissions on this point, taken from their written submissions, are as follows: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Accordingly, while it is the original notice of civil claim that must be renewed to allow for service on the one remaining key defendant that has not been served, the Amended Notice of Civil Claim, which corrects and adds an additional but related plea (namely knowing assistance) is to be considered when the court considers whether Citizens Bank has met the onus "to prove unequivocally that the action is hopeless".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comparison of the pleas against Citizens Bank (see paragraphs 88-95 of the Notice of Civil Claim and paragraphs 126 - 138, 168 of the Statement of Facts and paragraph 30 of the Legal Basis from the Amended Notice of Civil Claim) confirms that the central allegations against Citizens Bank have not changed, rather an additional related plea of "knowing assistance" has been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Citizens Bank agrees that I must look to the original notice of civil claim based on the language in the Rules and in the notice of application, and the fact that an application to renew a notice of civil claim is in effect a request of the court to permit the plaintiffs to rely on the original filing date notwithstanding the expiration of time for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addressing the five factors set out above, a general summary of the parties' respective positions as set out in their written submissions is as follows: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complexity of the claim, the uncertainties regarding service arising from the circumstances of Mr. McLean as plaintiffs' former counsel and the time frames that have been considered in other cases, the plaintiffs say the application was brought promptly.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Citizens Bank argues that "the plaintiffs ought to have known that the Notice of Civil Claim had not been served soon after Mr. Davison was appointed solicitor on January 26, 2015 (which was before the Notice of Civil Claim had expired)" and they clearly did know of that fact on November 2, 2015, and yet the application was not filed until May 2016. It says the application was not brought promptly.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do not dispute Citizens Bank's assertion that Citizens Bank was aware of the claim before the notice of civil claim expired. They do however argue that I should take into account the reasoning applied by Weatherill J. in </w:t>
      </w:r>
      <w:r>
        <w:rPr>
          <w:rFonts w:ascii="arial" w:eastAsia="arial" w:hAnsi="arial" w:cs="arial"/>
          <w:i/>
          <w:color w:val="000000"/>
          <w:sz w:val="20"/>
          <w:lang w:val="en-US" w:eastAsia="en-US" w:bidi="ar-SA"/>
        </w:rPr>
        <w:t>Dhaliwal v. Nuff</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2013 BCSC 1637</w:t>
        </w:r>
      </w:hyperlink>
      <w:r>
        <w:rPr>
          <w:rFonts w:ascii="arial" w:eastAsia="arial" w:hAnsi="arial" w:cs="arial"/>
          <w:color w:val="000000"/>
          <w:sz w:val="20"/>
          <w:lang w:val="en-US" w:eastAsia="en-US" w:bidi="ar-SA"/>
        </w:rPr>
        <w:t>. There, Weatherill J. agreed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[30] ... the court should take into account the position the defendant would have been in had the plaintiff commenced the action shortly before [the limitation period] expired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say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Court applied </w:t>
      </w:r>
      <w:r>
        <w:rPr>
          <w:rFonts w:ascii="arial" w:eastAsia="arial" w:hAnsi="arial" w:cs="arial"/>
          <w:i/>
          <w:color w:val="000000"/>
          <w:sz w:val="20"/>
          <w:lang w:val="en-US" w:eastAsia="en-US" w:bidi="ar-SA"/>
        </w:rPr>
        <w:t>Dhaliwal</w:t>
      </w:r>
      <w:r>
        <w:rPr>
          <w:rFonts w:ascii="arial" w:eastAsia="arial" w:hAnsi="arial" w:cs="arial"/>
          <w:color w:val="000000"/>
          <w:sz w:val="20"/>
          <w:lang w:val="en-US" w:eastAsia="en-US" w:bidi="ar-SA"/>
        </w:rPr>
        <w:t>, hypothetically Mr. McLean could have waited until shortly before the limitation period expired to file the notice of civil claim. Even using the limitation date asserted by Citizens Bank, the limitation period would have expired in or about March 2015. Accordingly, the Notice of Civil Claim would have expired in or around March 2016. Citizens Bank would have had knowledge of the Notice of Civil Claim before it expired.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say that there is no evidence of actual prejudice to Citizens Bank. They acknowledge there is a rebuttable presumption of fact that prejudice exists but say that in these circumstances there is another similar action proceeding where Citizens Bank was properly served.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Citizens Bank says renewal may deprive it of potential limitation defences. It also says the plaintiffs have not presented evidence to rebut the presumption of prejudice that applies in such applications.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make no suggestion that the failure to serve was in any way attributable to Citizens Bank.</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say the failure to serve is attributable to their counsel and not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Citizens Bank says the evidence relied upon by the plaintiffs does not clearly establish that assertion. It says that Mr. Davison assumed the file before the notice of civil claim had expired but apparently relied on information from the plaintiffs in deciding not to investigate whether service had been effected.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go on to say "Citizens Bank has not met the onus on it to prove unequivocally that the action is hopeless, even if the court is restricted to considering the original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They argue that neither issue estoppel or cause of action estoppel apply as they are not challenging the validity of the mortgage; that the issues and cause of action to be tried in these proceedings are distinct from those determined in the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its written submissions, Citizens Bank summarized its view of the pleadings as follows:</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 against Citizens Bank are not clearly pleaded in the original or amended Notice of Civil Claim. They refer, vaguely, to "real property, financing and mortgage documents" and to "an illegal financing document" and to "Citizens Bank Commercial Mortgage Document for The Brook dated in 2007." If negligent misrepresentation is here pleaded, there are no particulars as are required by Rule 3-7(18).</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the plaintiffs appear to be alleging, essentially, that Citizens Bank owed them a duty of care to investigate the Project developers' history with securities regulators and to advise the plaintiffs not to invest in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Citizens Bank says that the claims are doomed to fail, relying on the decision of </w:t>
      </w:r>
      <w:r>
        <w:rPr>
          <w:rFonts w:ascii="arial" w:eastAsia="arial" w:hAnsi="arial" w:cs="arial"/>
          <w:i/>
          <w:color w:val="000000"/>
          <w:sz w:val="20"/>
          <w:lang w:val="en-US" w:eastAsia="en-US" w:bidi="ar-SA"/>
        </w:rPr>
        <w:t>CareVest Capital Inc. v. Chychrun</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2008 BCSC 201</w:t>
        </w:r>
      </w:hyperlink>
      <w:r>
        <w:rPr>
          <w:rFonts w:ascii="arial" w:eastAsia="arial" w:hAnsi="arial" w:cs="arial"/>
          <w:color w:val="000000"/>
          <w:sz w:val="20"/>
          <w:lang w:val="en-US" w:eastAsia="en-US" w:bidi="ar-SA"/>
        </w:rPr>
        <w:t>, for the principle that there is no duty of care owed by a mortgagee who has lent money to a developer to those who enter into purchase contracts with the developer.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addition, Citizens Bank says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applicants' claims could have been raised as defences in the foreclosure proceedings and are therefore barred by cause of action estoppel and issue estoppel, are a collateral attack on a final judgment of this Court and are an abuse of process. The validity of the mortgage was finally determined in the foreclosure proceedings and cannot now be challenged by way of an action against Citizens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agree with the parties that my decision must be based on the original notice of civil claim. Rule 3-2(1) pursuant to which this application is brought, specifically refers to the original notice of civil claim. Amendments of pleadings are dealt with in Rule 6-1. A party can file a new claim and be subject to whatever limitation or other defences the defendant may have. It cannot amend a claim that has expired unless and until that claim has been renewed as against a party that has never been served with the claim. These rules, when applied, allow a party to alter its claim but rely on the initial filing date as the date of the commencement of the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Five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turn next to the considerations of the factors relevant to an application to renew.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application does not necessarily fail if the plaintiffs fail to prove or disprove any individual factor. Rather, the factors are considerations in the overall assessment of whether renewal is in the interests of justice, provided the defendant does not prove the claims to be "hopeless".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the application to renew made promptly?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this regard, the parties agree that the relevant time to be considered is the time elapsed from the date the plaintiffs or their counsel became aware the claim was not served (</w:t>
      </w:r>
      <w:r>
        <w:rPr>
          <w:rFonts w:ascii="arial" w:eastAsia="arial" w:hAnsi="arial" w:cs="arial"/>
          <w:i/>
          <w:color w:val="000000"/>
          <w:sz w:val="20"/>
          <w:lang w:val="en-US" w:eastAsia="en-US" w:bidi="ar-SA"/>
        </w:rPr>
        <w:t>Dhaliwal</w:t>
      </w:r>
      <w:r>
        <w:rPr>
          <w:rFonts w:ascii="arial" w:eastAsia="arial" w:hAnsi="arial" w:cs="arial"/>
          <w:color w:val="000000"/>
          <w:sz w:val="20"/>
          <w:lang w:val="en-US" w:eastAsia="en-US" w:bidi="ar-SA"/>
        </w:rPr>
        <w:t xml:space="preserve"> at para. 22; </w:t>
      </w:r>
      <w:r>
        <w:rPr>
          <w:rFonts w:ascii="arial" w:eastAsia="arial" w:hAnsi="arial" w:cs="arial"/>
          <w:i/>
          <w:color w:val="000000"/>
          <w:sz w:val="20"/>
          <w:lang w:val="en-US" w:eastAsia="en-US" w:bidi="ar-SA"/>
        </w:rPr>
        <w:t>Imperial Oil Limited v. Michelin North America (Canada) Inc.</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2008 BCCA 216</w:t>
        </w:r>
      </w:hyperlink>
      <w:r>
        <w:rPr>
          <w:rFonts w:ascii="arial" w:eastAsia="arial" w:hAnsi="arial" w:cs="arial"/>
          <w:color w:val="000000"/>
          <w:sz w:val="20"/>
          <w:lang w:val="en-US" w:eastAsia="en-US" w:bidi="ar-SA"/>
        </w:rPr>
        <w:t>,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evidence reveals that assumptions were made by either or both of the plaintiffs or their counsel regarding service on Citizens Bank. There are, however, gaps in the evidence that make drawing conclusions about who made those assumptions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is no evidence regarding any steps taken by the plaintiffs' first counsel, Mr. McLean. The plaintiffs say that there had been an inability to contact Mr. McLean or acquire his files. There was however a significant passage of time after Mr. McLean's involvement ended before the time limit expired. The inability to confirm service prior to the expiration of the time to serve ought to have prompted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Davison assumed the conduct of the matter on January 26, 2015, approximately five months prior to the expiration of the notice of civil claim. There is no affidavit evidence from Mr. Davison; however, correspondence from him to Mr. Barker dated May 31, 2016, is attached to an affidavit of Tess Lawson for the plaintiffs. She says that the contents of the letter are true. In that letter Mr. Davison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When we took over the file it was our understanding that all of the Defendants in the Lawson Claim had been served with the Notice of Civil Claim in the Lawson Claim. This was our client's understanding we had no reason to question it as Responses to Civil Claim had been filed by Campbell Froh May and Rice LLP, Mark Standerwick, Katherine Ducey, and a Response was filed by Mr. Wiegel shortly after we became counsel of record without us serving him ourselves.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Lawson's affidavit provides only this on the subject:</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verily believe that Mr. McLean had caused the Notice of Civil Claim to be served on the defendants, including Citizens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does not provide evidence of a foundation for that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result there is no evidence to support a belief by the plaintiffs that service had been effected, and the only evidence from any counsel for the plaintiffs is the unsworn statement that counsel was told by the plaintiffs that Citizens Bank had been served, an assertion a representative of the plaintiffs swears is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clear that Mr. Davison had proceeded on the belief that Citizens Bank had been served, but it is also clear that by November 2, 2015, when he received communication from counsel for Citizens Bank, there was cause to question the basis of that belief. At that point, five months had passed since the notice of civil claim had expired. Mr. Barker assumed conduct in January 2016, approximately two months later, and it was another five months before this application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also argued that the nature of the claims is complex and that the original notice of civil claim was clearly flawed and required amendment. Given the comments above regarding the renewal being of the original notice of civil claim, the delay in filing the application until May cannot, in my view, be justified on this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Counsel for the plaintiffs referred to authorities where much longer delays were involved. Each case is, however, unique and there are no hard and fast timelines to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circumstances of this case, the timing of the application is a factor that weighs against the plaintiffs. It ought to have been brought sooner. At the same time, in absolute terms, the length of the time passed is modest.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the defendant have notice of the claim before the notice of civil claim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no evidence that Citizens Bank was aware of the proceeding prior to the expiration of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plaintiffs, however, argue that I should take into account the reasoning applied by Weatherill J. in </w:t>
      </w:r>
      <w:r>
        <w:rPr>
          <w:rFonts w:ascii="arial" w:eastAsia="arial" w:hAnsi="arial" w:cs="arial"/>
          <w:i/>
          <w:color w:val="000000"/>
          <w:sz w:val="20"/>
          <w:lang w:val="en-US" w:eastAsia="en-US" w:bidi="ar-SA"/>
        </w:rPr>
        <w:t>Dhaliwal</w:t>
      </w:r>
      <w:r>
        <w:rPr>
          <w:rFonts w:ascii="arial" w:eastAsia="arial" w:hAnsi="arial" w:cs="arial"/>
          <w:color w:val="000000"/>
          <w:sz w:val="20"/>
          <w:lang w:val="en-US" w:eastAsia="en-US" w:bidi="ar-SA"/>
        </w:rPr>
        <w:t>. There, Weatherill J. agreed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 the court should take into account the position the defendant would have been in had the plaintiff commenced the action shortly before [the limitation period] expired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Utilizing the limitation period argued by the Citizens Bank, which would result in a limitation period ending approximately March 2015, a notice of civil claim could have been served as late as approximately March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It is my observation that the comments in </w:t>
      </w:r>
      <w:r>
        <w:rPr>
          <w:rFonts w:ascii="arial" w:eastAsia="arial" w:hAnsi="arial" w:cs="arial"/>
          <w:i/>
          <w:color w:val="000000"/>
          <w:sz w:val="20"/>
          <w:lang w:val="en-US" w:eastAsia="en-US" w:bidi="ar-SA"/>
        </w:rPr>
        <w:t>Dhaliwal</w:t>
      </w:r>
      <w:r>
        <w:rPr>
          <w:rFonts w:ascii="arial" w:eastAsia="arial" w:hAnsi="arial" w:cs="arial"/>
          <w:color w:val="000000"/>
          <w:sz w:val="20"/>
          <w:lang w:val="en-US" w:eastAsia="en-US" w:bidi="ar-SA"/>
        </w:rPr>
        <w:t xml:space="preserve"> have more relevance to the next factor, prejudice to the defendant. The relevance of notice of the claim as a factor is presumably that it allows the party to be served to prepare or preserve evidence in anticipation of service. However, with knowledge of the claim comes the expectation that the claim will be served within the appropriate time limit. If the claim is not served, the party anticipating service can presume the case against them is not proceeding, barring an application such as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Will the defendant be prejudiced?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its submissions on this point, the plaintiffs agreed that any particular limitation defence is difficult to assess given the nature of the claims and the information available to the court. As a result, the plaintiffs are unable to say that a renewal would not prejudice any limitation defence available to Citizens Bank. Both parties agree, however, that if the application is to be allowed it is within the discretion of the court to do so without prejudice to any limitation defences that might be available to the Citizens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Independent of those potential defences, Citizens Bank did not assert any specific prejudice that might arise from the granting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Counsel for Citizens Bank referred to authorities commenting on a presumption of prejudice from the passage of time. Such a presumption must be considered in the context of the nature of a renewal application, which inherently involves the passage of time. I do not find this to be a factor weighing in favour of rejecting the application in light of my comments regarding any prospective limitation defence.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failure to effect service attributable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no evidence to suggest the failure to effect service was attributable to Citizens Bank.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Were the plaintiffs as opposed to plaintiffs' solicitor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evidence relevant to this factor is linked in some respects to the evidence regarding whether the application was brought promptly. That evidence and my comments on it are set out in paragraphs 22 - 37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Davison had conduct of the matter approximately five months before the notice of civil claim expired until approximately six months after it expired, during which he appears to have relied on indications from the plaintiffs that Citizens Bank had been 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evidence on this issue is sparse to say the least. Certainly there is no evidence from Mr. Davison taking responsibility for an erroneous assumption and no specific foundation for Ms. Lawson's assertion in her affidavit that she believed Mr. McLean had caused the notice of civil claim to be served on the Citizens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This is the plaintiffs' application and it is for the plaintiffs to put forward evidence in support of the relevant considerations. It is my conclusion that they have not clearly established the fault to be that of Mr. Davison. His inaction was based on information from the plaintiffs. Clearly under Mr. McLean service had not taken place but the evidence does not allow me to say more. In particular, I have no evidence of what he may have done, if anything, to support Ms. Lawson's statement. Importantly, the file passed to Mr. Davison before the notice of civil claim had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If counsel is at fault that favours renewal. I cannot find that to be the case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Merits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As noted above, the Court of Appeal in </w:t>
      </w:r>
      <w:r>
        <w:rPr>
          <w:rFonts w:ascii="arial" w:eastAsia="arial" w:hAnsi="arial" w:cs="arial"/>
          <w:i/>
          <w:color w:val="000000"/>
          <w:sz w:val="20"/>
          <w:lang w:val="en-US" w:eastAsia="en-US" w:bidi="ar-SA"/>
        </w:rPr>
        <w:t>Seeliger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Weldon</w:t>
      </w:r>
      <w:r>
        <w:rPr>
          <w:rFonts w:ascii="arial" w:eastAsia="arial" w:hAnsi="arial" w:cs="arial"/>
          <w:color w:val="000000"/>
          <w:sz w:val="20"/>
          <w:lang w:val="en-US" w:eastAsia="en-US" w:bidi="ar-SA"/>
        </w:rPr>
        <w:t xml:space="preserve"> placed a significant burden of proof on a defendant to show unequivocally that the action is hopeless. In </w:t>
      </w:r>
      <w:r>
        <w:rPr>
          <w:rFonts w:ascii="arial" w:eastAsia="arial" w:hAnsi="arial" w:cs="arial"/>
          <w:i/>
          <w:color w:val="000000"/>
          <w:sz w:val="20"/>
          <w:lang w:val="en-US" w:eastAsia="en-US" w:bidi="ar-SA"/>
        </w:rPr>
        <w:t>Seeliger</w:t>
      </w:r>
      <w:r>
        <w:rPr>
          <w:rFonts w:ascii="arial" w:eastAsia="arial" w:hAnsi="arial" w:cs="arial"/>
          <w:color w:val="000000"/>
          <w:sz w:val="20"/>
          <w:lang w:val="en-US" w:eastAsia="en-US" w:bidi="ar-SA"/>
        </w:rPr>
        <w:t xml:space="preserve">, the example of a hopeless claim is one where there is a conclusive limitation defence. In </w:t>
      </w:r>
      <w:r>
        <w:rPr>
          <w:rFonts w:ascii="arial" w:eastAsia="arial" w:hAnsi="arial" w:cs="arial"/>
          <w:i/>
          <w:color w:val="000000"/>
          <w:sz w:val="20"/>
          <w:lang w:val="en-US" w:eastAsia="en-US" w:bidi="ar-SA"/>
        </w:rPr>
        <w:t>Weldon</w:t>
      </w:r>
      <w:r>
        <w:rPr>
          <w:rFonts w:ascii="arial" w:eastAsia="arial" w:hAnsi="arial" w:cs="arial"/>
          <w:color w:val="000000"/>
          <w:sz w:val="20"/>
          <w:lang w:val="en-US" w:eastAsia="en-US" w:bidi="ar-SA"/>
        </w:rPr>
        <w:t>, Madam Justice Newbury noted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 The real lesson of </w:t>
      </w:r>
      <w:r>
        <w:rPr>
          <w:rFonts w:ascii="arial" w:eastAsia="arial" w:hAnsi="arial" w:cs="arial"/>
          <w:i/>
          <w:color w:val="000000"/>
          <w:sz w:val="20"/>
          <w:lang w:val="en-US" w:eastAsia="en-US" w:bidi="ar-SA"/>
        </w:rPr>
        <w:t>Seeliger</w:t>
      </w:r>
      <w:r>
        <w:rPr>
          <w:rFonts w:ascii="arial" w:eastAsia="arial" w:hAnsi="arial" w:cs="arial"/>
          <w:color w:val="000000"/>
          <w:sz w:val="20"/>
          <w:lang w:val="en-US" w:eastAsia="en-US" w:bidi="ar-SA"/>
        </w:rPr>
        <w:t>, however, is that the broader "interests of justice" must be the court's focus in an application under R. 3-2(1) and that delving into the merits is in most instances neither likely to be fair nor to advance the efficient determination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this regard, counsel for Citizens Bank relies heavily on the decision of </w:t>
      </w:r>
      <w:r>
        <w:rPr>
          <w:rFonts w:ascii="arial" w:eastAsia="arial" w:hAnsi="arial" w:cs="arial"/>
          <w:i/>
          <w:color w:val="000000"/>
          <w:sz w:val="20"/>
          <w:lang w:val="en-US" w:eastAsia="en-US" w:bidi="ar-SA"/>
        </w:rPr>
        <w:t>CareVest</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CareVest</w:t>
      </w:r>
      <w:r>
        <w:rPr>
          <w:rFonts w:ascii="arial" w:eastAsia="arial" w:hAnsi="arial" w:cs="arial"/>
          <w:color w:val="000000"/>
          <w:sz w:val="20"/>
          <w:lang w:val="en-US" w:eastAsia="en-US" w:bidi="ar-SA"/>
        </w:rPr>
        <w:t xml:space="preserve"> held that a lender / mortgagee owes no duty of care to third-party investors with interests in the loan / mortgage property. While the structure of the relationship between the plaintiffs and Citizens Bank in the instant case is akin to the relationship at issue in </w:t>
      </w:r>
      <w:r>
        <w:rPr>
          <w:rFonts w:ascii="arial" w:eastAsia="arial" w:hAnsi="arial" w:cs="arial"/>
          <w:i/>
          <w:color w:val="000000"/>
          <w:sz w:val="20"/>
          <w:lang w:val="en-US" w:eastAsia="en-US" w:bidi="ar-SA"/>
        </w:rPr>
        <w:t>CareVest</w:t>
      </w:r>
      <w:r>
        <w:rPr>
          <w:rFonts w:ascii="arial" w:eastAsia="arial" w:hAnsi="arial" w:cs="arial"/>
          <w:color w:val="000000"/>
          <w:sz w:val="20"/>
          <w:lang w:val="en-US" w:eastAsia="en-US" w:bidi="ar-SA"/>
        </w:rPr>
        <w:t xml:space="preserve">, the facts as pleaded by the plaintiffs in the instant case indicate a relationship with more complexity and a wider scope than the relationship in </w:t>
      </w:r>
      <w:r>
        <w:rPr>
          <w:rFonts w:ascii="arial" w:eastAsia="arial" w:hAnsi="arial" w:cs="arial"/>
          <w:i/>
          <w:color w:val="000000"/>
          <w:sz w:val="20"/>
          <w:lang w:val="en-US" w:eastAsia="en-US" w:bidi="ar-SA"/>
        </w:rPr>
        <w:t>CareVest</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CareVest</w:t>
      </w:r>
      <w:r>
        <w:rPr>
          <w:rFonts w:ascii="arial" w:eastAsia="arial" w:hAnsi="arial" w:cs="arial"/>
          <w:color w:val="000000"/>
          <w:sz w:val="20"/>
          <w:lang w:val="en-US" w:eastAsia="en-US" w:bidi="ar-SA"/>
        </w:rPr>
        <w:t xml:space="preserve"> was only called upon to consider whether the lender ought to keep the interest of third-party investors in mind when making pricing stipulations directly to the borrower requiring the borrower not to sell property securing the loan at less than a minimum price. In this case, the plaintiffs appeared to plead that the defendant lender facilitated the fraudulent action taken against them as investors by the borrowers or even assisted the perpetration of the borrowers' fraud. The ruling in </w:t>
      </w:r>
      <w:r>
        <w:rPr>
          <w:rFonts w:ascii="arial" w:eastAsia="arial" w:hAnsi="arial" w:cs="arial"/>
          <w:i/>
          <w:color w:val="000000"/>
          <w:sz w:val="20"/>
          <w:lang w:val="en-US" w:eastAsia="en-US" w:bidi="ar-SA"/>
        </w:rPr>
        <w:t>CareVest</w:t>
      </w:r>
      <w:r>
        <w:rPr>
          <w:rFonts w:ascii="arial" w:eastAsia="arial" w:hAnsi="arial" w:cs="arial"/>
          <w:color w:val="000000"/>
          <w:sz w:val="20"/>
          <w:lang w:val="en-US" w:eastAsia="en-US" w:bidi="ar-SA"/>
        </w:rPr>
        <w:t xml:space="preserve"> therefore does not dispose of the plaintiffs'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Further, there are other claims advanced, including civil conspiracy, deceit and / or knowing assistance and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indicated, the original notice of civil claim and, arguably, the amended notice of civil claim suffer from a lack of particulars in the allegations of fact, making the assessment of the claims difficult. Nothing in this decision should be taken as any encouragement for pleadings to be vague. The drafter of the notice of civil claim must satisfy the requirements of the Rules. I will go no further than saying that the notice of civil claim under consideration here does not fall below the minimal threshold established by the authorities and I am unable to say that it is unequivocally hopeless.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Citizens Bank did not develop the estoppel arguments in any detail in its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claims set out in the notice of civil claim were not raised in the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plaintiffs refer to </w:t>
      </w:r>
      <w:r>
        <w:rPr>
          <w:rFonts w:ascii="arial" w:eastAsia="arial" w:hAnsi="arial" w:cs="arial"/>
          <w:i/>
          <w:color w:val="000000"/>
          <w:sz w:val="20"/>
          <w:lang w:val="en-US" w:eastAsia="en-US" w:bidi="ar-SA"/>
        </w:rPr>
        <w:t>Erschbamer v. Wallster</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2013 BCCA 76</w:t>
        </w:r>
      </w:hyperlink>
      <w:r>
        <w:rPr>
          <w:rFonts w:ascii="arial" w:eastAsia="arial" w:hAnsi="arial" w:cs="arial"/>
          <w:color w:val="000000"/>
          <w:sz w:val="20"/>
          <w:lang w:val="en-US" w:eastAsia="en-US" w:bidi="ar-SA"/>
        </w:rPr>
        <w:t>. The court concisely summarizes the law at paras. 12 to 17. I include a portion of that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Madam Justice Newbury set out the requirements of cause of action estoppel at para. 28 (from </w:t>
      </w:r>
      <w:r>
        <w:rPr>
          <w:rFonts w:ascii="arial" w:eastAsia="arial" w:hAnsi="arial" w:cs="arial"/>
          <w:i/>
          <w:color w:val="000000"/>
          <w:sz w:val="20"/>
          <w:lang w:val="en-US" w:eastAsia="en-US" w:bidi="ar-SA"/>
        </w:rPr>
        <w:t>Grandview v. Doering</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[1976] 2 S.C.R. 621</w:t>
        </w:r>
      </w:hyperlink>
      <w:r>
        <w:rPr>
          <w:rFonts w:ascii="arial" w:eastAsia="arial" w:hAnsi="arial" w:cs="arial"/>
          <w:color w:val="000000"/>
          <w:sz w:val="20"/>
          <w:lang w:val="en-US" w:eastAsia="en-US" w:bidi="ar-SA"/>
        </w:rPr>
        <w:t xml:space="preserve">, as summarized in </w:t>
      </w:r>
      <w:r>
        <w:rPr>
          <w:rFonts w:ascii="arial" w:eastAsia="arial" w:hAnsi="arial" w:cs="arial"/>
          <w:i/>
          <w:color w:val="000000"/>
          <w:sz w:val="20"/>
          <w:lang w:val="en-US" w:eastAsia="en-US" w:bidi="ar-SA"/>
        </w:rPr>
        <w:t>Bjarnarson v. Manitoba</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(1987), 38 D.L.R. (4th) 32</w:t>
        </w:r>
      </w:hyperlink>
      <w:r>
        <w:rPr>
          <w:rFonts w:ascii="arial" w:eastAsia="arial" w:hAnsi="arial" w:cs="arial"/>
          <w:color w:val="000000"/>
          <w:sz w:val="20"/>
          <w:lang w:val="en-US" w:eastAsia="en-US" w:bidi="ar-SA"/>
        </w:rPr>
        <w:t xml:space="preserve"> (Man. Q.B.) at 34, aff'd </w:t>
      </w:r>
      <w:hyperlink r:id="rId113" w:history="1">
        <w:r>
          <w:rPr>
            <w:rFonts w:ascii="arial" w:eastAsia="arial" w:hAnsi="arial" w:cs="arial"/>
            <w:i/>
            <w:color w:val="0077CC"/>
            <w:sz w:val="20"/>
            <w:u w:val="single"/>
            <w:shd w:val="clear" w:color="auto" w:fill="FFFFFF"/>
            <w:lang w:val="en-US" w:eastAsia="en-US" w:bidi="ar-SA"/>
          </w:rPr>
          <w:t>(1987), 45 D.L.R. (4th) 766</w:t>
        </w:r>
      </w:hyperlink>
      <w:r>
        <w:rPr>
          <w:rFonts w:ascii="arial" w:eastAsia="arial" w:hAnsi="arial" w:cs="arial"/>
          <w:color w:val="000000"/>
          <w:sz w:val="20"/>
          <w:lang w:val="en-US" w:eastAsia="en-US" w:bidi="ar-SA"/>
        </w:rPr>
        <w:t xml:space="preserve"> (Man. C.A.)):</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final decision of a court of competent jurisdiction in the prior action [the requirement of "finality"];</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to the subsequent litigation must have been parties to or in privy with the parties to the prior action [the requirement of "mutuality"];</w:t>
      </w:r>
    </w:p>
    <w:p>
      <w:pPr>
        <w:numPr>
          <w:numId w:val="2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in the prior action must not be separate and distinct; and</w:t>
      </w:r>
    </w:p>
    <w:p>
      <w:pPr>
        <w:numPr>
          <w:numId w:val="2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basis of the cause of action and the subsequent action was argued or could have been argued in the prior action if the parties had exercised reasonable diligence.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Although it is referred to as cause of action estoppel, the principle applies to defences as well as claims. This is explained in Donald J. Lange,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3d ed. (Markham, Ontario: LexisNexis, 2010) at 137-38: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plaintiff may not split a cause of action or pursue litigation by instalments, the defendant may not split the defence by turning around and, as the plaintiff in a subsequent action, sue on an issue which, if successful, would challenge the integrity of the previous judgment. This is what was attempted in </w:t>
      </w:r>
      <w:r>
        <w:rPr>
          <w:rFonts w:ascii="arial" w:eastAsia="arial" w:hAnsi="arial" w:cs="arial"/>
          <w:i/>
          <w:color w:val="000000"/>
          <w:sz w:val="20"/>
          <w:lang w:val="en-US" w:eastAsia="en-US" w:bidi="ar-SA"/>
        </w:rPr>
        <w:t>Henderson</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other words, a cause of action in a second action which could have been a defence in the first action, but was not raised, is barred ... The cloak of cause of action estoppel is woven the same for both the plaintiff and the defendant in subsequent proceedings.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Hence, cause of action estoppel can apply in situations where the estopped litigant is the defendant in the first proceeding and the plaintiff in the second proceeding. Lange does not cite any authorities involving the converse situation that exists here, where the estopped litigant is the plaintiff (or petitioner) in the first proceeding and the defendant in the second proceeding. Nevertheless, it seems to me, as a matter of principle, that the converse must be true. A defendant should not be permitted to raise, as a defence, an issue which could have and should have been raised in a previous proceeding between the same parties. I do not accept the defendant's argument that cause of action estoppel is inapplicable simply because the party seeking relief in each of the two proceedings is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my view, issue estoppel does not apply here. The issues here were not decided in the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addressing whether cause of action estoppel applies, I note the comments of Ehrcke J. in </w:t>
      </w:r>
      <w:r>
        <w:rPr>
          <w:rFonts w:ascii="arial" w:eastAsia="arial" w:hAnsi="arial" w:cs="arial"/>
          <w:i/>
          <w:color w:val="000000"/>
          <w:sz w:val="20"/>
          <w:lang w:val="en-US" w:eastAsia="en-US" w:bidi="ar-SA"/>
        </w:rPr>
        <w:t>Forrest v. Vriend</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2015 BCSC 1878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It is salutary to keep in mind Mr. Justice Cromwell's caution against an overly broad application of cause of action estoppel. In </w:t>
      </w:r>
      <w:r>
        <w:rPr>
          <w:rFonts w:ascii="arial" w:eastAsia="arial" w:hAnsi="arial" w:cs="arial"/>
          <w:i/>
          <w:color w:val="000000"/>
          <w:sz w:val="20"/>
          <w:lang w:val="en-US" w:eastAsia="en-US" w:bidi="ar-SA"/>
        </w:rPr>
        <w:t>Hoque</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[1997] N.S.J. No. 430</w:t>
        </w:r>
      </w:hyperlink>
      <w:r>
        <w:rPr>
          <w:rFonts w:ascii="arial" w:eastAsia="arial" w:hAnsi="arial" w:cs="arial"/>
          <w:color w:val="000000"/>
          <w:sz w:val="20"/>
          <w:lang w:val="en-US" w:eastAsia="en-US" w:bidi="ar-SA"/>
        </w:rPr>
        <w:t xml:space="preserve"> at paras. 25, 30, and 37, he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25 The appellants submit, relying on these and similar statements, that cause of action estoppel is broad in scope and inflexible in application. With respect, I think this overstates the true position. In my view, this very broad language which suggests an inflexible application of cause of action estoppel to all matters that "could" have been raised does not fully reflect the present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submission that all claims that </w:t>
      </w:r>
      <w:r>
        <w:rPr>
          <w:rFonts w:ascii="arial" w:eastAsia="arial" w:hAnsi="arial" w:cs="arial"/>
          <w:color w:val="000000"/>
          <w:sz w:val="20"/>
          <w:u w:val="single"/>
          <w:lang w:val="en-US" w:eastAsia="en-US" w:bidi="ar-SA"/>
        </w:rPr>
        <w:t>could</w:t>
      </w:r>
      <w:r>
        <w:rPr>
          <w:rFonts w:ascii="arial" w:eastAsia="arial" w:hAnsi="arial" w:cs="arial"/>
          <w:color w:val="000000"/>
          <w:sz w:val="20"/>
          <w:lang w:val="en-US" w:eastAsia="en-US" w:bidi="ar-SA"/>
        </w:rPr>
        <w:t xml:space="preserve"> have been dealt with in the main action are barred is not borne out by the Canadian cases. With respect to matters not actually raised and decided, the test appears to me to be that the party </w:t>
      </w:r>
      <w:r>
        <w:rPr>
          <w:rFonts w:ascii="arial" w:eastAsia="arial" w:hAnsi="arial" w:cs="arial"/>
          <w:color w:val="000000"/>
          <w:sz w:val="20"/>
          <w:u w:val="single"/>
          <w:lang w:val="en-US" w:eastAsia="en-US" w:bidi="ar-SA"/>
        </w:rPr>
        <w:t>should</w:t>
      </w:r>
      <w:r>
        <w:rPr>
          <w:rFonts w:ascii="arial" w:eastAsia="arial" w:hAnsi="arial" w:cs="arial"/>
          <w:color w:val="000000"/>
          <w:sz w:val="20"/>
          <w:lang w:val="en-US" w:eastAsia="en-US" w:bidi="ar-SA"/>
        </w:rPr>
        <w:t xml:space="preserve"> have raised the matter and, in deciding whether the party </w:t>
      </w:r>
      <w:r>
        <w:rPr>
          <w:rFonts w:ascii="arial" w:eastAsia="arial" w:hAnsi="arial" w:cs="arial"/>
          <w:color w:val="000000"/>
          <w:sz w:val="20"/>
          <w:u w:val="single"/>
          <w:lang w:val="en-US" w:eastAsia="en-US" w:bidi="ar-SA"/>
        </w:rPr>
        <w:t>should</w:t>
      </w:r>
      <w:r>
        <w:rPr>
          <w:rFonts w:ascii="arial" w:eastAsia="arial" w:hAnsi="arial" w:cs="arial"/>
          <w:color w:val="000000"/>
          <w:sz w:val="20"/>
          <w:lang w:val="en-US" w:eastAsia="en-US" w:bidi="ar-SA"/>
        </w:rPr>
        <w:t xml:space="preserve"> have done so, a number of factors are considered.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Although many of these authorities cite with approval the broad language of </w:t>
      </w:r>
      <w:r>
        <w:rPr>
          <w:rFonts w:ascii="arial" w:eastAsia="arial" w:hAnsi="arial" w:cs="arial"/>
          <w:i/>
          <w:color w:val="000000"/>
          <w:sz w:val="20"/>
          <w:lang w:val="en-US" w:eastAsia="en-US" w:bidi="ar-SA"/>
        </w:rPr>
        <w:t>Henderson v. Henderson, supra</w:t>
      </w:r>
      <w:r>
        <w:rPr>
          <w:rFonts w:ascii="arial" w:eastAsia="arial" w:hAnsi="arial" w:cs="arial"/>
          <w:color w:val="000000"/>
          <w:sz w:val="20"/>
          <w:lang w:val="en-US" w:eastAsia="en-US" w:bidi="ar-SA"/>
        </w:rPr>
        <w:t xml:space="preserve">, to the effect that any matter which the parties had the opportunity to raise will be barred, I think, however, that this language is somewhat too wide. The better principle is that those issues which the parties had the opportunity to raise and, in all the circumstances, </w:t>
      </w:r>
      <w:r>
        <w:rPr>
          <w:rFonts w:ascii="arial" w:eastAsia="arial" w:hAnsi="arial" w:cs="arial"/>
          <w:color w:val="000000"/>
          <w:sz w:val="20"/>
          <w:u w:val="single"/>
          <w:lang w:val="en-US" w:eastAsia="en-US" w:bidi="ar-SA"/>
        </w:rPr>
        <w:t>should</w:t>
      </w:r>
      <w:r>
        <w:rPr>
          <w:rFonts w:ascii="arial" w:eastAsia="arial" w:hAnsi="arial" w:cs="arial"/>
          <w:color w:val="000000"/>
          <w:sz w:val="20"/>
          <w:lang w:val="en-US" w:eastAsia="en-US" w:bidi="ar-SA"/>
        </w:rPr>
        <w:t xml:space="preserve"> have raised, will be barred. In determining whether the matter should have been raised, a court will consider whether the proceeding constitutes a collateral attack on the earlier findings, whether it simply asserts a new legal conception of facts previously litigated, whether it relies on "new" evidence that could have been discovered in the earlier proceeding with reasonable diligence, whether the two proceedings relate to separate and distinct causes of action and whether, in all the circumstances, the second proceeding constitutes an abuse of process.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[Underline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 </w:t>
      </w:r>
      <w:r>
        <w:rPr>
          <w:rFonts w:ascii="arial" w:eastAsia="arial" w:hAnsi="arial" w:cs="arial"/>
          <w:i/>
          <w:color w:val="000000"/>
          <w:sz w:val="20"/>
          <w:lang w:val="en-US" w:eastAsia="en-US" w:bidi="ar-SA"/>
        </w:rPr>
        <w:t>order nisi</w:t>
      </w:r>
      <w:r>
        <w:rPr>
          <w:rFonts w:ascii="arial" w:eastAsia="arial" w:hAnsi="arial" w:cs="arial"/>
          <w:color w:val="000000"/>
          <w:sz w:val="20"/>
          <w:lang w:val="en-US" w:eastAsia="en-US" w:bidi="ar-SA"/>
        </w:rPr>
        <w:t xml:space="preserve"> obtained by TD against Mr. Forrest was an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remedy granted by a Master of this Court. The Civil Claim, as amended, seeks damages in tort. The Master would not have had jurisdiction to entertain a tort issue, had the plaintiff attempted to raise it in the Foreclosure Proceeding: </w:t>
      </w:r>
      <w:r>
        <w:rPr>
          <w:rFonts w:ascii="arial" w:eastAsia="arial" w:hAnsi="arial" w:cs="arial"/>
          <w:i/>
          <w:color w:val="000000"/>
          <w:sz w:val="20"/>
          <w:lang w:val="en-US" w:eastAsia="en-US" w:bidi="ar-SA"/>
        </w:rPr>
        <w:t>Mulligan v. Stephenson</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2013 BCSC 1384</w:t>
        </w:r>
      </w:hyperlink>
      <w:r>
        <w:rPr>
          <w:rFonts w:ascii="arial" w:eastAsia="arial" w:hAnsi="arial" w:cs="arial"/>
          <w:color w:val="000000"/>
          <w:sz w:val="20"/>
          <w:lang w:val="en-US" w:eastAsia="en-US" w:bidi="ar-SA"/>
        </w:rPr>
        <w:t xml:space="preserve"> at para. 35. As well, Vriend is one of the defendants in the Civil Claim, although he was not a party in the Foreclosure Proceeding. I do not accept the argument of TD and Vriend that Vriend was a "privy" to the Foreclosure Proceeding: </w:t>
      </w:r>
      <w:r>
        <w:rPr>
          <w:rFonts w:ascii="arial" w:eastAsia="arial" w:hAnsi="arial" w:cs="arial"/>
          <w:i/>
          <w:color w:val="000000"/>
          <w:sz w:val="20"/>
          <w:lang w:val="en-US" w:eastAsia="en-US" w:bidi="ar-SA"/>
        </w:rPr>
        <w:t>XY, LLC v. Canadian Topsires Selection Inc.,</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2014 BCSC 2017</w:t>
        </w:r>
      </w:hyperlink>
      <w:r>
        <w:rPr>
          <w:rFonts w:ascii="arial" w:eastAsia="arial" w:hAnsi="arial" w:cs="arial"/>
          <w:color w:val="000000"/>
          <w:sz w:val="20"/>
          <w:lang w:val="en-US" w:eastAsia="en-US" w:bidi="ar-SA"/>
        </w:rPr>
        <w:t xml:space="preserve"> at paras. 88-91.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circumstances here and based on these authorities, I am unable to conclude the application should be dismissed on this basis. The timing of the foreclosure proceedings and the nature of the issues do not support such a conclusion. I have no evidence to support an argument that the issues should have been raised in the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Given my conclusions as to the merits of the claim and having regard to my analysis of each of the five factors and what is in the interests of justice, it is my conclusion that the application for renewal should be granted with the condition that it be without prejudice to any limitation defences available to Citizens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have not heard from the parties on the question of costs. They are at liberty to bring that issue back before me. If that is to occur, I direct counsel to arrange a date for submissions through trial scheduling and that the scheduling be completed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BETTON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November 10,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the front page Krista M. Johanson has been removed as Counsel for the Defendant, Interior Equities Corp. Interior Equities Corp. did not appear at the hearing.</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5"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Northland Road Services Ltd. v. British Columbia (Minister of Transportation and Highways), [2001] B.C.J. No. 1419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Parrett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06281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1419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884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106 A.C.W.S. (3d) 803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884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Northland Road Services Ltd., plaintiff, and Her Majesty the Queen in Right of the Province of British Columbia, represented by the Minister of Transportation and Highways, Sherry Eland, Peter Milburn, Miles Webster, Dan Doyle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6"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9" w:name="Keywords_5"/>
      <w:bookmarkEnd w:id="39"/>
      <w:r>
        <w:rPr>
          <w:rFonts w:ascii="arial" w:eastAsia="arial" w:hAnsi="arial" w:cs="arial"/>
          <w:b/>
          <w:color w:val="000000"/>
          <w:sz w:val="20"/>
          <w:lang w:val="en-US" w:eastAsia="en-US" w:bidi="ar-SA"/>
        </w:rPr>
        <w:t>Practice — Pleadings — Striking out pleadings — Grounds, failure to disclose a cause of action or defence — Bars, application premature.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0" w:name="Case Summary_4"/>
            <w:bookmarkEnd w:id="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Minister of Transportation and Highways to strike paragraphs of the statement of claim of Northland Road Services. These paragraphs alleged that officials of the Minister and unknown others conspired to advance their interests at Northland's expense. Northland also claimed that the defendants committed breaches of contracts and a variety of torts against it and were unjustly enriched. It also pleaded that the provincial Crown was vicariously liable for the acts of the individual defendants. The Minister submitted that for a conspiracy to occur there had to be an agreement between two or more parties to commit overt acts and thereby damage Northland. The Province could only act through its employees or Ministers. There was no allegation that the individual defendants acted outside of the scope of their employment or received a personal benefit. The paragraphs had to be struck because they merely alleged that the Province conspired with itself. This application was brought before examinations for discovery were held.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1" w:name="Holdings of Court_4"/>
            <w:bookmarkEnd w:id="41"/>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was not satisfied that it was plain and obvious that the conspiracy allegations would fail. The allegations transcended the individuals identified at this stage. The aim and object of the conspiracy was broadly defined and there was an allegation of unjust enrichment. Northland was allowed to pursue these claims at least until discoveries occurred.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2" w:name="Legislation Cited_5"/>
      <w:bookmarkEnd w:id="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7"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19(24), 19(27).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3" w:name="Counsel_5"/>
      <w:bookmarkEnd w:id="4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8"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R.D. Holmes, for the plaintiff.f K. Inaya,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4" w:name="Judgment_5"/>
      <w:bookmarkEnd w:id="44"/>
      <w:r>
        <w:pict>
          <v:line id="_x0000_s1059" style="position:absolute;z-index:2518179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5" w:name="PARRETT J._0"/>
            <w:bookmarkEnd w:id="45"/>
            <w:r>
              <w:rPr>
                <w:rFonts w:ascii="arial" w:eastAsia="arial" w:hAnsi="arial" w:cs="arial"/>
                <w:b/>
                <w:color w:val="000000"/>
                <w:sz w:val="30"/>
                <w:lang w:val="en-US" w:eastAsia="en-US" w:bidi="ar-SA"/>
              </w:rPr>
              <w:t>PARRETT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in this action seek to strike paragraphs 95 through 102 inclusive of the statement of claim. The application is brought under the provisions of R.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Rule provides that:</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an application under this section no evidence is admissible by virtue of the provisions of R. 19(27).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test to be applied on such an application is whether it is "plain and obvious" that the plaintiff's claim is bound to fail on a consideration of the claim on the assumption that the facts pleaded in the statement of claim are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impugned portions of the statement of claim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Conspiracy</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Maintenance Services Conspiracy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the fall of 1994 or 1995, and continuing thereafter, Eland, Doyle, the Government, John Doe, and other persons presently unknown to the Plaintiff, (the "Maintenance Services Conspirators") or some of them, met, planned, and conspired among themselves to advance their own aims and interests by, among other things, doing the acts set forth herein in relation to or in connection with the Round Two Agreement and Extension and:</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use unlawful means, including the defamation, fraud, deceit,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abuse of power, and breaches of agreement and duties particularised herein, to achieve their ends, knowing that their actions would cause the Plaintiff loss and damage, or reckless and uncaring whether that was so, or in the circumstances in which they ought to have known; or,</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with the predominant purpose to injure the Plaintiff.</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(the "Maintenance Services Conspiracy").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of the Maintenance Services Conspiracy include those set out herein. Further particulars thereof are within the knowledge of the Government and the other Maintenance Services Conspirators, and may be provided following Examinations for Discovery.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acts of the Maintenance Services Conspirators as detailed herein, was done by the person or persons therein alleged on behalf of him or themselves and his, her, or their co-conspirators in furtherance of the Maintenance Services Conspiracy, and each was the servant, agent, employee, or partner of the other, or further, or in the alternative, the Maintenance Services Conspirators were joint tortfeasors.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Maintenance Services Conspiracy, the Plaintiff has suffered injury, loss and damage as a result, and claims therefor.</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Tender Process Conspiracy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March, 1996 and continuing thereafter, the MOTH Negotiating Team, the Government, John Doe, and other persons presently unknown to the Plaintiff, (the "Tender Process Conspirators") or some of them, met, planned, and conspired among themselves to advance their own aims and interests by, among other things, doing the acts set forth herein in relation to or in connection with the Tender Process, the Tender Process Contract and the Round Four Agreement, and: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use unlawful means, including the defamation, fraud, deceit,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abuse of power, and breaches of agreement and duties particularised herein, to achieve their ends, knowing that their actions would cause the Plaintiff loss and damage, or reckless and uncaring whether that was so, or in the circumstances in which they ought to have known; or,</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with the predominant purpose to injure the Plaintiff.</w:t>
      </w:r>
    </w:p>
    <w:p>
      <w:pPr>
        <w:spacing w:before="120"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(the "Tender Process Conspiracy")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of the Tender Process Conspiracy include those set out herein. Further particulars thereof are within the knowledge of the Government and the other Tender Process Conspirators, and may be provided following Examinations for Discovery.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acts of the Tender Process Conspirators as detailed herein, was done by the person or persons therein alleged on behalf of him or themselves and his, her, or their co-conspirators in furtherance of the Maintenance Services Conspiracy, and each was the servant, agent, employee, or partner of the other, or further, or in the alternative, the Maintenance Services Conspirators were joint tortfeasors.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suffered loss and damage as a result of the Tender Process Conspiracy and claims therefor.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pleadings allege two separate conspiracies between named individuals and others "presently unknown" to "advance their own aims and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can be seen that the conspiracy allegation as pleaded encompass both Ministry of Transportation and Highways officials and "others" and that they conspired to "advance their own aims and interests" at the plaintiff's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allegations in para. 9 of the statement of claim is that:</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 Defendants herein are all agents, officers or employees of the Government and the Government is directly and vicariously responsible and liable for the acts and omissions as set out herein of the Defendants, of MOTH, and of the MOTH ministers, agents, officers, representatives, and employees set forth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general nature of the claims advanced by the plaintiff is found in paras. 11 and 12 of the statement of claim: 11. The Plaintiff claims herein are for damages for breaches of contract, duty and other obligations owed to the Plaintiff by the Defendants, or some of them, for torts committed against the Plaintiff by the Defendants, or some of them, and for compensation from the Defendants, or some of them, to the Plaintiff, for unjust enrichment.</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Among other things, the Plaintiff was put to expense and suffered loss and damage in or about 1994, 1995 and 1996 due to the interference and breaches of duty and obligation of the Defendants, and due to being required and directed to perform services and supplying labour, materials and equipment beyond those required under its agreements with MOTH and in 1996 was wrongfully deprived of the benefit of the highway maintenance contract for Area 22 for the next term, and all profits, benefits and advantages that were to be derived therefrom.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emphasize for the purpose of the present application that these allegations are that the defendants or some of them committed breaches of contract, or duty, that they also committed torts against the plaintiff and were, by these actions unjustly enriched. Para. 9 assets that Her Majesty the Queen in Right of the Province of British Columbia is directly and vicariously responsible for the acts and omissions of the individual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TORT OF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elements of the tort of conspiracy are:</w:t>
      </w:r>
      <w:r>
        <w:rPr>
          <w:rFonts w:ascii="arial" w:eastAsia="arial" w:hAnsi="arial" w:cs="arial"/>
          <w:sz w:val="20"/>
          <w:lang w:val="en-US" w:eastAsia="en-US" w:bidi="ar-SA"/>
        </w:rPr>
        <w:cr/>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in the sense of a joint plan or common intention on the part of the defendants to do the act which is the object of the alleged conspiracy;</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overt act or acts consequent upon the agreement, and</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resulting damage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Hunt v. Carey Canada Inc. </w:t>
      </w:r>
      <w:r>
        <w:rPr>
          <w:rFonts w:ascii="arial" w:eastAsia="arial" w:hAnsi="arial" w:cs="arial"/>
          <w:i/>
          <w:color w:val="000000"/>
          <w:sz w:val="20"/>
          <w:lang w:val="en-US" w:eastAsia="en-US" w:bidi="ar-SA"/>
        </w:rPr>
        <w:t>(1990), 49 B.C.L.R. (2d) 273</w:t>
      </w:r>
      <w:r>
        <w:rPr>
          <w:rFonts w:ascii="arial" w:eastAsia="arial" w:hAnsi="arial" w:cs="arial"/>
          <w:color w:val="000000"/>
          <w:sz w:val="20"/>
          <w:lang w:val="en-US" w:eastAsia="en-US" w:bidi="ar-SA"/>
        </w:rPr>
        <w:t>, the Supreme Court of Canada had occasion to consider both the application of R. 19(24) and the tort of conspiracy. At p. 290, Wilson J., in giving the Court's decision, described the tort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last decade the tort of conspiracy has received a considerable amount of attention. In England, for example, both the House of Lords and the Court of Appeal have recently had occasion to review the tort in some detail. These decisions have made clear that the tort of conspiracy may apply in at least two situations: (i) where the defendants agree to use lawful means to harm the plaintiff and (ii) where the defendants use unlawful means to harm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tracing the evolution of the authorities in England, Wilson J. notes, at p. 293: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what of situations in which the plaintiff alleges that there was an agreement that involved the use of unlawful means and that resulted in the plaintiff's suffering damage? Must the plaintiff also establish that the predominant purpose of the agreement was to injure him or her? It is in answering this question that Estey J. chose to follow a somewhat different path from Lord Diplock. Estey J. was of the view that it was not appropriate to go as far as the House of Lords had gone in precluding the action. He said at pp. 471-72: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Although the law concerning the scope of the tort of conspiracy is far from clear, I am of the opinion that whereas the law of tort does not permit an action against an individual defendant who has caused injury to the plaintiff, the law of torts does recognize a claim against them in combination as the tort of conspiracy if:</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means used by the defendants are lawful or unlawful, the predominant purpose of the defendants' conduct is to cause injury to the plaintiff; or</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conduct of the defendants is unlawful, the conduct is directed towards the plaintiff (alone or together with others), and the defendants should know in the circumstances that injury to the plaintiff is likely to and does result. [emphasis added by Wilson J.]</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situation (2) it is not necessary that the predominant purpose of the defendants' conduct be to cause injury to the plaintiff but, in the prevailing circumstances, it must be a constructive intent derived from the fact that the defendants should have known that injury to the plaintiff would ensue. In both situations, however, there must be actual damage suffered by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Estey J.'s summary of the law in Canada suggests that in cases falling into the second category it may not be necessary to prove actual intent. As G.H.L. Fridman has noted in The Law of Torts in Canada (1990), vol. 2, at p. 265: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difference between the English and Canadian formulations of the tort of conspiracy lies in the way the intent of the defendants is expressed. The language of Lord Diplock seems to indicate that the necessary intent should be actual. That of Estey J. suggests that it may be possible for a court to infer an intent to injure from the circumstances even if the defendants deny they acted with any such intent.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Fridman goes on to observe at pp. 265-66: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modern Canada, therefore, conspiracy as a tort comprehends three distinct situations. In the first place there will be an actionable conspiracy if two or more persons agree and combine to act unlawfully with the predominating purpose of injuring the plaintiff. Second, there will be an actionable conspiracy if the defendants combine to act lawfully with the predominating purpose of injuring the plaintiff. Third, an actionable conspiracy will exist if defendants combine to act unlawfully, their conduct is directed towards the plaintiff (or the plaintiff and others), and the likelihood of injury to the plaintiff is known to the defendants or should have been known to them in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this passage provides a useful summary of the current state of the law in Canada with respect to the tort of conspiracy. Whether it is "good law", it seems to me, it is not for the court to consider in this proceeding where the issue is simply whether the plaintiff's pleadings disclose a reasonable cause of action. I agree completely with Esson J.A. that it is not appropriate at this stage to engage in a detailed analysis of the strengths and weaknesses of Canadian law on the tort of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This passage is particularly applicable in the present circumstances where I am faced with an application under R. 19(24) involving allegations of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support of their present application, the defendants rely principally upon two decisions. The first, Kuhn v. American Credit Indemnity Co., </w:t>
      </w:r>
      <w:hyperlink r:id="rId125" w:history="1">
        <w:r>
          <w:rPr>
            <w:rFonts w:ascii="arial" w:eastAsia="arial" w:hAnsi="arial" w:cs="arial"/>
            <w:i/>
            <w:color w:val="0077CC"/>
            <w:sz w:val="20"/>
            <w:u w:val="single"/>
            <w:shd w:val="clear" w:color="auto" w:fill="FFFFFF"/>
            <w:lang w:val="en-US" w:eastAsia="en-US" w:bidi="ar-SA"/>
          </w:rPr>
          <w:t>[1992] B.C.J. No. 953</w:t>
        </w:r>
      </w:hyperlink>
      <w:r>
        <w:rPr>
          <w:rFonts w:ascii="arial" w:eastAsia="arial" w:hAnsi="arial" w:cs="arial"/>
          <w:color w:val="000000"/>
          <w:sz w:val="20"/>
          <w:lang w:val="en-US" w:eastAsia="en-US" w:bidi="ar-SA"/>
        </w:rPr>
        <w:t>, is a decision of Master Joyce in which he struck a portion of the statement of claim which alleged that the defendants, a corporation and certain of its officers, conspired to terminate the plaintiff's employment. It was not alleged that the termination was wrongful. Indeed, it was conceded that it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material portions of the decision of Master Joyce are found in the following passages of his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that these facts, if proved, would not be sufficient to make out the causes of action which the plaintiff seeks to advance. They establish only that certain officers of American, acting within the scope of their offices and employment, placed excessive production demands on the plaintiff which he did not meet or which they perceived he did not meet and as a result of which his employment was terminated.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imposition of those demands or the imposition of "penalties" was not warranted and in breach of the terms of the plaintiff's employment, then he might have a remedy for breach of contract but that is not alleged. It is conceded that American was entitled to terminate the employment but it is suggested that the events leading up to the termination constitute a conspiracy.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paragraphs 442, 443 and 444 each describe, in somewhat different language, the same claim. They allege a conspiracy to injure the plaintiff by bringing about the termination of his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facts as set out in the statement of claim, if proved, do not establish the agreement or combination amongst the defendants which is required to make out the tort of conspiracy.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note, in the first place, that the plaintiff fails to allege which of the defendants were party to the alleged conspiracy. He simply says "two or more of them". I note, as well, that it is only the defendants American, Kaye and Shearer who figure in the events described in the preceding paragraphs which the plaintiff suggests establishes the conspiracy. It is clear, in my view, that no cause of action is pleaded as against Labelle.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alleges acts done variously by American, Kaye and Shearer. The acts alleged are not, in themselves, unlawful.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further alleges an intention on the part of the defendants to bring about the termination of the plaintiff's employment and thereby injure the plaintiff. However, in my view, the pleadings fall short of alleging facts which would establish the agreement or combination which the law requires.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acts of these individuals which are complained of are ones which, in my view, clearly were done by them in their capacities as officers of American. It is not alleged that they were done outside the scope of their office or employment. On the contrary, the plaintiff admits in paragraph 9 that in their capacities as officers the individual defendants were acting within the scope of their employment. They were, in my view, not the acts of these individuals done pursuant to a common plan but the acts of one person, the corporate defendant, acting through its officers. A person cannot conspire with himself.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if one cannot conspire to breach a contract with oneself, then, a fortiori, one cannot conspire with oneself to terminate a contract in accordance with one's contractual rights. In my opinion the statement of claim fails to disclose a reasonable claim based on the tort of conspiracy.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the plaintiff agreed with my suggestion that the cause of action sought to be described in paragraph 445 amounted to "intentionally inducing a 'rightful' termination of employment". The plaintiff faces the same difficulty here as he does in the case of the alleged conspiracy. The acts complained of were the acts of American and one cannot induce oneself to breach a contract, let alone induce oneself to not breach a contract. In any event, in my respectful opinion, there is no such cause of action as that suggested by counsel for the plaintiff known in law. </w:t>
      </w:r>
      <w:r>
        <w:rPr>
          <w:rFonts w:ascii="arial" w:eastAsia="arial" w:hAnsi="arial" w:cs="arial"/>
          <w:color w:val="000000"/>
          <w:sz w:val="20"/>
          <w:u w:val="single"/>
          <w:lang w:val="en-US" w:eastAsia="en-US" w:bidi="ar-SA"/>
        </w:rPr>
        <w:t>Absent proof of conspiracy to injure, I cannot imagine a remedy for inducing the termination of an employee's employment in a manner in which the employer is justified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paragraphs 445 and 447 do not describe a cause of action. The actions complained of are not, in my view, actionable in there [sic] own right. </w:t>
      </w:r>
      <w:r>
        <w:rPr>
          <w:rFonts w:ascii="arial" w:eastAsia="arial" w:hAnsi="arial" w:cs="arial"/>
          <w:color w:val="000000"/>
          <w:sz w:val="20"/>
          <w:u w:val="single"/>
          <w:lang w:val="en-US" w:eastAsia="en-US" w:bidi="ar-SA"/>
        </w:rPr>
        <w:t>Unless they were done in furtherance of a conspiracy to injure they afford no remedy to the plaintiff</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second authority relied upon by the defendants is Citizens for Foreign Aid Reform Inc. v. Canadian Jewish Congress, </w:t>
      </w:r>
      <w:hyperlink r:id="rId126"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In this case, the plaintiff alleged that it was defamed by the defendant and that one of its agents conspired against it. The agent was the "authorized spokesperson" for the Canadian Jewish Congress.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material portions of the reasons of Romilly J. are found in the following passages: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If paragraph 10 is indeed intended as an allegation of conspiracy between the defendants, it must be properly pleaded and the material facts upon which the averment is founded must be set out. In my view, neither has been 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To establish the tort of conspiracy the plaintiff must plead: (1) an agreement, in the sense of a joint plan or common intention on the part of the defendants to do the act which is the object of the alleged conspiracy; (2) an overt act or acts consequent upon the agreement; (3) resulting damage to the plaintiff. L.D. Rainaldi, ed. Remedies in Tort (Scarborough, Ont.: Carswell, 1987). Where the acts relied on are in themselves unlawful it is sufficient to show that the defendants' conduct was directed toward the plaintiff and that the defendants should have known that the injury to the plaintiff would result: Hunt v. Carey, supra. The essence of the tort of conspiracy is the concerted action. Sufficient facts must be set out in the Statement of Claim, so that, if proved, they establish an agreement or combination between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In the case at bar, no reference is made in the Statement of Claim to an agreement between the defendants to defame the plaintiff, or that the defendants knew of any such agreement, or that they intended to be party thereto. In paragraph 5 of the Statement of Claim it is simply alleged that:</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in the first half of the year 1998 caused a brochure to issue over its name, and with its imprimatur entitled "CANADIAN JEWISH CONGRESS PACIFIC REGION Issues of Concern to the Jewish Community of British Columbia 1995-1998".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Moreover, the defendant Canadian Jewish Congress ("CJC") is a body corporate under the laws of Canada. The defendant Michael Elterman ("Elterman") is the authorized spokesperson of the CJC. As the authorized spokesperson, Elterman is an agent of the CJC. A corporate entity can only act by its officers, employees, or agents. Consequently, if Elterman was acting within the scope of his position as agent, and therefore CJC's alter ego, the claim of conspiracy must fail because CJC cannot conspire with itself: D.C. Thomson &amp; Co. Ltd. v. Deakin et al., [1952] 2 All E.R. 361 at 370 (C.A.); Kuhn v. American Credit Indemnity Co., </w:t>
      </w:r>
      <w:hyperlink r:id="rId125" w:history="1">
        <w:r>
          <w:rPr>
            <w:rFonts w:ascii="arial" w:eastAsia="arial" w:hAnsi="arial" w:cs="arial"/>
            <w:i/>
            <w:color w:val="0077CC"/>
            <w:sz w:val="20"/>
            <w:u w:val="single"/>
            <w:shd w:val="clear" w:color="auto" w:fill="FFFFFF"/>
            <w:lang w:val="en-US" w:eastAsia="en-US" w:bidi="ar-SA"/>
          </w:rPr>
          <w:t>[1992] B.C.J. No. 953</w:t>
        </w:r>
      </w:hyperlink>
      <w:r>
        <w:rPr>
          <w:rFonts w:ascii="arial" w:eastAsia="arial" w:hAnsi="arial" w:cs="arial"/>
          <w:color w:val="000000"/>
          <w:sz w:val="20"/>
          <w:lang w:val="en-US" w:eastAsia="en-US" w:bidi="ar-SA"/>
        </w:rPr>
        <w:t xml:space="preserve"> (Q.L.) (B.C.S.C.). There is no indication in the Statement of Claim that Elterman was working outside his capacity as agent for CJC when the alleged defamatory statements were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I find that the facts as alleged do not establish a common plan between CJC and Elterman, and that Elterman was acting outside of his capacity as agent for the corporate defendant. Consequently, I find that the facts set out in the Statement of Claim do not establish the agreement or combination between the defendants that is required to make out the tort of conspiracy. I therefore order that paragraph 10 be struck or amended. Even if I am wrong I agree with counsel for the defendants that paragraph 10 is unnecessary, embarrassing and scandalous in that irrelevant imputations against the character of the defendants are raised directly and by innuendo.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essence of the submission advanced by the defendants in support of the present application is that: (a) for a conspiracy to arise, there must be an agreement between two or more parties who intend to commit overt acts upon the agreement and thereby damage the plaintiff; and,(b) the Province, like a corporation, can only act through its employees or Ministers.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go on to submit that there is no allegation that the individual defendants acted outside the scope of their employment, or that they received a personal benefit. They submit that in these circumstances the allegation is essentially that the Province conspired with itself and that the impugned paragraphs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addressing these submissions it should first be noted, particularly within the strict confines of an application under R. 19(24), that the defence filed in this action denies para. 9 of the statement of claim and hence the allegation that the individuals were all agents, officers and employees and that the Crown is directly and vicariously liable for their acts or omissions. It must be taken for the purpose of the present application that those matters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the present pleadings the acts alleged against the individual defendants include malice, bad faith, deceit, fraud, abuse of power,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warranty and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present circumstances are unlike those in either of the two principle authorities on which the applicants rely. Even if those two decisions are taken to stand for the broad proposition advanced by the applicants, I am unable to say that such a proposition establishes that it is "plain and obvious" that in the present case the conspiracy allegations must inevitably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Here the allegations transcend the individuals identified at this stage, the aim and object of the conspiracy is broadly defined and there is an allegation of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would be completely inappropriate in the circumstances to apply R. 19(24) so as to preclude the plaintiff from pursuing the rights they assert to at least the examination for discovery stage of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am concerned at the way in which this application proceeded. The notice of motion is dated March 1, 2001. It was filed on March 12, 2001, and was only delivered to counsel for the plaintiff on April 19, 2001. March 31, 2001 was the cut-off date for discovery of documents. While the original application was pending the defendants refused to produce the individual defendants for discovery. The basis on which any such position could be asserted was abandoned prior to the hearing of the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Given the Case Management timetable established in this case and the trial date in November of this year the delay in the discovery process may have significant repercussions. It is not necessary or proper to anticipate such repercussions by an order for costs in the present case, but it is, in my view, necessary to make it clear that positions taken do have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will recover their costs of this application,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PARRETT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0"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Strata Plan LMS 3539 v. Ng, [2016] B.C.J. No. 2773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P.D. Leask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13, 2016.</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October 13, 2016.</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S161771</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[2016] B.C.J. No. 2773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2016 BCSC 2462</w:t>
      </w:r>
    </w:p>
    <w:p>
      <w:pPr>
        <w:spacing w:before="120" w:line="260" w:lineRule="atLeast"/>
        <w:rPr>
          <w:lang w:val="en-US" w:eastAsia="en-US" w:bidi="ar-SA"/>
        </w:rPr>
      </w:pPr>
      <w:r>
        <w:rPr>
          <w:rFonts w:ascii="arial" w:eastAsia="arial" w:hAnsi="arial" w:cs="arial"/>
          <w:color w:val="000000"/>
          <w:sz w:val="20"/>
          <w:lang w:val="en-US" w:eastAsia="en-US" w:bidi="ar-SA"/>
        </w:rPr>
        <w:t>Between The Owners, Strata Plan LMS 3539, Appellant, and Kam Hoy Ng and Xiao Ling Ng, Respondents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61" style="position:absolute;z-index:25166540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46" w:name="Keywords_6"/>
      <w:bookmarkEnd w:id="46"/>
      <w:r>
        <w:rPr>
          <w:rFonts w:ascii="arial" w:eastAsia="arial" w:hAnsi="arial" w:cs="arial"/>
          <w:b/>
          <w:color w:val="000000"/>
          <w:sz w:val="20"/>
          <w:lang w:val="en-US" w:eastAsia="en-US" w:bidi="ar-SA"/>
        </w:rPr>
        <w:t>Civil litigation - Civil procedure — Appeals — Hearing new issues — Appeal by the Owners Strata Plan from a small claims judgment allowing the respondent Nyg's action for damages arising from a water leak dismissed — The trial judge's finding that the appellant had lacked adequate insurance was in error — However, the award of $14,500 in lost rental income was defensible on the basis that the respondents had established nuisance — The respondents were allowed to amend their pleadings to add a claim in nuisance — The appeal was dismissed with $1,500 in costs to the respondents.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Real property law — Condominium corporation — Liability — Liability for damage — Appeal by the Owners Strata Plan from a small claims judgment allowing the respondent Nyg's action for damages arising from a water leak dismissed — The trial judge's finding that the appellant had lacked adequate insurance was in error — However, the award of $14,500 in lost rental income was defensible on the basis that the respondents had established nuisance — The respondents were allowed to amend their pleadings to add a claim in nuisance — The appeal was dismissed with $1,500 in costs to the respondents.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Tort law — Nuisance — Liability — Injury to property — Appeal by the Owners Strata Plan from a small claims judgment allowing the respondent Nyg's action for damages arising from a water leak dismissed — The trial judge's finding that the appellant had lacked adequate insurance was in error — However, the award of $14,500 in lost rental income was defensible on the basis that the respondents had established nuisance — The respondents were allowed to amend their pleadings to add a claim in nuisance — The appeal was dismissed with $1,500 in costs to the respondents.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47" w:name="Case Summary_5"/>
            <w:bookmarkEnd w:id="4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Appeal by the Owners Strata Plan from a small claims judgment allowing the respondent Nyg's action for damages arising from a water leak. The trial judge found that the respondents, owners of two units in the complex, were entitled to damages arising from the 2013 leak. The respondents used the units as rental properties, claimed lost rent for the five months it took the appellant to repair the damage to the units. The claimed $14,500 for lost rental income and $200 in hydroelectric charges during the five-month period. The trial judge found that, while the appellant was not negligent, he found that the appellant had inadequate insurance coverage, and awarded the respondents the full damages claimed. At the appeal, the respondents claimed that the result was correct, but did not defend the judge's reasoning, instead amending their claim to add a claim in nuisance. The appellant claimed that the evidence did not establish nuisance. </w:t>
            </w:r>
            <w:r>
              <w:rPr>
                <w:lang w:val="en-US" w:eastAsia="en-US" w:bidi="ar-SA"/>
              </w:rPr>
              <w:cr/>
            </w:r>
          </w:p>
          <w:p>
            <w:pPr>
              <w:spacing w:before="120" w:line="260" w:lineRule="atLeast"/>
              <w:ind w:left="240"/>
              <w:jc w:val="both"/>
              <w:rPr>
                <w:lang w:val="en-US" w:eastAsia="en-US" w:bidi="ar-SA"/>
              </w:rPr>
            </w:pPr>
            <w:bookmarkStart w:id="48" w:name="Holdings of Court_5"/>
            <w:bookmarkEnd w:id="48"/>
            <w:r>
              <w:rPr>
                <w:rFonts w:ascii="arial" w:eastAsia="arial" w:hAnsi="arial" w:cs="arial"/>
                <w:color w:val="000000"/>
                <w:sz w:val="20"/>
                <w:lang w:val="en-US" w:eastAsia="en-US" w:bidi="ar-SA"/>
              </w:rPr>
              <w:t>HELD: Appeal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court found that the trial judge had erred in basing the award on the alleged lack of adequate insurance by the appellant. However, the amended pleading raised the claim of nuisance. On the record, the respondents had established a case of nuisance at trial, and the award was defensible on that basis. Accordingly, the appeal was allowed. the respondents were entitled to $1,500 in costs. </w:t>
            </w:r>
            <w:r>
              <w:rPr>
                <w:lang w:val="en-US" w:eastAsia="en-US" w:bidi="ar-SA"/>
              </w:rPr>
              <w:cr/>
            </w:r>
          </w:p>
          <w:p>
            <w:pPr>
              <w:rPr>
                <w:lang w:val="en-US" w:eastAsia="en-US" w:bidi="ar-SA"/>
              </w:rPr>
            </w:pPr>
          </w:p>
        </w:tc>
      </w:tr>
    </w:tbl>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On appeal from an order of the Provincial Court (Small Claims) of British Columbia dated January 14, 2016, Ng v. The Owners, Strata Plan LMS 3539, VA 13-46997. </w:t>
            </w:r>
            <w:r>
              <w:rPr>
                <w:lang w:val="en-US" w:eastAsia="en-US" w:bidi="ar-SA"/>
              </w:rPr>
              <w:cr/>
            </w:r>
          </w:p>
          <w:p>
            <w:pPr>
              <w:rPr>
                <w:lang w:val="en-US" w:eastAsia="en-US" w:bidi="ar-SA"/>
              </w:rPr>
            </w:pPr>
          </w:p>
        </w:tc>
      </w:tr>
    </w:tbl>
    <w:p>
      <w:pPr>
        <w:jc w:val="both"/>
        <w:rPr>
          <w:lang w:val="en-US" w:eastAsia="en-US" w:bidi="ar-SA"/>
        </w:rPr>
      </w:pPr>
      <w:bookmarkStart w:id="49" w:name="Counsel_6"/>
      <w:bookmarkEnd w:id="4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62" style="position:absolute;z-index:25171660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Appellant/Defendant: R. Shaw.</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Respondents/Claimants: E. LeDuc.</w:t>
      </w:r>
      <w:r>
        <w:rPr>
          <w:lang w:val="en-US" w:eastAsia="en-US" w:bidi="ar-SA"/>
        </w:rPr>
        <w:cr/>
      </w:r>
    </w:p>
    <w:p>
      <w:pPr>
        <w:spacing w:after="240"/>
        <w:rPr>
          <w:lang w:val="en-US" w:eastAsia="en-US" w:bidi="ar-SA"/>
        </w:rPr>
      </w:pPr>
      <w:bookmarkStart w:id="50" w:name="Judgment_6"/>
      <w:bookmarkEnd w:id="50"/>
      <w:r>
        <w:pict>
          <v:line id="_x0000_s1063" style="position:absolute;z-index:25176780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51" w:name="P.D. LEASK J. (orally)"/>
            <w:bookmarkEnd w:id="51"/>
            <w:r>
              <w:rPr>
                <w:rFonts w:ascii="arial" w:eastAsia="arial" w:hAnsi="arial" w:cs="arial"/>
                <w:b/>
                <w:color w:val="000000"/>
                <w:sz w:val="30"/>
                <w:lang w:val="en-US" w:eastAsia="en-US" w:bidi="ar-SA"/>
              </w:rPr>
              <w:t>P.D. LEASK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from a judgment of the Provincial Court Small Claims Division.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appellant is a strata corporation that owns a 70-unit mixed use residential/commercial strata complex located at 2150 East Hastings Street in Vancouver. The respondents owned two units in the complex, units 205 and 206.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February 11, 2013 there was a major water leak from a pipe inside a wall in unit 306. There was a substantial flow of water into unit 206 and a lesser amount into unit 205.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strata took responsibility for repairing the units affected by water damage, including units 205 and 206. The repairs to those units took approximately five months to complete and the units were uninhabitable for that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owners of units 205 and 206 used them as rental properties and sought compensation from the strata for $14,500 of lost rental income and $200 for hydroelectric charges during the five-month period. The strata refused to reimburse the owners of the units, which brought about the Small Claims lawsuit.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trial, the unit owners called evidence from the tenant from unit 206 and Mr. Ng, one of the owners. The tenant testified that approximately eight or nine days before the flooding incident he noticed a water stain on the ceiling of his unit. He telephoned Mr. Ng and told him about the stain. Mr. Ng testified that he telephoned the building superintendent, Mr. Wong, on or about February 5 and left a message. He said Mr. Wong returned his call the same day. He asked Mr. Wong to investigate but Mr. Wong failed to visit unit 206.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February 8, 2013 the tenant's evidence was that he noticed the water stain was getting worse and moving down onto the wall. He again telephoned Mr. Ng. Mr. Ng testified that he called Mr. Wong again and arranged to meet him in suite 206 at 2:00 p.m. that same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Both Mr. Ng and the tenant testified that Mr. Wong attended at suite 206, spent approximately 25 to 30 minutes there and was shown the water stain. Mr. Ng said he again requested Mr. Wong to find out as soon as possible the source of the water leak.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trial Mr. Wong denied receiving any calls or attending at unit 206 prior to February 11, 2013. He purported to rely on a note-making system of his own which contained no mention of Mr. Ng's calls. The trial judge commented at paragraph 17 of his Reasons: "On cross-examination it appeared that Mr. Wong was not being accurate when he said that all his messages were recorded as it appeared that after-hours messages were not recorded".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trial, the appellant was represented by counsel. The respondents did not have counsel and required an interpreter to assist them when giving evidence or making submissions.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learned trial judge awarded the plaintiffs $14,500 for loss of rental income and $200 for hydro charges. He did not base his findings on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strata. Indeed, he found at para. 18: "...that the Claimants have not established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Strata on the balance of probabilities.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Instead, the learned trial judge based his finding of liability on what he considered to be the strata's failure to have adequate insurance coverage. He reasoned as follows, at para. 26: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[26] I find that failure to compensate Mr. Ng for loss of use of his strata units during approximately four months of repair and restoration resulted from inadequacy of insurance obtained by the Strata Corporation, since I am of the opinion that a loss of use should have been in the reasonable contemplation of the Strata Corporation as an obvious consequence of an owner's unit being rendered uninhabitable by the restoration and repair required as a result of damage flowing from a common property mishap.</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...I can see no reason, therefore, why the strata corporation's failure to insure for such eventuality should mean that Mr. Ng should be deprived of compensation for his loss of use, which in this case is a loss of rental income.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At the hearing of the appeal, counsel for the respondents defended the learned trial judge's result but did not attempt to defend his Reasons. This approach is based on the well-known maxim: "An appeal of course is from the order, not the reasons for judgment." That is a quote from Mr. Justice Bauman, as he then was, in </w:t>
      </w:r>
      <w:r>
        <w:rPr>
          <w:rFonts w:ascii="arial" w:eastAsia="arial" w:hAnsi="arial" w:cs="arial"/>
          <w:i/>
          <w:color w:val="000000"/>
          <w:sz w:val="20"/>
          <w:lang w:val="en-US" w:eastAsia="en-US" w:bidi="ar-SA"/>
        </w:rPr>
        <w:t>Jawan v. Davis &amp; Company</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2008 BCCA 494</w:t>
        </w:r>
      </w:hyperlink>
      <w:r>
        <w:rPr>
          <w:rFonts w:ascii="arial" w:eastAsia="arial" w:hAnsi="arial" w:cs="arial"/>
          <w:color w:val="000000"/>
          <w:sz w:val="20"/>
          <w:lang w:val="en-US" w:eastAsia="en-US" w:bidi="ar-SA"/>
        </w:rPr>
        <w:t xml:space="preserve"> at para. 38.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Counsel for the respondents submitted that the evidence led at trial supported a judgment for the respondents on the basis of the law of nuisance. She emphasized that the respondents had no legal training, no assistance from counsel and, indeed, no real familiarity with the English language. In the circumstances, she urged the court to permit her clients' pleadings to be amended on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Quoting from the written submissions from counsel for the respondents: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court has the power to allow amendments to pleadings on appeal if the amendments can be granted without doing an injustice to the opposing party and if the amendment is necessary to decide the true issues between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support of that proposition she quoted two cases: </w:t>
      </w:r>
      <w:r>
        <w:rPr>
          <w:rFonts w:ascii="arial" w:eastAsia="arial" w:hAnsi="arial" w:cs="arial"/>
          <w:i/>
          <w:color w:val="000000"/>
          <w:sz w:val="20"/>
          <w:lang w:val="en-US" w:eastAsia="en-US" w:bidi="ar-SA"/>
        </w:rPr>
        <w:t>Hamilton v. Busch</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1994 92 BCLR (2d) 198</w:t>
        </w:r>
      </w:hyperlink>
      <w:r>
        <w:rPr>
          <w:rFonts w:ascii="arial" w:eastAsia="arial" w:hAnsi="arial" w:cs="arial"/>
          <w:color w:val="000000"/>
          <w:sz w:val="20"/>
          <w:lang w:val="en-US" w:eastAsia="en-US" w:bidi="ar-SA"/>
        </w:rPr>
        <w:t xml:space="preserve"> (B.C.C.A.) at para. 85, and </w:t>
      </w:r>
      <w:r>
        <w:rPr>
          <w:rFonts w:ascii="arial" w:eastAsia="arial" w:hAnsi="arial" w:cs="arial"/>
          <w:i/>
          <w:color w:val="000000"/>
          <w:sz w:val="20"/>
          <w:lang w:val="en-US" w:eastAsia="en-US" w:bidi="ar-SA"/>
        </w:rPr>
        <w:t>Steel v. Toyota Canada Inc.</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2011 BCCA 98</w:t>
        </w:r>
      </w:hyperlink>
      <w:r>
        <w:rPr>
          <w:rFonts w:ascii="arial" w:eastAsia="arial" w:hAnsi="arial" w:cs="arial"/>
          <w:color w:val="000000"/>
          <w:sz w:val="20"/>
          <w:lang w:val="en-US" w:eastAsia="en-US" w:bidi="ar-SA"/>
        </w:rPr>
        <w:t xml:space="preserve"> at para. 53-58. She also made reference to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and the Small Claims Rules.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Still quoting: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An appellate court may entertain a new issue where the interests of justice require it and where the court has sufficient evidentiary record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For that proposition she cited </w:t>
      </w:r>
      <w:r>
        <w:rPr>
          <w:rFonts w:ascii="arial" w:eastAsia="arial" w:hAnsi="arial" w:cs="arial"/>
          <w:i/>
          <w:color w:val="000000"/>
          <w:sz w:val="20"/>
          <w:lang w:val="en-US" w:eastAsia="en-US" w:bidi="ar-SA"/>
        </w:rPr>
        <w:t>Quan v. Cusson</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2009 SCC 62</w:t>
        </w:r>
      </w:hyperlink>
      <w:r>
        <w:rPr>
          <w:rFonts w:ascii="arial" w:eastAsia="arial" w:hAnsi="arial" w:cs="arial"/>
          <w:color w:val="000000"/>
          <w:sz w:val="20"/>
          <w:lang w:val="en-US" w:eastAsia="en-US" w:bidi="ar-SA"/>
        </w:rPr>
        <w:t xml:space="preserve"> at paras. 35-37. And continuing her submissions: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respondents submit that the equities of this case strongly weigh in favour of permitting the amendments and hearing a new issue.</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No injustice will be imposed on the appellant if the amendments are permitted. All evidence and admissions necessary to prosecute and defend an action in nuisance were adduced at trial. The question before this court on the amended pleading is purely legal: as a matter of law, does the evidence and admissions before the court at trial give rise to liability in nuisance?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And her final sentence: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appellant is well able to meet a legal argument on an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Counsel for the appellant did not seriously contest the court's discretion to allow an amendment to the respondents' pleadings on appeal. Instead, he focused his argument on the proposition that the evidence at trial did not support a finding that his client was liable in nuisance.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circumstances, I exercised my discretion to permit the respondents to amend their pleadings to allege nuisance. I gave the appellant leave to amend its pleadings and adjourned the hearing of the appeal to allow both counsel to file new written arguments.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relevant law was summarized by counsel for the respondents by referring to two cases. From </w:t>
      </w:r>
      <w:r>
        <w:rPr>
          <w:rFonts w:ascii="arial" w:eastAsia="arial" w:hAnsi="arial" w:cs="arial"/>
          <w:i/>
          <w:color w:val="000000"/>
          <w:sz w:val="20"/>
          <w:lang w:val="en-US" w:eastAsia="en-US" w:bidi="ar-SA"/>
        </w:rPr>
        <w:t>Durling v. Sunrise Propane Energy Group Inc.</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2013 ONSC 5830</w:t>
        </w:r>
      </w:hyperlink>
      <w:r>
        <w:rPr>
          <w:rFonts w:ascii="arial" w:eastAsia="arial" w:hAnsi="arial" w:cs="arial"/>
          <w:color w:val="000000"/>
          <w:sz w:val="20"/>
          <w:lang w:val="en-US" w:eastAsia="en-US" w:bidi="ar-SA"/>
        </w:rPr>
        <w:t>, she extracted the general principles of the law of nuisance. Quoting first from para. 40:</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Nuisance, as it applies to this case, is the tort of private nuisance. This is an interference with a person's enjoyment and use of his land:</w:t>
      </w:r>
    </w:p>
    <w:p>
      <w:pPr>
        <w:spacing w:before="120" w:line="260" w:lineRule="atLeast"/>
        <w:ind w:left="720"/>
        <w:rPr>
          <w:lang w:val="en-US" w:eastAsia="en-US" w:bidi="ar-SA"/>
        </w:rPr>
      </w:pPr>
      <w:r>
        <w:rPr>
          <w:rFonts w:ascii="arial" w:eastAsia="arial" w:hAnsi="arial" w:cs="arial"/>
          <w:color w:val="000000"/>
          <w:sz w:val="20"/>
          <w:lang w:val="en-US" w:eastAsia="en-US" w:bidi="ar-SA"/>
        </w:rPr>
        <w:t>A person, then, may be said to have committed the tort of private nuisance when he is held to be responsible for an act indirectly causing physical injury to land or substantially interfering with the use or enjoyment of land or an interest in land, where, in the light of all the surrounding circumstances, this injury or interference is held to be unreasonable.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From paragraph 42 - and this is part of a sentence at the end of the paragraph:</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 some activity or disturbance occurs on one property to the detriment of other nearby lands. In common parlance, nuisance refers not to a single event, but to a continuing state or wrong:...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And then a quote from the same paragraph:</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...Nuisance is commonly a continuing wrong - that is to say, it commonly consists in the establishment or maintenance of some state of things which continuously or repeatedly causes the escape of noxious things on to the plaintiff's land, (e.g., a stream of foul water, or the constant noise or smell of a factory). An escape of something on a single occasion, however harmful and wrongful (e.g., the escape of water from the bursting of a reservoir), would not in common speech be termed a nuisance.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Then the judge interrupts the quote to say this: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 nuisance, in law, does not recognize this limitation.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quote goes 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distinction, however, is not one which admits or requires any legal recognition for the purposes of the law of nuisance. All wrongful escapes of deleterious things, whether continuous, intermittent or isolated, are equally to be classed as nuisances in law; for they are all governed by the same principles.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Then one sentence from para. 43: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43 The difference lies, not in the nature of the escape, but in whether it could be foreseen.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And one sentence from para. 44:</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Foreseeability introduces a degree of fault into a claim for nuisance which is not present in a claim for strict liability.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And then at para. 50 of that Judgment:</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Introducing the concept of fault, in this way, puts nuisance on a policy continuum that begins with strict liability (no fault), for nuisance moves on to a level of fault (fault based on a high degree of foreseeability) and on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imports a complete consideration of fault flowing from the duty of care that is owed.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second case, </w:t>
      </w:r>
      <w:r>
        <w:rPr>
          <w:rFonts w:ascii="arial" w:eastAsia="arial" w:hAnsi="arial" w:cs="arial"/>
          <w:i/>
          <w:color w:val="000000"/>
          <w:sz w:val="20"/>
          <w:lang w:val="en-US" w:eastAsia="en-US" w:bidi="ar-SA"/>
        </w:rPr>
        <w:t>Wayen Diners Ltd. v. Hong Yick Tong Ltd.</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[1987] 11 BCLR (2d) 252</w:t>
        </w:r>
      </w:hyperlink>
      <w:r>
        <w:rPr>
          <w:rFonts w:ascii="arial" w:eastAsia="arial" w:hAnsi="arial" w:cs="arial"/>
          <w:color w:val="000000"/>
          <w:sz w:val="20"/>
          <w:lang w:val="en-US" w:eastAsia="en-US" w:bidi="ar-SA"/>
        </w:rPr>
        <w:t xml:space="preserve"> (B.C.S.C.), was a decision of Judge Oppal, as he then was. The facts of that case were summarized in the headnote: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plaintiff leased the basement of a building adjacent to a building in which the defendant leased the basement. Unbeknownst to the defendant, a water pipe under the concrete floor of his portion of the building burst. The water flooded the plaintiff's basement and the plaintiff claimed against the defendant in nuisance.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headnote also summarized Judge Oppal's decision: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action was dismissed. If a person does not create a nuisance, ignorance of the facts constituting the nuisance is an excuse unless he ought to have discovered the facts by use of reasonable care.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Judge Oppal's Judgment, he referred to another case: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McKenzie Barge &amp; Marine Ways Ltd. v. The Corporation of the District of North Vancouver, (1964), 47 W.W.R. 30 (BCCA), a drainage ditch dug by the defendant caused silt to be produced which was carried downstream and accumulated on the plaintiff's property. The plaintiff had advised the defendant of the damage but with no result. Without notice the defendant could not have been expected to be aware of the damage. ...</w:t>
      </w:r>
    </w:p>
    <w:p>
      <w:pPr>
        <w:spacing w:before="120" w:line="260" w:lineRule="atLeast"/>
        <w:ind w:left="720"/>
        <w:rPr>
          <w:lang w:val="en-US" w:eastAsia="en-US" w:bidi="ar-SA"/>
        </w:rPr>
      </w:pPr>
      <w:r>
        <w:rPr>
          <w:rFonts w:ascii="arial" w:eastAsia="arial" w:hAnsi="arial" w:cs="arial"/>
          <w:color w:val="000000"/>
          <w:sz w:val="20"/>
          <w:lang w:val="en-US" w:eastAsia="en-US" w:bidi="ar-SA"/>
        </w:rPr>
        <w:t>In the peculiar circumstances of this case the appellate cannot hope to recover damages for anything that transpired prior to the letter of January 27, 1961. Up to that time the respondent was not aware of the nuisance, but having then become aware of it, it was, in my opinion, respondent's duty to take all reasonable steps to prevent its continuance. The following passage appears in Salmond on Torts, 13th ed., p. 200:</w:t>
      </w:r>
    </w:p>
    <w:p>
      <w:pPr>
        <w:spacing w:before="120" w:line="260" w:lineRule="atLeast"/>
        <w:ind w:left="1080"/>
        <w:rPr>
          <w:lang w:val="en-US" w:eastAsia="en-US" w:bidi="ar-SA"/>
        </w:rPr>
      </w:pPr>
      <w:r>
        <w:rPr>
          <w:rFonts w:ascii="arial" w:eastAsia="arial" w:hAnsi="arial" w:cs="arial"/>
          <w:color w:val="000000"/>
          <w:sz w:val="20"/>
          <w:lang w:val="en-US" w:eastAsia="en-US" w:bidi="ar-SA"/>
        </w:rPr>
        <w:t>The rule is that when a nuisance has been created by the act of a trespasser, or otherwise without the act, authority, or permission of the occupier, as when it is caused by a secret and unobservable operation of nature, the occupier is not responsible for that nuisance unless, with knowledge or means of knowledge of its existence, he suffers it to continue without taking reasonably prompt and efficient means for its abatement.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Judge Oppal, still referring to that B.C. Court of Appeal case,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court approved and adopted the reasoning set out in the well-known case of Sedleigh-Denfield v. O'Callaghan and Others, [1940] A.C. 880 (H.L.). In that case a nuisance was created by a trespasser and the occupier of the land was held liable because he, with continued knowledge, adopted and continued the nuisance. At p. 904, Lord Wright stated as follows:</w:t>
      </w:r>
    </w:p>
    <w:p>
      <w:pPr>
        <w:spacing w:before="120" w:line="260" w:lineRule="atLeast"/>
        <w:ind w:left="720"/>
        <w:rPr>
          <w:lang w:val="en-US" w:eastAsia="en-US" w:bidi="ar-SA"/>
        </w:rPr>
      </w:pPr>
      <w:r>
        <w:rPr>
          <w:rFonts w:ascii="arial" w:eastAsia="arial" w:hAnsi="arial" w:cs="arial"/>
          <w:color w:val="000000"/>
          <w:sz w:val="20"/>
          <w:lang w:val="en-US" w:eastAsia="en-US" w:bidi="ar-SA"/>
        </w:rPr>
        <w:t>Though the rule has not been laid down by this House, it has I think been rightly established in the Court of Appeal that an occupier is not prima facie responsible for a nuisance created without his knowledge and consent. If he is to be liable a further condition is necessary, namely, that he had knowledge or means of knowledge, that he knew or should have known of the nuisance in time to correct it and obviate its mischievous effects. ...</w:t>
      </w:r>
    </w:p>
    <w:p>
      <w:pPr>
        <w:spacing w:before="120" w:line="260" w:lineRule="atLeast"/>
        <w:ind w:left="1080"/>
        <w:rPr>
          <w:lang w:val="en-US" w:eastAsia="en-US" w:bidi="ar-SA"/>
        </w:rPr>
      </w:pPr>
      <w:r>
        <w:rPr>
          <w:rFonts w:ascii="arial" w:eastAsia="arial" w:hAnsi="arial" w:cs="arial"/>
          <w:color w:val="000000"/>
          <w:sz w:val="20"/>
          <w:lang w:val="en-US" w:eastAsia="en-US" w:bidi="ar-SA"/>
        </w:rPr>
        <w:t>... Then he is not liable unless he continued or adopted the nuisance, or, more accurately, did not without undue delay remedy it when he became aware of it, or with ordinary and reasonable care should have become aware of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Judge Oppal referred to one more case at page four of the Reasons: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Koch Industries Ltd. Koch and Koch v. Vancouver, </w:t>
      </w:r>
      <w:hyperlink r:id="rId140" w:history="1">
        <w:r>
          <w:rPr>
            <w:rFonts w:ascii="arial" w:eastAsia="arial" w:hAnsi="arial" w:cs="arial"/>
            <w:i/>
            <w:color w:val="0077CC"/>
            <w:sz w:val="20"/>
            <w:u w:val="single"/>
            <w:shd w:val="clear" w:color="auto" w:fill="FFFFFF"/>
            <w:lang w:val="en-US" w:eastAsia="en-US" w:bidi="ar-SA"/>
          </w:rPr>
          <w:t>[1982] 4 W.W.R. 92</w:t>
        </w:r>
      </w:hyperlink>
      <w:r>
        <w:rPr>
          <w:rFonts w:ascii="arial" w:eastAsia="arial" w:hAnsi="arial" w:cs="arial"/>
          <w:color w:val="000000"/>
          <w:sz w:val="20"/>
          <w:lang w:val="en-US" w:eastAsia="en-US" w:bidi="ar-SA"/>
        </w:rPr>
        <w:t>, (B.C.S.C.) ... MacKinnon J., at p. 94, adopted the following reasoning:</w:t>
      </w:r>
    </w:p>
    <w:p>
      <w:pPr>
        <w:spacing w:before="120" w:line="260" w:lineRule="atLeast"/>
        <w:ind w:left="1080"/>
        <w:rPr>
          <w:lang w:val="en-US" w:eastAsia="en-US" w:bidi="ar-SA"/>
        </w:rPr>
      </w:pPr>
      <w:r>
        <w:rPr>
          <w:rFonts w:ascii="arial" w:eastAsia="arial" w:hAnsi="arial" w:cs="arial"/>
          <w:color w:val="000000"/>
          <w:sz w:val="20"/>
          <w:lang w:val="en-US" w:eastAsia="en-US" w:bidi="ar-SA"/>
        </w:rPr>
        <w:t>In Clerk and Lindsell on Torts, 14th ed. (1975), the authors state that ignorance of the facts is a defence to a claim in nuisance, provided reasonable care has been taken to discover the facts.</w:t>
      </w:r>
    </w:p>
    <w:p>
      <w:pPr>
        <w:spacing w:before="120" w:line="260" w:lineRule="atLeast"/>
        <w:ind w:left="720"/>
        <w:rPr>
          <w:lang w:val="en-US" w:eastAsia="en-US" w:bidi="ar-SA"/>
        </w:rPr>
      </w:pPr>
      <w:r>
        <w:rPr>
          <w:rFonts w:ascii="arial" w:eastAsia="arial" w:hAnsi="arial" w:cs="arial"/>
          <w:color w:val="000000"/>
          <w:sz w:val="20"/>
          <w:lang w:val="en-US" w:eastAsia="en-US" w:bidi="ar-SA"/>
        </w:rPr>
        <w:t>As no one is liable for nuisance unless he either created it or continued it after knowledge or means of knowledge, it follows that it is a defence to prove ignorance of the facts constituting the nuisance unless that ignorance is due to the omission to use reasonable care to discover the facts.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Judge Oppal, on page four, summed up:</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From these authorities it would appear clear that if a person does not create a nuisance, ignorance of the facts constituting the nuisance is an excuse unless he ought to have discovered the facts by use of reasonable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for the appellant agreed with the summary of the law of nuisance provided by counsel for the respondents.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the second day of the appeal, counsel for the respondents sought to enter a document filed with the Provincial Court as part of the appellant's trial statement. The document purported to be prepared by the plumber called in to deal with the leak. It read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When we attended, water was turned off. Crimp ring was split, and still sitting on the pex pipe. The pex pipe had pulled back from the fitting a small amount, from the pressure, and was leaking. The leak was a result of the crimp ring not having any pressure on the fitting, after it split.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crimp ring could have been split for quite awhile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That is underlined in the source that I am looking 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and eventually pushed itself away from the fitting enough to leak.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Again, continuing the quote: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ring was bent wide open when we were done and not in good enough shape to be pushed back together again. It was very busy that day on site, and we set the pipe and ring aside. It was accidentally swept, and cleaned up, and as it was a small piece it was not noticed by anyone.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Counsel for the appellant vigorously opposed admission of this document on appeal. He submitted that it had not been admitted at trial, was clearly hearsay, and might well be, at least, in part, opinion evidence. I sustained his objection and did not permit it to be admitted on the appeal; nor, having ruled it inadmissible, did I give it any attention or weight.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was then an argument whether nuisance could be established on the evidence before the Provincial Court. Counsel for the respondents submitted that Mr. Ng's conversation with Mr. Wong and Mr. Wong's attendance at unit 206 to inspect the water stains identified by Mr. Ng's tenant on the ceiling and wall of his suite were sufficient notice to the appellant to require them to investigate the source of the stains. Once the strata had the knowledge through its agent, Mr. Wong, of the water stains its duty of reasonable care required an investigation. The strata's continuing ignorance was due "to the omission to use reasonable care to discover the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Counsel for the appellant's position, as put in his supplementary argument, was: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trial judge did not make any findings of fact with respect to the respondent's allegation that there was water ingress or staining at unit 206 prior to the flood; nor did he make any findings of fact that the property manager had notice of water ingress or staining at unit 206.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Counsel for the appellant in a carefully reasoned submission pointed out that the respondent's counsel had not established that investigation after Mr. Wong had learned of the water stains would necessarily have identified the cause of the February 11th leak or enabled the strata to prevent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believe that appellant's counsel put forward every argument that could reasonably be advanced in support of the appellant's position. Nevertheless, it is my respectful view that the respondents must succeed on the facts of this case. The respondents brought to the attention of the strata's representative facts which required investigation. Failure to conduct such an investigation amounts to an omission to use reasonable care to discover the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appeal is dismissed, not for the reasons given by the learned trial judge, but on the basis that the respondents had a proper basis for the recovery ordered by the learned trial judge based on the law of nuisance.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SHAW: Thank you, My Lord. I suppose we should deal with the matter of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COURT: You will note that I did not say anything about it because I thought counsel might want to say something about it themselves.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SHAW: Given - given your Reasons for Judgment, My Lord, the strata's position would be that costs should be - costs should be borne equally by the parties. This was a novel issue. It was clearly not an issue that was dealt with by the trial judge. And, in my respectful submission, had the nuisance argument not been made by the respondents, the appeal may have gone a different way. And given the Reasons for Judgment that were appealed, I believe it was very reasonable to bring the appeal. So our submission would be that costs should be borne equally.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COURT: Ms. LeDuc?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LeDUC: My Lord, it will be no surprise that my respectful submission on behalf of the respondents is that the respondents are entitled to their costs. This issue, respectfully, wasn't raised by the respondents below and the strata corporation saw fit to put the respondents to the expense of an appeal, notwithstanding that the judgment was only for $14,700. Further, of course, this appeal was adjourned twice and the second time was - and I do hesitate to say this but I must say on behalf of my clients - was because counsel for the strata corporation did not bring the material for the Court that we had agreed that the counsel for the appellant would prepare and bring, as we brought the case authorities.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COURT: What do you say your total costs would be?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LeDUC: I'd have to look at the tariff to look at what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COURT: You better tell me now. I am going to decide now.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LeDUC: Five thousand dollars. I think that that's for three days of preparation. And we were required to draft two written arguments.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COURT: All right. I am going to tell you why you are not going to get $5,000, just to start with.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LeDUC: Sure.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COURT: The merit I find in counsel for the appellant's position is this. It was not the appellant's fault that the Reasons below produced a result that I found to be correct for Reasons that were not correct. And I think your clients need to bear some of the costs of the fact that (a) the pleadings had to be amended; (b) at least one of the extra days was a result of that process. So from my point of view, if $5,000 was the correct total amount of costs, which, by the way, I do not completely accept, but if it were, I would not give you all of them. To me it seems like a fair result that the respondents should receive costs and disbursements in a total amount of $1,500. They were successful.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COURT: All right. Thank you, both. You made what could have been a reasonably uninteresting case interesting, so I thank you for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CLERK: So, My Lord, $1,500?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COURT: $1,500 for costs and disbursements together with some amount - has the judgment been paid already? I would assume it probably has.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SHAW: The judgment, I believe, was paid into - into Court to allow the appeal to proceed.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COURT: If it is necessary I can actually make an order that it can be paid out to the respondents. And shall we say 45 days to pay the costs. Is that 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SHAW: That's 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LeDUC: Yes. Thank you, My Lord.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P.D. LEASK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190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Sage v. Renner, [2007] B.C.J. No. 1992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13 - 15,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15,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September 11,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S64685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1992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1357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2080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161 A.C.W.S. (3d) 251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Douglas Stewart Sage, Plaintiff, and Robert Renner,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5"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2" w:name="Keywords_7"/>
      <w:bookmarkEnd w:id="52"/>
      <w:r>
        <w:rPr>
          <w:rFonts w:ascii="arial" w:eastAsia="arial" w:hAnsi="arial" w:cs="arial"/>
          <w:b/>
          <w:color w:val="000000"/>
          <w:sz w:val="20"/>
          <w:lang w:val="en-US" w:eastAsia="en-US" w:bidi="ar-SA"/>
        </w:rPr>
        <w:t>Tort law — Trespass — To person — Assault — Battery — Action by the plaintiff allowed — The plaintiff, a children's sports coach, was approached by the defendant to discuss allocation of playing time — Following a verbal altercation, the plaintiff claimed he was head-butted by the defendant — The defendant claimed he accidentally grazed the plaintiff's head while assuming a defensive stance in response to the plaintiff's aggression — The court found that the plaintiff's injuries were consistent with his version of events, and corroborated by the witness accounts.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General damages — For personal injuries — Considerations — Pre-existing medical conditions — Loss of earning capacity — Non-pecuniary damages, including pain and suffering — Action by the plaintiff allowed — The plaintiff, age 49, was head-butted by the defendant — He suffered a broken nose and concussion, nausea, vomiting, disturbed sleep, and melancholy — He acquired thoracic outlet syndrome to which he was genetically predisposed — The court found that the injuries were caused by the defendant — The plaintiff was awarded non-pecuniary damages of $65,000, loss of income earning capacity of $40,000 and aggravated damages of $10,000.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Head injuries — Concussion — Nose — Age of claimant — 46 to 55 — Non-pecuniary award — $60,001 to $80,000 — Action by the plaintiff allowed — The plaintiff, age 49, was head-butted by the defendant — He suffered a broken nose and concussion, nausea, vomiting, disturbed sleep, and melancholy — He acquired thoracic outlet syndrome to which he was genetically predisposed — The court found that the injuries were caused by the defendant — The plaintiff was awarded non-pecuniary damages of $65,000, loss of income earning capacity of $40,000 and aggravated damages of $10,000.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Affecting the person — Assault and battery — Action by the plaintiff allowed — The plaintiff, age 49, was head-butted by the defendant — He suffered a broken nose and concussion, nausea, vomiting, disturbed sleep, and melancholy — He acquired thoracic outlet syndrome to which he was genetically predisposed — The court found that the injuries were caused by the defendant — The plaintiff was awarded non-pecuniary damages of $65,000, loss of income earning capacity of $40,000 and aggravated damages of $10,000.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3" w:name="Case Summary_6"/>
            <w:bookmarkEnd w:id="5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Sage, against the defendant, Renner, for damages caused by an assault and battery -- The plaintiff was the assistant coach of a lacrosse team on which the defendant's son was a player -- The defendant believed his son was not allocated a fair amount of playing time -- The plaintiff testified that he was approached by the defendant following a game -- He directed the defendant to speak with the head coach -- The plaintiff testified that the defendant reiterated his desire to speak with him, taking an aggressive stance -- The two exchanged words and the plaintiff attempted to walk away -- The defendant grabbed the plaintiff's arm and the two traded insults -- In response, the defendant head-butted the plaintiff, causing him to fall backwards through a door striking his head on the wall -- The defendant testified that he approached the plaintiff politely and was met with verbal aggression -- The defendant testified that the plaintiff stood nose to nose with him yelling, and brought his arm up in a threatening gesture -- He testified that he ducked his head down in a defensive position, accidentally grazing the plaintiff's head -- He testified that the plaintiff walked through the door and came out again saying he was going to charge him with assault -- Witnesses did not see the incident, but observed the aftermath -- The plaintiff, age 49, suffered a broken nose and concussion -- He subsequently experienced nausea, vomiting, disturbed sleep, and melancholy -- The plaintiff further contended he acquired thoracic outlet syndrome and chronic pain syndrome -- A physician testified that the plaintiff was genetically predisposed to developing the syndrome -- HELD: Action allowed -- The defendant's testimony did not account for the injuries suffered by the plaintiff, whereas the plaintiff's account was consistent with his physical injuries -- The witness accounts were consistent with the version of events given by the plaintiff -- The conduct of the defendant caused the injuries suffered by the plaintiff -- The head-butt was a contributing cause of the plaintiff's thoracic outlet syndrome and the resulting moderate and permanent chronic pain -- The plaintiff was awarded non-pecuniary damages of $65,000, loss of income earning capacity of $40,000 and aggravated damages of $10,000.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4" w:name="Counsel_7"/>
      <w:bookmarkEnd w:id="5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6"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N.J. McDougall.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his own behalf: R. Renner.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5" w:name="Judgment_7"/>
      <w:bookmarkEnd w:id="55"/>
      <w:r>
        <w:pict>
          <v:line id="_x0000_s1067" style="position:absolute;z-index:2517688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6" w:name="ROSS J. (orally)"/>
            <w:bookmarkEnd w:id="56"/>
            <w:r>
              <w:rPr>
                <w:rFonts w:ascii="arial" w:eastAsia="arial" w:hAnsi="arial" w:cs="arial"/>
                <w:b/>
                <w:color w:val="000000"/>
                <w:sz w:val="30"/>
                <w:lang w:val="en-US" w:eastAsia="en-US" w:bidi="ar-SA"/>
              </w:rPr>
              <w:t>ROSS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litigation arises out of an incident that occurred in an encounter between the plaintiff, Douglas Sage, and the defendant, Robert Renner. Mr. Sage alleges that Mr. Renner committed an assault and battery when he head-butted him on June 8, 2002, and that he has sustained injuries from that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Sage and Mr. Renner each have teenage sons who played on the same lacrosse team at the time in question. Mr. Sage was assisting with the coaching of the team. He was not the head coach, but Mr. Renner, relying on a document he had received from someone associated with the team, believed that Mr. Sage was the head coach.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precipitating event was a concern of Mr. Renner's son that another player on the team was receiving an unfair amount of playing time. Mr. Renner wanted to discuss this concern with the coach.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Renner did not know Mr. Sage and they had never spoken before. A few days earlier, again at the rink, Mr. Renner had encountered Mr. Sage's first wife, who was with Mr. Sage's present wife, when they were collecting their sons after a game. Mr. Renner is acquainted with Mr. Sage's first wife, but not with Carla Sage, his present wife. He made a comment referring to the two as "Doug's women." Carla Sage testified that she found the comment to be rude. Mr. Renner stated that he was trying to be amusing.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Sage was aware that the comment had been made and was aware that Ms. Sage found it to have been rude. He was also aware that Mr. Renner has somewhat of a negative reputation in the community, in relation to his conduct surrounding sports teams on which his son played.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Sage and Mr. Renner testified about the incident, giving diametrically opposed accounts. Mr. Sage testified that at the time of the incident, he had been asked by Mr. McPhail, the head coach, to act as an assistant coach because of his practical experience playing lacrosse.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Sage testified that on the day in question, the game was finished and he was waiting for his son, Eric, to finish changing. He was in the hallway near the dressing room. He stated that he heard a voice say, "Hey, Sage, I want to talk to you about how you are running this team." He turned and saw Mr. Renner. Mr. Sage said that he told Mr. Renner that he did not want to talk to him, that he should speak with Mr. McPhail, the head coach.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testified that Mr. Renner responded, "No, I want to talk to you." He said that Mr. Renner started to walk toward him. Mr. Sage said that he then repeated that he did not want to speak with him; that if he had concerns, he should take them up with the head coach.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By now, he said, they were three to four feet apart. He said that Mr. Renner moved forward again and repeated that he wanted to speak with him. Mr. Sage said that he could see Mr. Renner's chest was rising, he could hear his breathing, and that Mr. Renner took an aggressive 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Sage said that he told Mr. Renner to take a breath and relax. He said that he told Mr. Renner "Don't play tough guy. I've heard about you." He said that Mr. Renner responded, "You don't know just how tough I am." Mr. Sage said then he asked him, "Are you going to hit me?" and it was his testimony that he then decided to walk away, and turned and walked toward the dressing room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this point, he said Mr. Renner grabbed him by the arm, spun him around and said, "Don't walk away from me, you pussy." Mr. Sage said he responded more forcefully this time, since his prior efforts to cool the situation down had not worked. He said that he told Mr. Renner, "Why don't you take your small dick attitude, get on your Harley, and get out of my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response, Mr. Renner head-butted him, his forehead striking Mr. Sage forcefully between the eyes. He testified that the force of the blow threw him back through the dressing room door. There was a concrete privacy wall about three feet back from the door. He fell backwards through the door and struck his head on the concrete privacy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Sage said that he came back out of the dressing room and said to Mr. Renner, "You shouldn't have done that," went out to the more public area and asked some parents who were in the concession area for a cellphone to call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Sage's son, Eric, who had finished changing, followed Mr. Sage into the concession area, as did Mr. Renner. Mr. Sage sent Eric out to wait for the police. Mr. Sage testified that he recognized an older gentleman that he now knows to be Mr. Harding,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testified that Mr. Harding asked, "What is going on?" and Mr. Renner said, "I head-butted him." Mr. Sage said that Mr. Harding then said, "I don't want to get involved," and Mr. Sage said, "I don't want you to, either." He said he asked Mr. Harding, "You heard what he said?" and Mr. Harding said,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Renner's version of events is that his son had expressed concerns to him about the playing time another player was receiving. After watching the game, he observed the double shifting of that player and wanted to talk to the head coach about his concerns. He went to wait for the coach, who he believed to be Mr. Sage. He waited about fifteen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said that Mr. Sage came out of the dressing room and he went up and politely introduced himself. He testified that he said to Mr. Sage, "Could we talk?" It was his testimony that Mr. Sage got a strange look and walked them over to a secluded area and said, "We can talk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testified that Mr. Sage then became suddenly very aggressive, very angry, calling him names, "Harley tough guy," talking about his genitalia, yelling, spitting. Mr. Renner said he was shocked. He had no idea why Mr. Sage was so enraged. Mr. Sage yelled over and over again that he should speak to the coach. Mr. Renner said that Mr. Sage was screaming obscenities and making reference to him being rude to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said that now Mr. Sage had moved so close that they were standing nose to nose. Mr. Sage was still yelling profanities. Mr. Renner testified that he wiped the spit from his face and Mr. Sage yelled again, "What are you going to do, Harley tough guy? Kelowna is a small place. I've heard what an asshole you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testified that Mr. Sage then brought his arm up, making a threatening gesture with his hands in a closed fist, and Mr. Renner said that he responded by putting his arms up in a defensive position, ducking his head down. As he did so, it was his testimony that their heads accidentally brushed. He testified that it was only a slight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said that Mr. Sage then opened the dressing room door, using his arm to do so in a normal fashion, and went in. It was his testimony that Mr. Sage was not thrown through, did not go through backwards, and never hit the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testified that Mr. Sage then came out, saying over and over again, "Assault charge." Mr. Sage walked to the concession area and it was Mr. Renner's testimony that he followed him because he was concerned for Mr. Sage's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testified that in the concession area, someone asked what had happened and Mr. Sage said, "He head-butted me." He testified that Mr. Sage repeated this several times and then Mr. Renner said once, in a questioning tone, "I head-butted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Police were called. Mr. Renner was arrested, charged with assault causing bodily harm. He was released on conditions. The matter came to trial. He initially pleaded not guilty, but in the course of the trial changed his plea to guilty of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Given the diametrically opposed accounts of the incident, the first task of the court is to make findings concerning the credibility and reliability of the testimony of Mr. Sage and Mr. Renner.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that regard, as Mr. Justice O'Halloran stated more than half a century ago, in the often-cited case of </w:t>
      </w:r>
      <w:r>
        <w:rPr>
          <w:rFonts w:ascii="arial" w:eastAsia="arial" w:hAnsi="arial" w:cs="arial"/>
          <w:b/>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(1951), 4 W.W.R. (N.S.) 171</w:t>
        </w:r>
      </w:hyperlink>
      <w:r>
        <w:rPr>
          <w:rFonts w:ascii="arial" w:eastAsia="arial" w:hAnsi="arial" w:cs="arial"/>
          <w:color w:val="000000"/>
          <w:sz w:val="20"/>
          <w:lang w:val="en-US" w:eastAsia="en-US" w:bidi="ar-SA"/>
        </w:rPr>
        <w:t xml:space="preserve"> at 174, </w:t>
      </w:r>
      <w:hyperlink r:id="rId148"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the conviction of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 Only thus can a court satisfactorily appraise the testimony of quick-witted, experienced and confident witnesses, and of those shrewd persons adept in the half-lie and of long and successful experience in combining skilful exaggeration with partial suppression of the truth. Again a witness may testify what he sincerely believes to be true, but he may be quite honestly mistaken. For a trial judge to say "I believe him because I judge him to be telling the truth," is to come to a conclusion on consideration of only half the problem. In truth it may easily be self-direction of a dangerous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O'Halloran J.A. said later in that same case that a judge is not given a divine insight into the hearts and minds of the witnesses appearing before him, and I approach the assessment of this evidence with these principles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look first to Mr. Sage's injuries. Mr. Renner testified that the only contact between his head and Mr. Sage was fleeting and slight. It was his testimony that it was a mere accidental brushing. He also testified that Mr. Sage was not thrown back. There was no collision with the privacy wall. However, this testimony does not account for the injuries, a broken and lacerated nose and a concussion, that Mr. Sage suffered. I leave aside for the moment the question of thoracic outlet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If Mr. Renner's account is correct, there is no mechanism that could have resulted in the injuries that Mr. Sage suffered. On the other hand, Mr. Sage's account is consistent with his physical injuries and provides a mechanism to explain how they were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Renner's account is inconsistent with the evidence of Eric Sage and Mr. Harding. Eric Sage did not see the incident, but testified that he saw his father come flying backwards through the door to the dressing room and strike the privacy wall. In Mr. Renner's account, Mr. Sage opens the door and enters the dressing room in an ordinary fashion. Eric Sage also testified that just before his father came flying through the door, he heard an altercation in the hall with swear words. He testified that the voice that he heard was not his father's.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Harding testified that he did not observe the incident. He was in the concession area when Mr. Sage entered. He observed Mr. Sage's injuries, a swollen and bleeding nose, and asked what had happened. He said that Mr. Sage did not answer, but that a man who he did not know at the time said, "I head-butted him." Mr. Harding said the man who spoke had a belligerent, cocky, smart-alecky demeanour. He denied that it was Mr. Sage who said those words and testified that after he heard this, he asked Mr. Sage if he had called the police. Mr. Sage said, "Yes." Mr. Harding said that he then asked Mr. Sage if the man had head-butted him and Mr. Sage said,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Renner's evidence is that Mr. Sage was repeating over and over, "He head-butted me," and then Mr. Renner responded, "I head-butted him?" in questioning 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To accept Mr. Renner's account, I would have to reject the testimony of both Eric Sage and Mr. Harding. However, I found that both were credible witnesses whose evidence I accept. Their versions are consistent with the version of events given by Mr. 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evidence of Mr. Sage's condition, shown in the photograph taken shortly after, is further consistent with the injuries he described and inconsistent with Mr. Renner's version of a slight brushing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Renner agreed in cross-examination that prior to the contact between their heads Mr. Sage turned and was leaving. Mr. Renner testified that he followed him for ten or fifteen feet and then he may have grabbed Mr. Sage's arm to get him to stay. This was inconsistent with his evidence in chief. It was consistent with a portion of Mr. Sage's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More important, this arm grabbing contact by Mr. Renner would be fundamentally inconsistent with the version of events Mr. Renner is presenting; one in which he is calm, not upset or angry, and Mr. Sage is, for no reason and with no provocation, out of control, ranting, spitting in his face. If that had been the case, it is reasonable to assume that Mr. Renner would have welcomed the opportunity to end the encounter. I find his explanation that he was following out of concern for Mr. Sage to be incredible.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Renner has some history of discipline problems in the arena in connection with both lacrosse and hockey teams when his son is playing. I give this evidence slight weight, but it is more consistent with Mr. Sage's account than with Mr. Renner's.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Finally, there is the demeanour of the witnesses. Mr. Renner represented himself at this trial, although he did have counsel earlier in the proceedings. I have made every allowance for the fact that he was without the benefit of counsel during the trial and operating in an unfamiliar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Further, the trial process is stressful and intimidating to many. However, it was my observation that Mr. Renner appeared to be a very angry, aggressive, and tightly-wound individual. Moreover, he became increasingly agitated, with an aggressive tone, as the issues of the boys' playing time and the identity of the head coach were canvassed.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Sage, on the other hand, while emotional, did not become angry. I placed little emphasis on demeanour; however, the demeanour of the witnesses suggests to me that it is Mr. Renner who is quick to anger and not Mr. 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result, considering all the evidence, I have concluded that the incident occurred as described by Mr. Sage in his testimony. It follows that he has discharged his burden of proof with respect to the tortious conduct of assault and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turn next to the issue of causation and damages. It is clear and undisputed in the evidence that Mr. Sage suffered soft tissue injuries, a laceration and fracture to the nose, and a closed-head injury or concussion. Here, I reference the report of Dr. Broome: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swelling subsided, a subsequent X-ray revealed that he had sustained a fracture to the nasal bones that healed, leaving a residual deformity, with relative impaired sensation of adequate breathing to the left nostril.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immediate aftermath of the incident, Mr. Sage experienced nausea and vomiting, disturbed sleep patterns, emotional lability, melancholy, and significant disturbance secondary to the assault. His physician, Dr. Broome, formed the opinion that he was suffering from post-traumatic stress disorder and prescribed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most controversial issue is that relating to whether Mr. Sage acquired thoracic outlet syndrome as a result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principles to be applied in relation to causation were articulated by the Supreme Court of Canada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466 to 468. I summarize those principles as follows: (a) Causation is established where the plaintiff proves to the civil standard of a balance of probabilities that the defendant caused or contributed to the injury; (b) The "but for" test is the general test for causation. Where this test is unworkable,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(c)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a material cause, the defendant will be liable; (d) There is no apportionment between tortious and non-tortious causes; (e) The plaintiff is to be restored to the position 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Therefore, the defendant need not compensate the plaintiff for the debilitating effects of pre-existing conditions which the plaintiff would have experienced anyway; (f) If there is measurable risk that a pre-existing condition would have detrimentally affected the plaintiff in the future, that must be taken into account and the award reduced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most significant, long-term consequence alleged is thoracic outlet syndrome. Dr. Nelems, a thoracic surgeon -- who has a particular interest both in his practice and in his research and academic publications in thoracic outlet syndrome -- provided the diagnosis. He found on examination, and I quote here from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of the thoracic outlet manoeuvres that included abduction, external rotation, hyperabduction, Adson's and military brace, promptly reproduced symptoms for which he presented, namely pain in his neck and arms and two ulnar finger tingling. The left was noticeably more symptomatic than the right. He did not drop his radial pulses during these manoeuvres. He was tender on the compression of the left brachial plexus in the supraclavicular fossa, but not on the right. He was slightly tender over the left ulnar nerve at the elbow. He was not tender in any other peripheral nerve sites in the upper extremities. Neurological examination was not entirely normal, inasmuch as he lacked a degree of light touch and pinprick sensation in the ulnar aspects of both hands. His motor power and bulk of the upper extremities and hands were normal. His pinch and grip was normal. Musculoskeletal examination revealed myofascial tender points in the left scalene anticus and medius muscles. He had tenderness in the levator scapula and trapezius muscles bilaterally. He was also quite tender to touch in the upper thoracic region midline, and he had a point of tenderness behind the left shoulder. His hands were pink yet clammy to feel.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Nelems came to the clinical assessment that Mr. Sage had symptomatic lower root thoracic outlet syndrome bilaterally, with the left side worse than the right. He has regional myofascial pain in the muscles, as described, which is commonly seen in association with thoracic outlet syndrome. He had a degree of sympathetically mediated overlay which Dr. Nelems found to be quite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was Dr. Nelems' opinion that the onset or the cause of these symptoms was the head-butting incident. With respect to prognosis, it was his opinion that Mr. Sage will likely, given the time that has elapsed, be permanently symptomatic. He may be a candidate for surgery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Nelems conducted research in which it was found that there is a congenital anomaly, which perhaps forty-five percent of the population have, that predisposes a person to develop thoracic outlet syndrome if they suffer particular types of injury. A CAT scan revealed that Mr. Sage has this anomaly. The mechanism of the head-butt was the type of injury that triggers the onset of the syndrome in those who are predisposed. In that respect, Mr. Sage was the classic "thin skull"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Nelems explained that those persons without the anomaly would not develop thoracic outlet syndrome from the injury. However the tortfeasor must take his victim as he finds him. I find that the head-butt was a contributing cause of a thoracic outlet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doctor testified that in the absence of such an injury, a person with the congenital anomaly would not otherwise go on to develop thoracic outlet syndrome. Prior to the incident, Mr. Sage showed no symptoms consistent with the syndrome. Accordingly, there is no evidence to suggest that the thoracic outlet syndrome was a pre-existing condition, or that Mr. Sage would have developed this condition in any event, but for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Renner has submitted that the degenerative changes in the C3 to C6 vertebrae, which were shown in certain examinations performed, were responsible in whole or in part for Mr. Sage's symptoms. Although these changes were present before the incident, Mr. Sage did not, prior to the incident, manifest any of the symptoms of which he is complaining. Dr. Nelems testified that many persons will have such changes and yet never be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find that the degenerative disc condition, and other accidents and injuries suffered by Mr. Sage prior to the incident, are not a factor in the injuries suffered by Mr. Sage and do not account for the continuing symptoms at issue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Renner submitted that the delay in seeking attention to the symptoms associated with thoracic outlet syndrome suggests that they are not causally related to the incident. The first reference to thoracic outlet syndrome occurs in Dr. Broome's records in the summer of 2003. Mr. Sage testified that the pain and difficulties had been a nagging problem in the background until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Nelems testified that the symptoms of thoracic outlet syndrome can manifest themselves in an instant or they can emerge over time. It was his testimony that often, particularly when patients are dealing with other symptoms and issues, the symptoms will manifest themselves or be recognized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am satisfied that Mr. Sage suffers from thoracic outlet syndrome and that this is as a result of the incident. I am satisfied further that no deduction is required with respect to pre-existing conditions because they did not contribute to his symptoms and because they did not and do not impair his ability to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With respect to subsequent accidents and injuries, I am satisfied that these were minor, quickly resolved, and not a factor in relation to the issue presently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turn then to the issue of damages. Mr. Renner has submitted that Mr. Sage is feigning or exaggerating his injuries. I find that this is not the case. His account of his injuries and their aftermath is consistent with the physical evidence, supported by the physicians, and entirely credible. Moreover, I find that he is a plaintiff who has done everything that he can to mitigate and to minimize his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Renner has suggested that Mr. Sage is litigious, pursuing this litigation for mercenary reasons. It is the case that there are such plaintiffs. I find that Mr. Sage is not one of them. Rather, I find him to be someone who has suffered significant and permanent injuries as a result of a senseless and unprovoked act of violence.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Damages are the only civil remedy available for such a plaintiff, but they are meagre comfort to an injured plaintiff, such as Mr. Sage, and no replacement for what has been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With respect to the issue of non-pecuniary loss, Mr. Sage is forty-nine years old. He is married with two children from his previous marriage. He holds professional certification as an adventure travel guide. He now teaches in the Outdoor Wilderness Leadership Program at Capilano College and at the Vernon Recreation Centre. He acts as a climbing guide for private clients and supplements his income assisting a friend with his commercial painting business. His annual income is in the forty to forty-five thousand dollar a year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Prior to the incident, Mr. Sage, in addition to his professional outdoor activities, enjoyed an extremely active lifestyle. He was a serious rock climber, climbing at the highest level or grade of climbs, making perhaps fifty or so climbs per season. He enjoyed this activity with his wife and with friends. He and his wife enjoyed kayaking and he also taught kayaking. He took part in ski touring in the winter, involving trips of between three to eight days, perhaps three to four times a season. In the summer, he would water-ski perhaps twelve to twenty days per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a result of this incident, he suffers from the chronic pain associated with the thoracic outlet syndrome. In addition, he has the chronic, sympathetically mediated overlay, which Dr. Nelems found to be quite significant. These injuries have resulted in a significant damage to the quality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 testifies that he no longer engages in water-skiing, kayaking or ski touring because of the pain associated with the thoracic outlet syndrome. He only does very elementary, lower-grade climbs, because of the combination of the pain and the loss of sensation in his hands when his arms are over his head. He is no longer able to teach the wilderness courses that involved carrying packs for several days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Prior to the assault, he had not experienced problems with depression, or anxiety, or other emotional difficulties. As a result of the assault, he experienced a number of psychological problems of some significance, including sleep disturbance, headaches, depression, anxiety, significant forgetfulness, emotional lability, and irritability. He was prescribed medication, which he took for about three months for these symptoms. His family physician, as I said earlier, formed the impression that he was suffering from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Sage has made gradual progress, but has not returned to his pre-incident emotional state. This evidence is confirmed by the evidence of his wife, Carla, who described a period, several months, of significant impact on their marital and family life. During this time he was, in her testimony, emotional and irritable. Things that had never before bothered him, such as noises or the activities of the boys, irritated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Their intimate relations, which had been excellent prior to the incident, suffered in its aftermath. She described in her testimony a gradual process of improvement of Mr. Sage's emotional state, but stated that there has not been a complete return to his pre-incident state. He is still a different person than he was before the incident. He has ongoing, moderately severe, chronic pain. The pain is aggravated by activities that exacerbate the thoracic outlet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Nelems has given the opinion that Mr. Sage is moderately disabled. There are activities both in relation to his work and leisure that he is unable to do. He continues to work, but with pain, and the prognosis is this condition will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have reviewed the cases cited by counsel and, as well, the authorities referred to in those cases. Those cases are </w:t>
      </w:r>
      <w:r>
        <w:rPr>
          <w:rFonts w:ascii="arial" w:eastAsia="arial" w:hAnsi="arial" w:cs="arial"/>
          <w:b/>
          <w:i/>
          <w:color w:val="000000"/>
          <w:sz w:val="20"/>
          <w:lang w:val="en-US" w:eastAsia="en-US" w:bidi="ar-SA"/>
        </w:rPr>
        <w:t>Maillet v. Rosenau</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2006 BCSC 10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Heartt v. Royal</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2000 BCSC 1122</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Melnicky v. Bal</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[1994] B.C.J. No. 2058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agree with plaintiff's counsel that the cases establish a range for non-pecuniary loss for injuries, such as in the case at bar, in the area between $40,000 and $110,000. I agree, further, that this case does not fall at the maximum end of that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We have here a well-motivated plaintiff, who has done everything possible to maintain and restore his function. He has moderate, chronic pain that will be permanent. The thoracic outlet syndrome and its sequela will be permanent. He has had to give up activities that he loved. His relations with his wife and family have suffered. Although emotionally, he is now better, he has not returned to his pre-incident state. In the circumstances, I award $65,000 for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 claim was made for past wage loss. The evidence with respect to this claim is not what it might have been. Mr. Sage testified that because of problems carrying a pack associated with his thoracic outlet syndrome, he can no longer teach the wilderness course. That course is offered twice a year. Eight sessions have passed since the incident. Depending on the number of students, the salary is either $6,500 or half that amount if another instructor is added. There is no evidence of what the situation was with respect to the particular sections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burden is on the plaintiff to establish past wage loss and the quantum of such loss on the balance of probabilities and I am not satisfied that the plaintiff has discharged this burden on the evidence. I decline to award damages for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turn then to the issue of loss of capacity to earn income. The factors to be considered in relation to this head of damages are those identified by Justice Finch, as he then was,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356: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Sage has worked hard to mitigate his loss. However, the assault has left him disabled. Moreover, the disability directly impairs functions that are related to his professional life. I am satisfied that he has been rendered less marketable or attractive in his field because of these limitations. He is not able to take advantage of all job opportunities open to him, for example he has had to give up teaching the wilderness courses. I award him $40,000 as compensation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has sought an award of aggravated damages. This was a senseless and unprovoked act of violence that has left Mr. Sage with permanent disabilities that will forever impair his quality and enjoyment of life. At the time of the assault he was acting in his role as a volunteer of a junior sports program and indeed he was attacked in his capacity in that role. In my mind, this serves to aggravate the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Aggravated damages are available in circumstances in which punitive damages are not. Punitive damages generally not being found to be available where there has been a criminal conviction. In the case of </w:t>
      </w:r>
      <w:r>
        <w:rPr>
          <w:rFonts w:ascii="arial" w:eastAsia="arial" w:hAnsi="arial" w:cs="arial"/>
          <w:b/>
          <w:i/>
          <w:color w:val="000000"/>
          <w:sz w:val="20"/>
          <w:lang w:val="en-US" w:eastAsia="en-US" w:bidi="ar-SA"/>
        </w:rPr>
        <w:t>Melnicky v. Bal</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[1994] B.C.J. No. 2058</w:t>
        </w:r>
      </w:hyperlink>
      <w:r>
        <w:rPr>
          <w:rFonts w:ascii="arial" w:eastAsia="arial" w:hAnsi="arial" w:cs="arial"/>
          <w:color w:val="000000"/>
          <w:sz w:val="20"/>
          <w:lang w:val="en-US" w:eastAsia="en-US" w:bidi="ar-SA"/>
        </w:rPr>
        <w:t xml:space="preserve"> at para. 59 (S.C.), Justice Coultas quotes from the C.E.D. (West 3rd) with respect to aggravated damages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are analogous to non-pecuniary damages and therefore need not be specifically pleaded. They are awarded where the damage to the plaintiff was aggravated by the manner in which the culpable act was committed and normally compensate for injured dignity and pride. Aggravated damages may be awarded even where the defendant has already been punished for the act in question under the criminal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circumstances, I award $10,000 in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am advised by counsel that there have been offers to settle. If the award in these reasons exceeds those offers, the costs will then be consistent with the rule regarding offers to settle, otherwise costs to the plaintiff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addition, Mr. Renner will be responsible for the costs of the attendance of Dr. Nelems, pursuant to Rule 40A(12).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MR. MCDOUGALL</w:t>
      </w:r>
      <w:r>
        <w:rPr>
          <w:rFonts w:ascii="arial" w:eastAsia="arial" w:hAnsi="arial" w:cs="arial"/>
          <w:color w:val="000000"/>
          <w:sz w:val="20"/>
          <w:lang w:val="en-US" w:eastAsia="en-US" w:bidi="ar-SA"/>
        </w:rPr>
        <w:t>: My Lady, with respect to the form of the order, I would ask that we dispense with the defendant's signature. I would move for judgment in the amounts that you have set out and I would ask that the order be allowed to be entered without the assessment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Yes, very well. That is all in order and appropriate. I would ask you only to undertake that once you have received back the entered order, you will provide a copy of that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MR. MCDOUGALL</w:t>
      </w:r>
      <w:r>
        <w:rPr>
          <w:rFonts w:ascii="arial" w:eastAsia="arial" w:hAnsi="arial" w:cs="arial"/>
          <w:color w:val="000000"/>
          <w:sz w:val="20"/>
          <w:lang w:val="en-US" w:eastAsia="en-US" w:bidi="ar-SA"/>
        </w:rPr>
        <w:t>: My Lady, I give that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All right.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8" style="position:absolute;z-index:2518200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Schray v. Jim Pattison Industries Ltd. (c.o.b. Save-On-Foods), [2010] B.C.J. No. 315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E.A. Arnold-Bailey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S80003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315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235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187 A.C.W.S. (3d) 307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433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Elsie Hilda Schray, Plaintiff, and Jim Pattison Industries Ltd. operating as Save-On-Foods and the said Jim Pattison Industries Ltd. and Pinetree Village Holdings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9"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7" w:name="Keywords_8"/>
      <w:bookmarkEnd w:id="57"/>
      <w:r>
        <w:rPr>
          <w:rFonts w:ascii="arial" w:eastAsia="arial" w:hAnsi="arial" w:cs="arial"/>
          <w:b/>
          <w:color w:val="000000"/>
          <w:sz w:val="20"/>
          <w:lang w:val="en-US" w:eastAsia="en-US" w:bidi="ar-SA"/>
        </w:rPr>
        <w:t>Tort law — Occupiers' liability — Duty of occupier — Particular situations — Floors — Application by defendants for summary dismissal of a slip and fall action dismissed — Plaintiff sued the defendants for personal injuries suffered in a slip and fall accident in the defendant store — Defendants alleged they had in place a reasonable system of inspection and maintenance that fully discharged the standard of care required of them under the Occupier's Liability Act — Potential inconsistency in evidence adduced by defendant required a trial to determine the adequacy of defendant's maintenance system and whether defendant had adhered to its system.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8" w:name="Case Summary_7"/>
            <w:bookmarkEnd w:id="5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summary dismissal of the action. The plaintiff sued the defendants for personal injuries suffered in a slip and fall accident in the defendant store. The plaintiff alleged that there was water on the floor where she slipped. The defendants argued that even if there was water on the floor where the plaintiff slipped, the defendants had in place a reasonable system of inspection and maintenance that fully discharged the standard of care required of them under the Occupier's Liability Act. The plaintiff alleged that the evidence of the defendant's store manager and the employee carrying out the inspection and sweeping of the store on the date in question was inconsistent and thus required a trial.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9" w:name="Holdings of Court_6"/>
            <w:bookmarkEnd w:id="5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issue of the adequacy of the defendant's maintenance system required a trial. The potential inconsistency between the employee's testimony regarding the sweep she claimed to have made before the accident and the requirements of the maintenance system that included she record her sweep immediately, in light of the sweep log copied by the store manager which did not include this sweep entry, required a determination via the trial process. The weight to be attached to the more general statements in the affidavit of the store manager as to his frequent walks through the area where the plaintiff fell and his alleged invariable practice to be on the lookout for hazards to customers' safety, including items on the floor also invited testing through the trial process.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0" w:name="Legislation Cited_6"/>
      <w:bookmarkEnd w:id="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0"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162" w:history="1">
        <w:r>
          <w:rPr>
            <w:rFonts w:ascii="arial" w:eastAsia="arial" w:hAnsi="arial" w:cs="arial"/>
            <w:i/>
            <w:color w:val="0077CC"/>
            <w:sz w:val="20"/>
            <w:u w:val="single"/>
            <w:shd w:val="clear" w:color="auto" w:fill="FFFFFF"/>
            <w:lang w:val="en-US" w:eastAsia="en-US" w:bidi="ar-SA"/>
          </w:rPr>
          <w:t>RSBC 1996, CHAPTER 337, s. 3</w:t>
        </w:r>
      </w:hyperlink>
      <w:r>
        <w:rPr>
          <w:rFonts w:ascii="arial" w:eastAsia="arial" w:hAnsi="arial" w:cs="arial"/>
          <w:color w:val="000000"/>
          <w:sz w:val="20"/>
          <w:lang w:val="en-US" w:eastAsia="en-US" w:bidi="ar-SA"/>
        </w:rPr>
        <w:t>(1), s.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B.C. Reg. 221/90,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1" w:name="Counsel_8"/>
      <w:bookmarkEnd w:id="6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1"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Marc G. Bolda.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Nigel L. Trevethan.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2" w:name="Judgment_8"/>
      <w:bookmarkEnd w:id="62"/>
      <w:r>
        <w:pict>
          <v:line id="_x0000_s1072" style="position:absolute;z-index:251821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3" w:name="E.A. ARNOLD-BAILEY J."/>
            <w:bookmarkEnd w:id="63"/>
            <w:r>
              <w:rPr>
                <w:rFonts w:ascii="arial" w:eastAsia="arial" w:hAnsi="arial" w:cs="arial"/>
                <w:b/>
                <w:color w:val="000000"/>
                <w:sz w:val="30"/>
                <w:lang w:val="en-US" w:eastAsia="en-US" w:bidi="ar-SA"/>
              </w:rPr>
              <w:t>E.A. ARNOLD-BAILEY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Jim Pattison Industries Ltd. and Jim Pattison Industries Ltd. operating as Save-On-Foods, apply pursuant to Rule 18A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for an order that this action be dismissed with costs. The plaintiff, Elsie Hilda Schray, is suing the defendants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statutory duty relating to her slip and fall while in the front-end department of the defendants' Coquitlam Store No. 998 ("the Store") on February 19, 2002, as a result of which she claims to have suffered injury, loss,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claim is brought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Act"). The defendants concede that they are "occupiers" within the meaning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action was commenced by a writ of summons filed May 6, 2003, and a statement of claim was filed on June 6, 2003. Examinations for discovery of the plaintiff and a representative of the defendants took place on June 22,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June 12, 2006, the defendants applied to have this action dismissed pursuant to Rule 18A. On July 24, 2006, a judge of this Court allowed the defendants' application and ordered that that the plaintiff's action be dismissed (</w:t>
      </w:r>
      <w:r>
        <w:rPr>
          <w:rFonts w:ascii="arial" w:eastAsia="arial" w:hAnsi="arial" w:cs="arial"/>
          <w:i/>
          <w:color w:val="000000"/>
          <w:sz w:val="20"/>
          <w:lang w:val="en-US" w:eastAsia="en-US" w:bidi="ar-SA"/>
        </w:rPr>
        <w:t>Schray v. Jim Pattison Industries Ltd.</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2006 BCSC 1120</w:t>
        </w:r>
      </w:hyperlink>
      <w:r>
        <w:rPr>
          <w:rFonts w:ascii="arial" w:eastAsia="arial" w:hAnsi="arial" w:cs="arial"/>
          <w:color w:val="000000"/>
          <w:sz w:val="20"/>
          <w:lang w:val="en-US" w:eastAsia="en-US" w:bidi="ar-SA"/>
        </w:rPr>
        <w:t>). On October 18, 2007, the Court of Appeal overturned that decision on the basis that the learned summary trial judge made a factual error and directed the action be returned to this Court for trial (</w:t>
      </w:r>
      <w:r>
        <w:rPr>
          <w:rFonts w:ascii="arial" w:eastAsia="arial" w:hAnsi="arial" w:cs="arial"/>
          <w:i/>
          <w:color w:val="000000"/>
          <w:sz w:val="20"/>
          <w:lang w:val="en-US" w:eastAsia="en-US" w:bidi="ar-SA"/>
        </w:rPr>
        <w:t>Schray v. Jim Pattison Industries Ltd.</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2007 BCCA 514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defendants now bring a "stream-lined" version of the same application that recognizes if there was water on the floor, and if that was the cause of the plaintiff's slip and fall, those matters are not appropriately resolved by a summary trial application. Thus, in the present application they ask the Court to assume there was water on the floor of the Store and that it caused the plaintiff to slip and fall. However, the defendants submit they had in place a reasonable system of inspection and maintenance ("maintenance system") that fully discharges the standard of care required of them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On that basis, they seek a dismissal of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submits that the affidavit evidence filed on behalf of the defendants is incomplete and contains a conflict as to what inspection of the front-end department of the Store actually took place around 9:30 a.m. on the morning in question. This conflict arises from the two key affidavits of Store employees: Mr. Heggie, the manager, and Ms. Wright, whose job was to regularly inspect and clean the floors. The plaintiff submits that given the contradictory evidence and the inference that may be drawn that Ms. Wright did not follow the Store's policy and procedure of logging her inspections immediately after she performed them, in particular with regards to her alleged 9:30 a.m. inspection, it would be unjust to dismiss the plaintiff's action without permitting the conflicts in the evidence to be tested in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evidence discloses that the plaintiff fell very close to 9:30 a.m. on February 19, 2002, in the front-end of the Store by a till, when her left foot slipped and she fell to the floor, injuring her right shoulder. Evidence about the plaintiff's fall and its approximate time is contained in a number of affidavits. The time of the fall is noted by Mr. Heggie on the Store's notice of accident form as 9:35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following portions of Mr. Heggie's affidavit briefly set out his involvement with the plaintiff at the time, his observations about the area where she fell, his practice in terms of looking out for hazards in the store, and details about the "sweep log" and the practice and procedures in relation to the inspections of the Store's floors and their documentation:</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or about 9:35 a.m., I attended to the Plaintiff who had fallen in the Store. Attached as Exhibit "A" to this my Affidavit is a true copy of the "Notice of Accident Form", which consists of two pages, that I completed upon or shortly after my attendance to the Plaintiff.</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I note on the second page of the above-mentioned Form marked as Exhibit A, I myself had walked by the area in which the Plaintiff fell numerous times from 9am until the incident occurred. It is my invariable practice to always be on the lookout for hazards to customers [sic] safety, including items on the floor, whenever I am moving about the store. From 9am until the incident occurred at or about 9:30 a.m., the floor was dry and clear of debris.</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Store Manager, after an incident such as this occurs, it is my responsibility to fill out the above-noted Form, and attach any related documents. One of the documents I attached to the Form above was the Sweep Log for the area in question. The Sweep Log is a document that is completed and kept in the ordinary course of a business day at the Store. I immediately obtained this document from its storage location and made a copy of it to be attached to the Notice of Accident form. I then put the Sweep Log back in its storage location. It is because of this procedure that this form does not have any entries beyond 9:00 a.m. Attached as Exhibit "B" to this my Affidavit is a true copy of that Sweep Log. On the face of the document, I understand that Carole Wright had inspected the area at 8:00 a.m., 8:30 a.m. and 9:00 a.m. It is mandatory, and in the ordinary course of a business day at the Store, that a clerk, who is assigned the responsibility to inspect the floor area of a particular area or department, mark and record in the Sweep Log the findings and results of their half-hourly inspections, immediately subsequent to such inspections, on a Sweep Log from such as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wrote the following additional comment on the notice of accident form: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follow up to the first page, till #15 is located near our front cash office which is our main mail pickup and I myself had been by that area numerous times from 9 a.m. until the incident occurred. The floor was dry and clear of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Heggie attached to his affidavit the copy of the sweep log he made shortly after the incident, which shows Ms. Wright having made entries in relation to her "sweeps" at 8:00 a.m., 8:30 a.m. and 9:00 a.m. that morning. At the time when Mr. Heggie obtained the original sweep log, copied it, and then replaced it, there was no entry for 9:30 a.m., as might have been anticipated to be made by Ms. Wright; and no entries for any subsequent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Wright, employed as a general clerk in the Store, was charged on that day with the responsibility to inspect and sweep or mop the front area of the Store and to note the times she did so. In her affidavit she deposed the following:</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19, 2002, at or about 9:30 a.m., I was working nearby the location of the Plaintiff's fall. On that day, it was one of my responsibilities to inspect and sweep and/or mop the floor areas at the front-end of the store and to make notations on our Sweep Log that the floor in that area was, in fact, inspected and swept and/or mopped. At all times while completing such an inspection, I normally carry either a broom or a mop in order to attend to any debris or moisture I might discover. The "front-end" area of the store includes the two north and south entrances, the floor space in between those entrances, and the area of floor in and around the tills; the "front-end" area for which I was responsible extends to the front of the cosmetics/pharmacy department, the photo shop, and in and around the service desk. The "front-end" of the store includes the area in which the Plaintiff fell on February 19, 2002. [...]</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morning in question, I performed inspections and sweeps and/or mops of the front-end of the Store on a half-hourly basis commencing at 8:00 a.m. and ending at approximately 4:00 p.m., the end of my shift. My name appears beside each of those times on the Sweep Log, indicating that I performed inspections and sweeps at those times. It is my understanding that the Plaintiff's fall happened shortly after 9:30 a.m. in the morning. The entries beside my name in the Sweep Log indicate that I performed an inspection of the area at 9:00 a.m., 9:30 a.m., and 10:00 a.m. I did not discover any debris or moisture on the floor in the area that the Plaintiff fell during those times. If I had found any sort of debris or moisture, it would have been my custom to post a warning sign and then commence a clean-up. [...]</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was raining that day, and it is my understanding that it was, I would be especially diligent in closely inspecting or scrutinizing the store area to ensure that not only was there no debris or pooling water, but that there was even no moisture on the floor.</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understanding that the Plaintiff's fall occurred a short time after I had done my floor inspection and sweep and/or mop at 9:30 a.m., which would have included the area around till number 15. It is my understanding that till number 15 is the general area in which the Plaintiff fell.</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my knowledge and recollection, the floor area where the Plaintiff fell was dry before, at the time of the fall, and afterwards when I checked it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copy of the sweep log that she appended to her affidavit for the same date shows entries by her every half hour from 8:00 a.m. through 4:00 p.m. on February 19, 2002, including an entry for 9:30 a.m., the approximate time of the plaintiff's slip and fall, and therefore is "at odds" with the same sweep log copied by Mr. Heggie.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agreed before me, as was found by the judge in the earlier application, the sweep log produced by Ms. Wright with entries subsequent to 9:00 a.m. is not admissible as a business record on behalf of the defendants to establish that those sweeps were performed. This is because the sweep log copied by Mr. Heggie shortly after the plaintiff's fall did not include Ms. Wright's entry for 9:30 a.m., or any for later that day. As such, the most reasonable inference to be drawn is that Ms. Wright filled in the entry pertaining to the 9:30 sweep sometime later, and therefore the sweep log as appended to her affidavit that shows her entries on the half hour from 8:00 a.m. to 4:00 p.m. may not properly be regarded as contemporaneous to the inspection and sweep she deposes to have performed at 9:30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Thus, the evidence of Ms. Wright's inspections and sweeps of the floor in the front-end department of the Store indicates her last recorded sweep was at 9:00 a.m. on February 19, 2002. In addition, she deposes to having done "my floor inspection and sweep and/or mop at 9:30" of the area that included where the plaintiff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Counsel for the defendants reminds the Court that although it is the defendants' application, the onus remains on the plaintiff to prove her case on a balance of probabilities. He submits that the plaintiff is unable to establish that the defendants failed to take reasonable care to ensure that the Store's premises were safe, and therefore, her action ought properly to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Counsel for the plaintiff agrees that the factual issues of whether there was water on the floor of the Store, and if so, did it cause the plaintiff to slip and fall, are not suitable for determination by way of a Rule 18A application. He concedes that the affidavits of Mr. Heggie and Ms. Wright show that the Store had a maintenance system in place, but submits the available evidence does not show that the system was being followed on the day of the accident. If it had been, he submits that Ms. Wright's notation as to her 9:30 a.m. inspection would have appeared on the sweep log when Mr. Heggie collected and photocopied it, shortly after the time of the accident that he noted as 9:35 a.m. This is particularly so as it is reasonable to assume that Mr. Heggie took some time to deal with the plaintiff before filling in the form and going to get the sweep log to 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such, counsel for the plaintiff submits the evidence of Mr. Heggie and Ms. Wright is not consistent, and it was this apparent contradiction combined with the prior judge's misapprehension of the requirement of the maintenance program that sweeps be logged immediately, that gave rise to the Court of Appeal finding that the judge had erred, thus ordering that matter be returned to this Court for trial. In the latter regard, he submits that the comments of the Court of Appeal ought to be interpreted to preclude a further dismissal of the plaintiff's action by way of a summary judgment, although he does not submit that the defendants now require leave of the court pursuant to Rule 18A(12) to bring the present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Reasons of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will first address the submission on behalf of the plaintiff that when the Court of Appeal directed this action be returned to this Court for trial, the direction ought to be interpreted to preclude a further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brief oral reasons of the Court of Appeal delivered by Mackenzie J.A. (concurred in by Chaisson J.A. and Tysoe J.A.)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w:t>
      </w:r>
      <w:r>
        <w:rPr>
          <w:rFonts w:ascii="arial" w:eastAsia="arial" w:hAnsi="arial" w:cs="arial"/>
          <w:b/>
          <w:color w:val="000000"/>
          <w:sz w:val="20"/>
          <w:lang w:val="en-US" w:eastAsia="en-US" w:bidi="ar-SA"/>
        </w:rPr>
        <w:t>MACKENZIE, J.A.</w:t>
      </w:r>
      <w:r>
        <w:rPr>
          <w:rFonts w:ascii="arial" w:eastAsia="arial" w:hAnsi="arial" w:cs="arial"/>
          <w:color w:val="000000"/>
          <w:sz w:val="20"/>
          <w:lang w:val="en-US" w:eastAsia="en-US" w:bidi="ar-SA"/>
        </w:rPr>
        <w:t xml:space="preserve">: This is an appeal from a summary judgment under Rule 18A dismissing the appellant's claim for damages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and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personal injuries suffered when she slipped and fell in a Save-On-Foods store operated by the respondent, Jim Pattison Industries Ltd., on 19 February 2002. I have concluded for the reasons that follow that the appeal must be allowed and the case returned to the Supreme Court for trial. The facts are contested and I intend to refer to the evidence only to the extent necessary to decide the issue before 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70 year old appellant, Elsie Hilda Schray, fell in an area inside the store entrance referred to in the respondent's records as the front-end. She alleges that the cause of her fall was water on the floor and that the respondent failed to take reasonable care to implement a reasonable inspection and maintenance system. The summary trial judge concluded that on the affidavit evidence and exhibits before her that she could not determine whether there was water on the floor which caused the appellant's fall. She decided, however, that if the appellant's fall was caused by water on the floor "[the appellant's] claim cannot succeed in light of the uncontradicted evidence as to the defendants' reasonable system of inspection and sweeping of the area where she fell. Whether or not water on the floor caused Ms. Schray's fall, she fails to establish that the defendants did not take reasonable care for her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She amplified the reasons for her conclusions later in her reasons: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Mr. Taylor submits that the evidence as a whole therefore discloses a conflict between Ms. Wright's affidavit evidence that she performed half-hourly sweeps throughout the day, and the documentary evidence (through the Sweep Log appended to Mr. Heggie's affidavit running through to and including 9:00 a.m.) that by inference she did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perform a sweep at 9:30 a.m.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I do not agree. The fact that a 9:30 a.m. sweep is not recorded on the admitted business record does not in the circumstances undermine the reliability of Ms. Wright's affidavit evidence that she performed that sweep. </w:t>
      </w:r>
      <w:r>
        <w:rPr>
          <w:rFonts w:ascii="arial" w:eastAsia="arial" w:hAnsi="arial" w:cs="arial"/>
          <w:color w:val="000000"/>
          <w:sz w:val="20"/>
          <w:u w:val="single"/>
          <w:lang w:val="en-US" w:eastAsia="en-US" w:bidi="ar-SA"/>
        </w:rPr>
        <w:t>There is no evidence to suggest that policy or customary practice required her to record the sweep immediately after she had performed it;</w:t>
      </w:r>
      <w:r>
        <w:rPr>
          <w:rFonts w:ascii="arial" w:eastAsia="arial" w:hAnsi="arial" w:cs="arial"/>
          <w:color w:val="000000"/>
          <w:sz w:val="20"/>
          <w:lang w:val="en-US" w:eastAsia="en-US" w:bidi="ar-SA"/>
        </w:rPr>
        <w:t xml:space="preserve"> I note also that there has been no application to cross-examine Ms. Wright or any other of the defendants' witnesses in this or any other area. Furthermore, the fact that the admitted business record shows regular half-hourly sweeps through to 9:00 a.m. provides support to Ms. Wright's affidavit evidence that she was performing regular sweeps throughout the day.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[underlining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Counsel are agreed that the underlined passage is in error and that the policy did require that the entry in the sweep log be made immediately after the sweep was performed. The fact that the log as copied by Mr. Heggie, the store manager, shortly after the fall and appended to the accident report, did not record a 9:30 sweep may raise a doubt that a sweep was performed before the accident at 9:30 as later recorded by the sweeper, Ms. Wright.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While the summary trial judge did not rely exclusively on the sweep log practice in reaching her decision that a sweep was made at or about 9:30, it clearly influenced her conclusion that Ms. Wright followed the practice laid down by the store's maintenance system and that she had not observed water on the floor in the course of a sweep within a few minutes before the accident. The evidence of other witnesses was conflicting as to whether there was water on the floor at the time of the accident and the summary trial judge concluded that the presence or absence of water could not be determined on the affidavit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The summary trial judge also concluded that sweeps as frequent as half-hourly were not required to meet the standard of a reasonable inspection system. However, half-hour sweeps were mandated by the respondent's system and the question whether it can rely on a less exacting standard in the circumstances should be left for further consideration.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In my view, the factual error undermines the conclusion of the summary trial judge to an extent that the judgment cannot be sustained. I would allow the appeal, direct that the order dismissing the action be set aside, and the action be returned to the Supreme Court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do not interpret these reasons to preclude the defendants bringing a second Rule 18A on essentially the same basis, as a "trial" in this Court properly includes a summary trial. However, it is possible that this further application may attract similar or other difficulties in terms of the defendants satisfying the Court a dismissal of the plaintiff's action is indeed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agree that the prior summary trial judge set out the correct law in the previous application at paras. 5-10,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The duties of an occupier are set out in s.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 occupier whenever a person is injured on the premises. To establish liability, a plaintiff must point to "some act (or some failure to act) on the part of the occupier which caused the [plaintiff's] injury": </w:t>
      </w:r>
      <w:r>
        <w:rPr>
          <w:rFonts w:ascii="arial" w:eastAsia="arial" w:hAnsi="arial" w:cs="arial"/>
          <w:i/>
          <w:color w:val="000000"/>
          <w:sz w:val="20"/>
          <w:lang w:val="en-US" w:eastAsia="en-US" w:bidi="ar-SA"/>
        </w:rPr>
        <w:t>Bauman v. Stein</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at 127 (B.C.C.A.).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A similar test applies under the common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An occupier's duty of care does not require the occupier to remove every possibility of danger. The test is one of reasonableness, not perfection. Thus, an occupier may avoid liability if it establishes that it had in place a reasonable system of inspection: </w:t>
      </w:r>
      <w:r>
        <w:rPr>
          <w:rFonts w:ascii="arial" w:eastAsia="arial" w:hAnsi="arial" w:cs="arial"/>
          <w:i/>
          <w:color w:val="000000"/>
          <w:sz w:val="20"/>
          <w:lang w:val="en-US" w:eastAsia="en-US" w:bidi="ar-SA"/>
        </w:rPr>
        <w:t>Carlson v. Canada Safeway Ltd.</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(1983), 47 B.C.L.R. 252</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plaintiff also bears the burden of proving that the hazard in question caused the injury: </w:t>
      </w:r>
      <w:r>
        <w:rPr>
          <w:rFonts w:ascii="arial" w:eastAsia="arial" w:hAnsi="arial" w:cs="arial"/>
          <w:i/>
          <w:color w:val="000000"/>
          <w:sz w:val="20"/>
          <w:lang w:val="en-US" w:eastAsia="en-US" w:bidi="ar-SA"/>
        </w:rPr>
        <w:t>Keraiff v. Grunerud</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(1990), 43 B.C.L.R. (2d) 228</w:t>
        </w:r>
      </w:hyperlink>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67 D.L.R. (4th) 475</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An occupier's duty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relation to slips and falls in grocery stores was described as follows by Trainor J. in </w:t>
      </w:r>
      <w:r>
        <w:rPr>
          <w:rFonts w:ascii="arial" w:eastAsia="arial" w:hAnsi="arial" w:cs="arial"/>
          <w:i/>
          <w:color w:val="000000"/>
          <w:sz w:val="20"/>
          <w:lang w:val="en-US" w:eastAsia="en-US" w:bidi="ar-SA"/>
        </w:rPr>
        <w:t>Rees v. B.C. Place</w:t>
      </w:r>
      <w:r>
        <w:rPr>
          <w:rFonts w:ascii="arial" w:eastAsia="arial" w:hAnsi="arial" w:cs="arial"/>
          <w:color w:val="000000"/>
          <w:sz w:val="20"/>
          <w:lang w:val="en-US" w:eastAsia="en-US" w:bidi="ar-SA"/>
        </w:rPr>
        <w:t xml:space="preserve"> (25 November 1986), Vancouver C850843 (B.C.S.C.) (quoted with approval by Hutcheon J.A. in </w:t>
      </w:r>
      <w:r>
        <w:rPr>
          <w:rFonts w:ascii="arial" w:eastAsia="arial" w:hAnsi="arial" w:cs="arial"/>
          <w:i/>
          <w:color w:val="000000"/>
          <w:sz w:val="20"/>
          <w:lang w:val="en-US" w:eastAsia="en-US" w:bidi="ar-SA"/>
        </w:rPr>
        <w:t>Coulson v. Canada Safeway Ltd</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(1988), 32 B.C.L.R. (2d) 212</w:t>
        </w:r>
      </w:hyperlink>
      <w:r>
        <w:rPr>
          <w:rFonts w:ascii="arial" w:eastAsia="arial" w:hAnsi="arial" w:cs="arial"/>
          <w:color w:val="000000"/>
          <w:sz w:val="20"/>
          <w:lang w:val="en-US" w:eastAsia="en-US" w:bidi="ar-SA"/>
        </w:rPr>
        <w:t xml:space="preserve"> at 214, </w:t>
      </w:r>
      <w:hyperlink r:id="rId168" w:history="1">
        <w:r>
          <w:rPr>
            <w:rFonts w:ascii="arial" w:eastAsia="arial" w:hAnsi="arial" w:cs="arial"/>
            <w:i/>
            <w:color w:val="0077CC"/>
            <w:sz w:val="20"/>
            <w:u w:val="single"/>
            <w:shd w:val="clear" w:color="auto" w:fill="FFFFFF"/>
            <w:lang w:val="en-US" w:eastAsia="en-US" w:bidi="ar-SA"/>
          </w:rPr>
          <w:t>[1989] 2 W.W.R. 264</w:t>
        </w:r>
      </w:hyperlink>
      <w:r>
        <w:rPr>
          <w:rFonts w:ascii="arial" w:eastAsia="arial" w:hAnsi="arial" w:cs="arial"/>
          <w:color w:val="000000"/>
          <w:sz w:val="20"/>
          <w:lang w:val="en-US" w:eastAsia="en-US" w:bidi="ar-SA"/>
        </w:rPr>
        <w:t xml:space="preserve">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proceedings are brought under the Occupier's Liability Act and that Act provides that an occupier has a duty to take that care that is reasonable in all the circumstances of the case to see that a person, in using the premises, will be reasonably safe.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requirement to satisfy that obligation is to take the kind of steps that were taken by the Defendants here to put into place a system to safeguard against dangerous substances being allowed to remain on the surface of the concourse. </w:t>
      </w:r>
      <w:r>
        <w:rPr>
          <w:rFonts w:ascii="arial" w:eastAsia="arial" w:hAnsi="arial" w:cs="arial"/>
          <w:color w:val="000000"/>
          <w:sz w:val="20"/>
          <w:u w:val="single"/>
          <w:lang w:val="en-US" w:eastAsia="en-US" w:bidi="ar-SA"/>
        </w:rPr>
        <w:t>And then secondly to be sure that there was compliance by the people who were carrying out that responsibility with the system in place.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Application to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relation to the first requirement referred to above, the law is clear with regards to the adequacy of an occupier's maintenance system. What may be held to be reasonable varies with the number of people likely to pass through a particular area of a store or other place into which an occupier invites the public and the hazards that may accrue in such an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in the present case have a maintenance system in place in the Store where the plaintiff slipped. The case law suggests that a maintenance system that requires regular inspections or sweeps of the floors, in this case on the half hour during business hours, to safeguard shoppers from slipping and falling due to the presence of water or other items, is likely to be found to meet the standard of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support for a dismissal of the plaintiff's action under Rule 18A, counsel for the defendants relies in particular on </w:t>
      </w:r>
      <w:r>
        <w:rPr>
          <w:rFonts w:ascii="arial" w:eastAsia="arial" w:hAnsi="arial" w:cs="arial"/>
          <w:i/>
          <w:color w:val="000000"/>
          <w:sz w:val="20"/>
          <w:lang w:val="en-US" w:eastAsia="en-US" w:bidi="ar-SA"/>
        </w:rPr>
        <w:t>Crudo v. Westfair Foods Ltd.</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2005 BCSC 320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Crudo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Gryschuk v. Westfair Foods Ltd.</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[1999] B.C.J. No. 302</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Gryschuk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Crudo</w:t>
      </w:r>
      <w:r>
        <w:rPr>
          <w:rFonts w:ascii="arial" w:eastAsia="arial" w:hAnsi="arial" w:cs="arial"/>
          <w:color w:val="000000"/>
          <w:sz w:val="20"/>
          <w:lang w:val="en-US" w:eastAsia="en-US" w:bidi="ar-SA"/>
        </w:rPr>
        <w:t>, the plaintiff fell near the entrance of the store on a rainy day. It was not established that water or debris on the floor caused her fall. The defendant had a maintenance system in place whereby they used mats at the entrances, required staff and management to be on the lookout for hazards in the store, and conducted inspections of the front-end of the store on an hourly basis and of the beauty department every two hours. Loo J. found, at paras. 21-22 "that there was no water on the floor where Mrs. Crudo slipped and fell" and even if there was water on the floor that "the defendant met the requisite standard of care required of it under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Gryschuk</w:t>
      </w:r>
      <w:r>
        <w:rPr>
          <w:rFonts w:ascii="arial" w:eastAsia="arial" w:hAnsi="arial" w:cs="arial"/>
          <w:color w:val="000000"/>
          <w:sz w:val="20"/>
          <w:lang w:val="en-US" w:eastAsia="en-US" w:bidi="ar-SA"/>
        </w:rPr>
        <w:t>, the plaintiff slipped and fell on a wilted piece of lettuce. In addition to staff and management being on the lookout for spills, the defendant's regular maintenance system required staff to sweep or mop certain areas of the store more prone to spillage on an hourly basis. Other departments in the store, including the dairy department in which the plaintiff slipped and fell, were on a two hour sweep schedule. After reviewing various details related to the proximity of the dairy department to the produce department, the actual times of the scheduled sweeps, the large size of the store and its maintenance, as well as the potentially thousands of customers coming through the store in any one day, Burnyeat J. found, at para. 18, that "the general sweep of the entire floor of the store including the sweeping of the dairy department at the scheduled times was reasonable in the circumstances" and, at para. 31, that "a general sweep of the store approximately every 2 - 3 hours is reasonable". He also concluded, at para. 31, that "as long as it could be said that a slip did not occur more than 2 hours and 15 minutes to 3 hours and 15 minutes after the last sweep in an area, it cannot be said that the scheme which was in effect that day was unreasonable". Lastly, Burnyeat J. found, at para. 36, based on the evidence before him, "it was reasonable to infer that the maintenance schedule which was in effect was being observed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also note if a maintenance and safety program is found to be reasonable and adequate, a defendant may not logically be found negligent for failing to provide a degree of supervision greater than what the program called for: </w:t>
      </w:r>
      <w:r>
        <w:rPr>
          <w:rFonts w:ascii="arial" w:eastAsia="arial" w:hAnsi="arial" w:cs="arial"/>
          <w:i/>
          <w:color w:val="000000"/>
          <w:sz w:val="20"/>
          <w:lang w:val="en-US" w:eastAsia="en-US" w:bidi="ar-SA"/>
        </w:rPr>
        <w:t>Carlson v. Canada Safeway Limited</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(1983), 47 B.C.L.R. 252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Carlson</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Carlson</w:t>
      </w:r>
      <w:r>
        <w:rPr>
          <w:rFonts w:ascii="arial" w:eastAsia="arial" w:hAnsi="arial" w:cs="arial"/>
          <w:color w:val="000000"/>
          <w:sz w:val="20"/>
          <w:lang w:val="en-US" w:eastAsia="en-US" w:bidi="ar-SA"/>
        </w:rPr>
        <w:t>, the plaintiff slipped on a strawberry in the produce department five minutes before the store closed. The trial judge, in apportioning liability equally between the parties, found the store's maintenance and safety program to be adequate, but also found the defendant partially liable for the plaintiff's fall because no employee was available in the retail area at all times to watch for hazards. The Court of Appeal allowed the appeal and dismissed the action based on a finding, at 255, that it was "inconsistent and illogical to find the defendant negligent for failing to provide a degree of supervision greater than that called for by the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the present case, counsel for the defendants submits that given the defendants in </w:t>
      </w:r>
      <w:r>
        <w:rPr>
          <w:rFonts w:ascii="arial" w:eastAsia="arial" w:hAnsi="arial" w:cs="arial"/>
          <w:i/>
          <w:color w:val="000000"/>
          <w:sz w:val="20"/>
          <w:lang w:val="en-US" w:eastAsia="en-US" w:bidi="ar-SA"/>
        </w:rPr>
        <w:t>Crudo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Gryschuk</w:t>
      </w:r>
      <w:r>
        <w:rPr>
          <w:rFonts w:ascii="arial" w:eastAsia="arial" w:hAnsi="arial" w:cs="arial"/>
          <w:color w:val="000000"/>
          <w:sz w:val="20"/>
          <w:lang w:val="en-US" w:eastAsia="en-US" w:bidi="ar-SA"/>
        </w:rPr>
        <w:t xml:space="preserve"> were found to meet the requisite standard of care with a schedule of inspections less frequent than those called for by the present defendants' maintenance system, by logical inference I ought to find that the plaintiff will be unable to establish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am of the view that the defendants, having a system that required half-hourly sweeps, and then possibly on conflicting evidence from their employees having not met their own standards, seek now to "rely on a less exacting standard in the circumstances", identified by the Court of Appeal at para. 6 of their reasons in this matter. That is an issue that must be dealt with in the context of a full and proper examination of all relevant circumstances at trial. I do not regard that aspect to have been fully argued before me in this application, nor could it have been given the conflicts in the available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also note with respect to this submission that for an occupier to have an adequate, or even an overly rigorous, maintenance program in place is only the first part of the required analysis regarding standard of care referred by Trainor J. in </w:t>
      </w:r>
      <w:r>
        <w:rPr>
          <w:rFonts w:ascii="arial" w:eastAsia="arial" w:hAnsi="arial" w:cs="arial"/>
          <w:i/>
          <w:color w:val="000000"/>
          <w:sz w:val="20"/>
          <w:lang w:val="en-US" w:eastAsia="en-US" w:bidi="ar-SA"/>
        </w:rPr>
        <w:t>Rees v. B.C. Place</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[1986] B.C.J. No. 2594</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Rees</w:t>
      </w:r>
      <w:r>
        <w:rPr>
          <w:rFonts w:ascii="arial" w:eastAsia="arial" w:hAnsi="arial" w:cs="arial"/>
          <w:color w:val="000000"/>
          <w:sz w:val="20"/>
          <w:lang w:val="en-US" w:eastAsia="en-US" w:bidi="ar-SA"/>
        </w:rPr>
        <w:t xml:space="preserve">], cited with approval by Hutcheon J.A. in </w:t>
      </w:r>
      <w:r>
        <w:rPr>
          <w:rFonts w:ascii="arial" w:eastAsia="arial" w:hAnsi="arial" w:cs="arial"/>
          <w:i/>
          <w:color w:val="000000"/>
          <w:sz w:val="20"/>
          <w:lang w:val="en-US" w:eastAsia="en-US" w:bidi="ar-SA"/>
        </w:rPr>
        <w:t>Coulson v. Canada Safeway Ltd</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(1988), 32 B.C.L.R. (2d) 212</w:t>
        </w:r>
      </w:hyperlink>
      <w:r>
        <w:rPr>
          <w:rFonts w:ascii="arial" w:eastAsia="arial" w:hAnsi="arial" w:cs="arial"/>
          <w:color w:val="000000"/>
          <w:sz w:val="20"/>
          <w:lang w:val="en-US" w:eastAsia="en-US" w:bidi="ar-SA"/>
        </w:rPr>
        <w:t xml:space="preserve"> at 214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second requirement referred to in </w:t>
      </w:r>
      <w:r>
        <w:rPr>
          <w:rFonts w:ascii="arial" w:eastAsia="arial" w:hAnsi="arial" w:cs="arial"/>
          <w:i/>
          <w:color w:val="000000"/>
          <w:sz w:val="20"/>
          <w:lang w:val="en-US" w:eastAsia="en-US" w:bidi="ar-SA"/>
        </w:rPr>
        <w:t>Rees</w:t>
      </w:r>
      <w:r>
        <w:rPr>
          <w:rFonts w:ascii="arial" w:eastAsia="arial" w:hAnsi="arial" w:cs="arial"/>
          <w:color w:val="000000"/>
          <w:sz w:val="20"/>
          <w:lang w:val="en-US" w:eastAsia="en-US" w:bidi="ar-SA"/>
        </w:rPr>
        <w:t xml:space="preserve"> relates to whether there was compliance by those charged with meeting the requirements of the maintenance system. It is the issue of compliance with the maintenance system that gives rise to the apparent conflict in evidence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was noted in the reasons of the Court of Appeal, the fact that the sweep log does not record a 9:30 a.m. sweep by Ms. Wright may raise a doubt that the sweep was in fact performed at 9:30, before the plaintiff's fall, as was required by the maintenance system in effect. The potential inconsistency between Ms. Wright's testimony regarding the sweep she claims to have made at 9:30 a.m. and the requirements of the maintenance system that included she record her sweep "immediately," in light of the sweep log copied by Mr. Heggie, require a determination via the trial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well, I am of the view that the weight to be attached to the more general statements in the affidavit of Mr. Heggie as to his frequent walks through the area where the plaintiff fell and his "invariable practice to be on the lookout for hazards to customers' safety, including items on the floor" also invite testing through the trial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do not regard this case to fall within the parameters of </w:t>
      </w:r>
      <w:r>
        <w:rPr>
          <w:rFonts w:ascii="arial" w:eastAsia="arial" w:hAnsi="arial" w:cs="arial"/>
          <w:i/>
          <w:color w:val="000000"/>
          <w:sz w:val="20"/>
          <w:lang w:val="en-US" w:eastAsia="en-US" w:bidi="ar-SA"/>
        </w:rPr>
        <w:t>Anglo Canadian Shipping Co. v. Pulp, Paper &amp; Woodworkers of Canada</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(1988), 27 B.C.L.R. (2d) 378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Anglo</w:t>
      </w:r>
      <w:r>
        <w:rPr>
          <w:rFonts w:ascii="arial" w:eastAsia="arial" w:hAnsi="arial" w:cs="arial"/>
          <w:color w:val="000000"/>
          <w:sz w:val="20"/>
          <w:lang w:val="en-US" w:eastAsia="en-US" w:bidi="ar-SA"/>
        </w:rPr>
        <w:t xml:space="preserve">] because it cannot be said that the plaintiff as the party opposing the summary trial application has frustrated the procedure contemplated by Rule 18A. Given the particular history of this matter and the reasons of the Court of Appeal, the plaintiff has had very legitimate grounds upon which to resist the present application; grounds that do not include delaying or failing to invoke pre-trial procedures to explore relevant facts, as described at para. 20 of </w:t>
      </w:r>
      <w:r>
        <w:rPr>
          <w:rFonts w:ascii="arial" w:eastAsia="arial" w:hAnsi="arial" w:cs="arial"/>
          <w:i/>
          <w:color w:val="000000"/>
          <w:sz w:val="20"/>
          <w:lang w:val="en-US" w:eastAsia="en-US" w:bidi="ar-SA"/>
        </w:rPr>
        <w:t>Anglo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Furthermore, given the history of this matter and the nature of the evidentiary records upon which it is based, I am of the view that it would not be appropriate to adjourn the application and direct cross-examination on certain affidavits as is warranted in some cases and discussed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There comes a point when such a process becomes more cumbersome than the trial it is designed to replace and this is likely one such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fact, a review of the cases provided on behalf of the defendants that deal specifically with occupier's liability issues, as opposed to those dealing with procedural aspects of Rule 18A, indicate that all but one arise from trials on the merits as opposed to summary judgments. The exception, </w:t>
      </w:r>
      <w:r>
        <w:rPr>
          <w:rFonts w:ascii="arial" w:eastAsia="arial" w:hAnsi="arial" w:cs="arial"/>
          <w:i/>
          <w:color w:val="000000"/>
          <w:sz w:val="20"/>
          <w:lang w:val="en-US" w:eastAsia="en-US" w:bidi="ar-SA"/>
        </w:rPr>
        <w:t>Lamont v. Westfair Properties (Pacific) Ltd.</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2000 BCSC 406</w:t>
        </w:r>
      </w:hyperlink>
      <w:r>
        <w:rPr>
          <w:rFonts w:ascii="arial" w:eastAsia="arial" w:hAnsi="arial" w:cs="arial"/>
          <w:color w:val="000000"/>
          <w:sz w:val="20"/>
          <w:lang w:val="en-US" w:eastAsia="en-US" w:bidi="ar-SA"/>
        </w:rPr>
        <w:t>, is factually distinguishable in light of the finding by McEwan J. at para. 16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I have not exhaustively recounted the evidence, I am satisfied that the defendant has proved that throughout the store there were systems in place to periodically sweep the floors of debris and spillages. I am further satisfied that in the relevant area of the store, the front end, the defendant has established overlapping systems of inspection </w:t>
      </w:r>
      <w:r>
        <w:rPr>
          <w:rFonts w:ascii="arial" w:eastAsia="arial" w:hAnsi="arial" w:cs="arial"/>
          <w:color w:val="000000"/>
          <w:sz w:val="20"/>
          <w:u w:val="single"/>
          <w:lang w:val="en-US" w:eastAsia="en-US" w:bidi="ar-SA"/>
        </w:rPr>
        <w:t>at the relevant time and date.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latter comment as it relates to compliance with a maintenance system may not properly be made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Therefore, I decline to dismiss the plaintiff's action against the defendants in light of the particular factual circumstances of this application viewed in the context of the 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For these reasons the defendants' application for a dismissal of the action brought by the plaintiff is denied. The plaintiff is entitled to costs at Scale B payable by the defendants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E.A. ARNOLD-BAILEY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3"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Simon v. Piercey, [2001] B.C.J. No. 968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Ralph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24 - 26,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7, 2001.</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M000397</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968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679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104 A.C.W.S. (3d) 874</w:t>
      </w:r>
    </w:p>
    <w:p>
      <w:pPr>
        <w:spacing w:before="120" w:line="260" w:lineRule="atLeast"/>
        <w:rPr>
          <w:lang w:val="en-US" w:eastAsia="en-US" w:bidi="ar-SA"/>
        </w:rPr>
      </w:pPr>
      <w:r>
        <w:rPr>
          <w:rFonts w:ascii="arial" w:eastAsia="arial" w:hAnsi="arial" w:cs="arial"/>
          <w:color w:val="000000"/>
          <w:sz w:val="20"/>
          <w:lang w:val="en-US" w:eastAsia="en-US" w:bidi="ar-SA"/>
        </w:rPr>
        <w:t>Between Jean Simon, plaintiff, and Terry Winston Piercey and Terry Winston Piercey,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74" style="position:absolute;z-index:25166848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64" w:name="Keywords_9"/>
      <w:bookmarkEnd w:id="64"/>
      <w:r>
        <w:rPr>
          <w:rFonts w:ascii="arial" w:eastAsia="arial" w:hAnsi="arial" w:cs="arial"/>
          <w:b/>
          <w:color w:val="000000"/>
          <w:sz w:val="20"/>
          <w:lang w:val="en-US" w:eastAsia="en-US" w:bidi="ar-SA"/>
        </w:rPr>
        <w:t>Damage awards — Injury and death — Continuing pain (incl. myofascial and chronic pain syndrome) — General damage awards — Pain and suffering, loss of amenities and other non-pecuniary damages.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65" w:name="Case Summary_8"/>
            <w:bookmarkEnd w:id="6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Simon for general damages for personal injury. The pickup truck driven by Simon was rear-ended by a truck driven by the defendant, Piercey. Simon was 61 years old at the time of trial. Liability was admitted. Immediately after the accident, Simon felt nauseated and in pain. She was provided with pain medication and a cervical collar. Her family doctor prescribed further pain medication and referred her for physiotherapy. She was unable to do housework, cooking, gardening, driving or social activities. In January 1999, a year after the accident, a neurologist found no evidence of nerve injury. A rheumatologist referred by her family doctor diagnosed chronic myofascial pain syndrome focused at the neck and upper back with generalized musculoskeletal pain. A second rheumatologist conducted an independent medical examination and concluded that Simon sustained a mild to moderate musculoligamentous injury of the cervical spine. Simon had been injured in three previous accidents in 1985, 1986 and 1991, but claimed that her symptoms developed after the 1998 accident. </w:t>
            </w:r>
            <w:r>
              <w:rPr>
                <w:lang w:val="en-US" w:eastAsia="en-US" w:bidi="ar-SA"/>
              </w:rPr>
              <w:cr/>
            </w:r>
          </w:p>
          <w:p>
            <w:pPr>
              <w:spacing w:before="120" w:line="260" w:lineRule="atLeast"/>
              <w:ind w:left="240"/>
              <w:jc w:val="both"/>
              <w:rPr>
                <w:lang w:val="en-US" w:eastAsia="en-US" w:bidi="ar-SA"/>
              </w:rPr>
            </w:pPr>
            <w:bookmarkStart w:id="66" w:name="Holdings of Court_7"/>
            <w:bookmarkEnd w:id="66"/>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Simon was awarded general damages of $40,000. Simon was a truthful witness and did not appear to exaggerate or overstate her condition. She tried to carry out activities in which she engaged before the accident, but continued to experience pain. She suffered from chronic myofascial pain syndrome. There was a reasonable prospect that her condition would continue to improve over time. </w:t>
            </w:r>
            <w:r>
              <w:rPr>
                <w:lang w:val="en-US" w:eastAsia="en-US" w:bidi="ar-SA"/>
              </w:rPr>
              <w:cr/>
            </w:r>
          </w:p>
          <w:p>
            <w:pPr>
              <w:rPr>
                <w:lang w:val="en-US" w:eastAsia="en-US" w:bidi="ar-SA"/>
              </w:rPr>
            </w:pPr>
          </w:p>
        </w:tc>
      </w:tr>
    </w:tbl>
    <w:p>
      <w:pPr>
        <w:jc w:val="both"/>
        <w:rPr>
          <w:lang w:val="en-US" w:eastAsia="en-US" w:bidi="ar-SA"/>
        </w:rPr>
      </w:pPr>
      <w:bookmarkStart w:id="67" w:name="Counsel_9"/>
      <w:bookmarkEnd w:id="6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75" style="position:absolute;z-index:2517196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Karen E. Munro, for the plaintiff. Kent Sanderson, for the defendants.</w:t>
      </w:r>
      <w:r>
        <w:rPr>
          <w:lang w:val="en-US" w:eastAsia="en-US" w:bidi="ar-SA"/>
        </w:rPr>
        <w:cr/>
      </w:r>
    </w:p>
    <w:p>
      <w:pPr>
        <w:spacing w:after="240"/>
        <w:rPr>
          <w:lang w:val="en-US" w:eastAsia="en-US" w:bidi="ar-SA"/>
        </w:rPr>
      </w:pPr>
      <w:bookmarkStart w:id="68" w:name="Judgment_9"/>
      <w:bookmarkEnd w:id="68"/>
      <w:r>
        <w:pict>
          <v:line id="_x0000_s1076" style="position:absolute;z-index:25177088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69" w:name="RALPH J."/>
            <w:bookmarkEnd w:id="69"/>
            <w:r>
              <w:rPr>
                <w:rFonts w:ascii="arial" w:eastAsia="arial" w:hAnsi="arial" w:cs="arial"/>
                <w:b/>
                <w:color w:val="000000"/>
                <w:sz w:val="30"/>
                <w:lang w:val="en-US" w:eastAsia="en-US" w:bidi="ar-SA"/>
              </w:rPr>
              <w:t>RALPH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Shortly after midnight on January 31, 1998, the plaintiff, Mrs. Simon, was injured in a motor vehicle accident near the intersection of 20th Avenue and 140th Street in Surrey. The pick-up truck she was driving was rear-ended by a truck driven by the first defendant, Mr. Piercey, and owned by the second. Liability for the accident is not in issue but it is necessary to assess the damages suffered by Mrs. Simon in the accident. Mrs. Simon is now 61 years old and retired and it is her evidence that she continues to suffer from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force of the collision caused damage to the bumper and the tailgate of Mrs. Simon's vehicle and the bench seat on which she was sitting was broken. The total cost of repairs was approximately $800.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Immediately after the accident Mrs. Simon felt nauseated and in pain. She was taken to hospital by ambulance and was released approximately three hours later. She was provided with pain medication and a cervical collar.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She saw her family doctor three days later. He prescribed further pain medication and referred her for physiotherapy. Mrs. Simon received 50 physiotherapy treatments over the next eight months. She continued to experience pain and a burning sensation in her head, neck and back and it is her evidence that these problems continue today.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Mrs. Simon's activities became restricted and she was unable to carry out housework, cooking, gardening, driving and social activities. Her husband carried out some of the housework and cooking and a friend assisted with other duties.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She continued to see Dr. Scott, her family doctor, with complaints about continuing pain in her neck, shoulders, arms and hands. In January 1999 Dr. Scott referred Mrs. Simon to Dr. Eisen, a neurologist, for electrodiagnostic studies. Dr. Eisen found her nerve conduction studies to be normal and found no electrophysiological evidence of any nerve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Because of the greater than average difficulty Mrs. Simon was experiencing following the accident, Dr. Scott referred her to Dr. Yorke, a rheumatologist. Dr. Yorke saw Mrs. Simon on March 24, April 7, July 12, and November 24, 1999. To determine whether Mrs. Simon had suffered a cervical disc lesion, Dr. Yorke ordered a CT scan of Mrs. Simon. The examination was considered to be normal.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request of the defendants, Dr. Wade, a rheumatologist, also saw Mrs. Simon for an independent medical assessment.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Scott, Dr. Yorke and Dr. Wade have provided written opinions. Dr. Scott saw Mrs. Simon approximately 20 times between February 1999 and November 27, 2000, the date of his opinion letter. He continues to be Mrs. Simon's family doctor. Referring to seeing Mrs. Simon on November 4, 1999, Dr. Scott summarizes his opinion in this manner:</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At this point there were no new signs and symptoms, and she has clearly entered the chronic phase of a post traumatic cervico and upper dorsal sprain, whereby she can expect to experience recurrent pain spasm and restriction of movement secondary to ligamentous and muscular damage whenever there is prolonged non-support to the head and neck as in studying, knitting or from quick, jerky movements of the head and neck.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Scott went on to note that because of the greater than usual degree of difficulty following the accident he saw his role as referring her to the appropriate specialists for their expert assessment and management.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cross-examination Dr. Scott agreed that Mrs. Simon suffered from a chronic right ankle problem unrelated to the accident and that her difficulty in walking was primarily related to that problem. He also agreed that the fiorinal medication taken by Mrs. Simon was first prescribed at least as early as 1994.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noted above, Dr. Yorke saw Mrs. Simon four times between March 1999 and November 2000. His diagnosis of her condition is that she suffers from chronic myofascial pain syndrome focused at the neck and upper back with generalized musculoskeletal pain. Under the heading of "Discussion" in his report Dr. Yorke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While this lady initially fit the diagnosis of fibromyalgia, her presentation at this time with tenderness literally all over her body confuses the issue. It is possible that the fibromyalgia has progressed to involve all of the points of interest, however, such diffuse pain as she manifests does not lead to a confident diagnosis. Dr. Wolfe, the world's leading authority on fibromyalgia has described patients presenting in this fashion as "having something more than fibromyalgia." Such a comment may not be helpful in adjudication of this lady's injuries. It would appear to be better that the diagnosis of fibromyalgia be set aside and rather that Ms. Simon be judged on her own merits as to whether or not she is suffering from a chronic myofascial pain condition. The making of such a diagnosis relies on the accuracy of the self report of the patient. No truly objective measures of testing are available. The accuracy of self report becomes somewhat uncertain when the physical examination demonstrates repeated giving way upon strength testing.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Yorke goes on to say, however, that he has no doubt that Mrs. Simon did suffer a significant injury to her neck which was particularly exacerbated by the fact that her neck was not supported posteriorly in the accident. He anticipates that her complaints will continue into the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cross-examination on his report, Dr. Yorke agreed that the CT scan of Mrs. Simon showed that her cervical spine was normal. Dr. Yorke was asked whether the fact that Mrs. Simon repeatedly gave way on the strength testing made him suspicious of Mrs. Simon's examination. He stated that while this could be one explanation it was also the case that people exhibit pain differently.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was his opinion that Mrs. Simon's post-accident symptoms were not present pre-accident. While agreeing that the finding of 12 tender points out of 18 might make a diagnosis of fibromyalgia "pretty borderline", he affirmed his opinion that Mrs. Simon suffered from a chronic myofascial pain syndrome. He agreed and recognized that the accuracy of self-reporting of pain was such that it has to be approached carefully.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Wade examined Mrs. Simon on January 11, 2001. He also reviewed a number of records including the opinion and records of Dr. Scott and the opinion of Dr. Yorke. In his report Dr. Wade stated that he had also reviewed Mrs. Simon's physiotherapy records back to March 4, 1993, and noted treatment through to May 1993. He observed that the next entry after that date appeared to be on February 5, 1998, with treatment continuing to September 11,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Dr. Wade's opinion Mrs. Simon probably sustained a mild to moderate musculoligamentous injury of the cervical spine in the accident. At page 2 of his letter of January 29, 2001, Dr. Wade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At the present time she has symptoms of mechanical neck pain with decreased range of the cervical spine. She further has symptoms of mechanical back pain and findings of right lumbar facet pain. She has widespread pain in keeping with soft tissue rheumatism or fibromyalgia. She has an equivocal number of tender points on examination but nevertheless would best fit into this diagnostic category.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cross-examination Dr. Wade stated that he had no specific reason to suspect that Mrs. Simon had fibromyalgia in the five-year period before the 1998 accident. In his view, however, it is possible that the 1998 accident could be either a precipitating factor or a contributing factor to the fibromyalgia. It was also his opinion that it was possible that Mrs. Simon would have developed fibromyalgia if she had not been involved in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Mrs. Simon was injured in three previous motor vehicle accidents in 1985, 1986 and 1991. It was Mrs. Simon's evidence, however, that in the five years before her January 1998 accident she had none of the symptoms of which she complains in the present case. It was her evidence that prior to this accident she was an active person. She could drive her car and do her regular shopping. She did a good deal of gardening. She did needlework. She went dancing with her husband two or three times a month. She was active in the Hungarian Club doing cooking for special events and attending Citizenship Court on behalf of the club. She says that she has recovered to the point that she is again able to do some of these things but not to the same extent as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Mrs. Simon says that she has tried driving a car but can do so only for a short distance. She has undertaken some housework but is still unable to do the heavier work. Gardening is limited and causes her considerable pain. Mrs. Simon expressed "disappointment" that she could not keep up her work and that she has to rely on her husband and a friend for things such as driving and shopping that she was able to do on her own prior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Mrs. Simon's husband also gave evidence in the trial. He testified that in the two years before the accident Mrs. Simon had been in good health and had been an active person. He said that following the accident Mrs. Simon was incapable of doing activities she normally did prior to the accident. These included cooking, laundry, ironing, gardening and driving. Mr. and Mrs. Simon were unable to do activities which they had previously done together including walking, shopping and dancing. It was his evidence that, while she now undertakes some of these activities, there has not been a time since the accident when Mrs. Simon has been able to do these and other activities at the pre-accident level.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Only general damages are in issue in this trial. The parties are agreed that special damages amount to $158.10. No other damages are claimed.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Counsel for both parties provided a number of authorities describing what they submit is the appropriate range of general damages in this case. Counsel for the plaintiff says the appropriate range is $45,000-$70,000 with the most similar case in the range finding general damages to be $55,000. Counsel for the defendants says the appropriate range is $17,500-$22,500.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my view the essential difference between the positions of the parties lies in the manner in which they say that the evidence of chronic pain should be treated. The plaintiff submits that its existence has been proven on the balance of probabilities. The defendants submit that the plaintiff has not met her obligation to provide "convincing" evidence of this condition (Price v. Kostryba </w:t>
      </w:r>
      <w:hyperlink r:id="rId182"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Dr. Wade has stated that Mrs. Simon has widespread pain in keeping with fibromyalgia and that while she has an equivocal number of tender points on examination she best fits into this diagnostic category. Dr. Yorke has stated that Mrs. Simon's condition "lacks a physiological explanation at the present time". In his view it would be better that the diagnosis of fibromyalgia be set aside and that Mrs. Simon be "judged on her own merits as to whether or not she is suffering from a chronic myofascial pain condition". On either approach the case must be examined in the light of the principles in Maslen v. Rubenstein </w:t>
      </w:r>
      <w:hyperlink r:id="rId183"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Counsel for the defendants says that the plaintiff is not a fully credible witness. He submits that her credibility is of great importance where the court must rely on her evidence to determine a condition which has few objective criteria. Counsel pointed to Mrs. Simon's denial that she had requested her family doctor to refer her for fitting of orthotics where the doctor's clinical records indicate that Mrs. Simon had made such a request. He also referred to Dr. Scott's report where he stated that on June 23, 1998, Mrs. Simon "allowed that she might be coming around slowly". It was submitted that this phrasing implied an exaggeration of her condition by Mrs. Simon but Dr. Scott did not accept this characterization of his comment.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the defendants also pointed to the absence of psychological evidence in the plaintiff's case. He also noted that Dr. Yorke reported that on his strength testing of Mrs. Simon she repeatedly gave way on the tests.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Recognizing the requirement for convincing evidence of Mrs. Simon's condition, I now turn to that evidence. In my assessment Mrs. Simon was a truthful witness. She appeared to answer questions in a direct manner. She did not appear to exaggerate or overstate her condition. It is probable that the pain she continues to experience is genuinely experienced by her and does not arise from a desire for sympathy, compensation or relaxation of such things as household obligations.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evidence indicated that Mrs. Simon has continued to try to carry out activities in which she engaged before the accident at home and elsewhere. That was supported by the evidence of Mr. Simon, who was not cross-examined on it. Such evidence contributes to a finding that Mrs. Simon could not simply overcome these restrictions by exercising more will-power.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my view the evidence also supports a finding that Mrs. Simon's condition has been caused by the 1998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Turning next to the medical evidence, I note that, while Dr. Wade finds an equivocal number of tender points on examining Mrs. Simon, he concludes that her condition fits best into this diagnostic category of fibromyalgia. He does not refute the evidence of Mrs. Simon.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evidence of Dr. Yorke calls for further comment. Despite his expressed concern about Mrs. Simon giving way on strength testing, Dr. Yorke was firm in adhering to his opinion that Mrs. Simon suffers from a chronic myofascial syndrome. It may appear at first that he was resiling from his position when he stated, "It would appear to be better that the diagnosis of fibromyalgia be set aside and rather that Ms. Simon be judged on her own merits as to whether or not she is suffering from a chronic myofascial pain condition." On my understanding of Dr. Yorke's answers in cross-examination, however, it is clear that Dr. Yorke was drawing a distinction between what was a matter for expert opinion and what was a matter for the court to decide. That distinction was recognized in the observation of Taylor J.A. in Maslen where he stated at p. 135: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moreover, unlikely that medical practitioners can answer, as a matter of expert opinion, the ultimate questions on which these cases often turn. The court must decide for itself the critical issues of credibility and the balance of probabilities between explanations for the plaintiff's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am satisfied that the plaintiff has established on the balance of probabilities that she suffers from a chronic myofascial pain syndrome and that her condition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Turning to general damages, I have noted above the submissions of the parties on the proper range. It is now a little over three years since the accident. Mrs. Simon continues to experience pain in her neck shoulders and upper back which disables or restricts her from some activities and results in a loss of her enjoyment of life. Her condition has improved somewhat since 1998 and the evidence suggests that there are some things she can now do which she was unable to do immediately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Scott left prognosis to the specialists. Dr. Wade did not make a prognosis but did suggest that Mrs. Simon's medications could be adjusted and that she should be encouraged to keep up with general activities of daily living as she is presently doing. Dr. Yorke stated that Mrs. Simon's complaints will likely continue into the future but he was not more specific. He proposed a regular exercise program and a program of cognitive behavioural therapy as offering some potential benefit. I take that to mean that there is some reasonable prospect that Mrs. Simon's condition will continue to improve over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Scott attributes the primary cause of Mrs. Simon's difficulty in walking to the condition of her ankle. This condition was not caused by the accident. In addition Mrs. Simon suffers from pain in her left thumb on which there has been surgery in the past and which is not caused by the accident. As a result, I have not taken either of these conditions into account in assessing Mrs. Simon's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have considered the cases presented by counsel. Some of the cases presented by counsel for the defendant do not involve chronic pain. One finds a lack of convincing evidence of chronic pain. I find the cases presented by counsel for the plaintiff to be somewhat closer to the situation of Mrs. Simon but some present more serious conditions.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Taking these factors into account, I assess general damages at $40,000.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No submissions were made on costs. If counsel are unable to settle this matter, costs may be spoken to.</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RALPH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220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Spencer v. Rozon, [2000] B.C.J. No. 893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Owen-Flood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20 - 24, 27 and 29,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97/2099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893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674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96 A.C.W.S. (3d) 974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Jason Carter Spencer, plaintiff, and Douglas Kevin Rozon, Shane Cowick and Shawn Willman, defendants, and Douglas Kevin Rozon and Shane Cowick,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8"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0" w:name="Keywords_10"/>
      <w:bookmarkEnd w:id="70"/>
      <w:r>
        <w:rPr>
          <w:rFonts w:ascii="arial" w:eastAsia="arial" w:hAnsi="arial" w:cs="arial"/>
          <w:b/>
          <w:color w:val="000000"/>
          <w:sz w:val="20"/>
          <w:lang w:val="en-US" w:eastAsia="en-US" w:bidi="ar-SA"/>
        </w:rPr>
        <w:t>Torts — Trespass — Assault and battery — Joint tortfeasors — What constitutes — Damage awards — Head injuries — Nerve damage — Facial injuries (including scarring) — Psychological injuries — Post traumatic stress disorder — Depression — Damages — Special damages — Delayed entry into work force — Exemplary or punitive damages — Bars, where unnecessary — General damages for personal injury — Pain and suffering.</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1" w:name="Case Summary_9"/>
            <w:bookmarkEnd w:id="7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Spencer against Rozon and others for assault and battery. Spencer and a friend were out at night when they were attacked by Rozon, Cowick and a third person, now deceased. Willman was passed out in the vehicle in which Rozon and Cowick were travelling. Spencer was punched in the face and kicked repeatedly. He suffered a concussion and numbness in the left side of his face. He required surgery for a deviated septum. He also had occasional difficulties breathing. His reading speed was severely diminished and his memory was affected. He initially suffered post traumatic stress disorder, which evolved into a mild depression. At the time of the assault, Spencer was planning to obtain an MBA degree. His marks suffered as a result of the assault and he was unable to obtain the minimum average required. Rozon was married and earned approximately $1,400 per month. Cowick earned approximately the same income.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2" w:name="Holdings of Court_8"/>
            <w:bookmarkEnd w:id="7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Rozon and Cowick engaged in equally vicious conduct, and were liable as joint tortfeasors for assault and battery. Willman was not liable, as he remained in the vehicle throughout the attack and did not participate. Spencer was entitled to special damages, including past wage loss. The injuries inflicted delayed his proposed entry into the MBA program for two years, resulting in a loss of $100,000. The effect of the attack on his overall earning capacity amounted to $10,000. Spencer was also entitled to be reimbursed for twice-monthly psychological counselling sessions for the next year. Nonpecuniary damages were assessed at $75,000 with an additional $25,000 for aggravated damages. No punitive damages were awarded. Although the conduct was malicious, the effect of the damages award on Rozon and Cowick was sufficient to punish their conduct and deter them from similar acts in the future.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3" w:name="Legislation Cited_7"/>
      <w:bookmarkEnd w:id="7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9"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57(18).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91" w:history="1">
        <w:r>
          <w:rPr>
            <w:rFonts w:ascii="arial" w:eastAsia="arial" w:hAnsi="arial" w:cs="arial"/>
            <w:i/>
            <w:color w:val="0077CC"/>
            <w:sz w:val="20"/>
            <w:u w:val="single"/>
            <w:shd w:val="clear" w:color="auto" w:fill="FFFFFF"/>
            <w:lang w:val="en-US" w:eastAsia="en-US" w:bidi="ar-SA"/>
          </w:rPr>
          <w:t>R.S.B.C. 1996, c. 333, ss. 4</w:t>
        </w:r>
      </w:hyperlink>
      <w:r>
        <w:rPr>
          <w:rFonts w:ascii="arial" w:eastAsia="arial" w:hAnsi="arial" w:cs="arial"/>
          <w:color w:val="000000"/>
          <w:sz w:val="20"/>
          <w:lang w:val="en-US" w:eastAsia="en-US" w:bidi="ar-SA"/>
        </w:rPr>
        <w:t>, 4(1), 4(2)(a), 4(2)(b).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4" w:name="Counsel_10"/>
      <w:bookmarkEnd w:id="7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0"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Douglas W. Thompson, for the plaintiff. Mel R. Hunt, for the defendant and third party, Douglas Kevin Rozon. Neil C. Carfra, for the defendant and third party, Shane Cowick.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5" w:name="Judgment_10"/>
      <w:bookmarkEnd w:id="75"/>
      <w:r>
        <w:pict>
          <v:line id="_x0000_s1081" style="position:absolute;z-index:2518231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6" w:name="OWEN-FLOOD J."/>
            <w:bookmarkEnd w:id="76"/>
            <w:r>
              <w:rPr>
                <w:rFonts w:ascii="arial" w:eastAsia="arial" w:hAnsi="arial" w:cs="arial"/>
                <w:b/>
                <w:color w:val="000000"/>
                <w:sz w:val="30"/>
                <w:lang w:val="en-US" w:eastAsia="en-US" w:bidi="ar-SA"/>
              </w:rPr>
              <w:t>OWEN-FLOOD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sues for an assault and battery perpetrated on him in a parking lot below Wharf Street in Victoria, British Columbia. Liability and certain damages are in issue.</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about 2:00 a.m. on 26 May 1995, the plaintiff and his friend Mr. Stacey Krause were intending to return home from an evening of nightclubbing. Between 6:00 p.m. and 8:00 p.m. the plaintiff had consumed one bottle of wine with his dinner, following which he went downtown with Krause. Between 8:30 p.m. and the time of the assault the plaintiff had consumed approximately six beer in various downtown nightclubs. While he had taken drink and was not entirely sober in the strictest sense of the term, nevertheless he was in command of his faculties at 2:00 a.m. on 26 May 1995. The plaintiff's companion, Krause, had had nothing to drink and was stone cold sober.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and Krause had arranged with a friend, one Peter Filus, who works at a downtown club called "Harpo's", to rendezvous at Filus' car parked at the Air B.C. parking lot at the foot of Fort Street, below Wharf Street. Filus was going to drive the plaintiff and Krause to their respective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and Krause were therefore walking across the parking lot, adjoining which was a nightclub called "Merlin's". At that time Merlin's was closed. The plaintiff needed to relieve himself and went to some bushes bordering the parking lot, on the ocean side. Krause waited for him some 30 or 40 feet away. The lighting conditions in the parking area were good. Just after the plaintiff had unzipped his pants, he heard the term "Fag" being shouted. Looking up, all he saw was a dark coloured jeep heading away from him, going up the ramp leading to Wharf Street. At the same instant, the plaintiff heard Krause yell back in response to that epithet, the term "Bitches". I accept the plaintiff's testimony that the jeep stopped and did a rapid U-turn.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find that the defendant Cowick, who was at all material times the owner and driver of the jeep, drove to within 20 to 30 feet of where Krause was standing. In the back of the jeep (which had no top) were William Charters and the defendant Rozon, both of whom jumped out of the jeep. Without any provocation, they proceeded to violently and viciously punch Krause, even though Krause had made it very clear that he did not wish to engage in an altercation with them. The plaintiff immediately went to the assistance of his friend. He too made it plain to the assailants that neither he nor Krause wished to fight. Nevertheless, Charters and Rozon also viciously and violently punched Spencer, as well as kicking him when he fell to the ground. Charters is now deceased and is therefore not a named defendant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Charters and Rozon knocked the plaintiff to the ground. As they did so, the defendant Cowick jumped out of the jeep and joined in the altercation. The three men, Charters, Rozon and Cowick, viciously kicked the prone Spencer in his head and body as a result of which Spencer lost consciousness. The three then returned to the jeep, which Cowick drove away. As far as those three participants from the jeep were concerned, they did not know if Spencer was dead or alive and could not have cared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do not accept the testimony of Rozon and Cowick to the effect that Rozon and Charters got out of the jeep as the jeep stopped on the ramp, immediately prior to it making a U-turn. In refusing to accept that testimony, I am influenced by the fact Rozon and Cowick were each in a state of some intoxication. It was apparent from their testimony that, due to their inebriation, they had difficulty in recalling the precise events of the evening and early morning with any significant degree of accuracy. As the defendant Cowick put it, he was lucky that he was not himself charged with impaired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evidence of the plaintiff, and his companion Krause who was completely sober, was that after the yelling of the vituperatives the jeep turned around on the ramp, drove back down and stopped within some 20 or 30 feet of Krause. It was there that Charters and Rozon jumped from the jeep. I prefer, and accept, the evidence of the plaintiff and Krause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By the same token, I reject the averment by the defendant Cowick that he did not get out of the jeep at any time during the incident and, further, that he did not take any part in any assault or battery on anyone. I reject Cowick's evidence on that, not only because of his intoxicated condition but, more importantly, because his protestations of innocence fly in the face of the testimony of the co-defendant Rozon. Rozon, in his evidence, said that, almost immediately after the first punches thrown by Rozon and Charters, the defendant Cowick joined them in their altercation with the plaintiff and Krause. Rozon said that he distinctly recalls the defendant Cowick getting back into the jeep after the plaintiff had been kicked unconscious. It is true that the defendant Rozon did not actually see Cowick hit or kick either the plaintiff or Krause. However, the evidence of both the plaintiff and Krause makes clear that a third person joined in the kicking.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accept the evidence of Rozon, Cowick and Willman, establishing that the defendant Willman remained seated in the front seat of the jeep, almost passed out. The evidence is clear that Willman did not leave the jeep at any time during the incident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evidence establishes that the defendant Cowick had blood on one, and perhaps on both, of his boots. He tried to explain this away by claiming that, earlier that evening, he had been assaulted in a fracas at another nightclub, "The Forge", when he had gone to the assistance of the defendant Willman who was being assaulted by a third party. In his evidence on that earlier fracas, Willman denied that Cowick, or indeed anyone else, had come to assist him in that incident. In the result, I am satisfied that the blood on the defendant Cowick's boot, or boots, was that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Counsel for the defendant Cowick has suggested that if there was a third person involved in the kicking it was the defendant Willman. However, as I have observed, the evidence I accept does not support that conclusion. I note that at the time Cowick was, and still is, significantly taller than Willman. The evidence of Krause was that the third kicker was of a height that I find to be compatible with Cowick's height but not that of the significantly shorter Willman.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result, I am driven to the ineluctable conclusion that the third assailant of the plaintiff was Cowick.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Accordingly, on the evidence, I hold the following to be true. The genesis of the assault and battery on the plaintiff lay in the exchange of vituperation initiated by Charters and responded to by Krause. Immediately following Krause's response, Cowick turned the jeep around and drove to within 20 or 30 feet of Krause. At that point the plaintiff was relieving himself in the bushes some 30 to 40 feet away from Krause. Charters was the first of the defendants to jump from the jeep. He went up to Krause saying, "You called me a bitch, you want to go?". Krause rejected the challenge to a fight by holding out his hands with his palms up. Krause told Charters that he was not going to fight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Charters exited the jeep he was followed immediately by Rozon. Charters punched Krause three times, just by the lip. As Krause turned his head, these punches were followed by another punch on the right side of his jaw. Just as all this happened, the plaintiff came up to Krause, Charters and Rozon holding his hands up. He said words to the effect of, "We don't want any trouble, we are leaving". At that point Krause saw Rozon motion a punch towards the plaintiff. This all happened very quickly. Krause heard Spencer yell out, "Oh, fuck" and the next thing he saw was that Spencer was lying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accept that Rozon punched the plaintiff square on the face breaking his nose, causing it to haemorrhage badly. Spencer reacted by bending his head down and was then struck on the top of his head by Rozon. The effect of that blow was to drive Spencer's body face down onto the ground. I accept that, at about this time or shortly before, Cowick had joined Rozon and Charters. While the plaintiff lay on the ground, all three repeatedly kicked him with the result that Spencer received massive facial bruising together with multiple bruises over his body. I find the three of them kicked the plaintiff into unconsciousness.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that point the assailants jumped back into the jeep and, with Cowick driving, left the scene, leaving the plaintiff lying unconscious on the ground and bleeding heavily from mouth and nose. I am satisfied that when they fled the scene they had no way of knowing whether he was dead or alive.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Subsequently, Charters and Rozon both pled guilty to two counts of common assault, one in respect of the plaintiff and the other in respect of Krause. Rozon was fined $500 and put on 12 months' probation on each of the 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summary, the evidence establishes a vicious assault and battery on the plaintiff and his companion by two of the three defendants, namely, Rozon and Cowick. The evidence establishes that Charters, now deceased, likewise took part in the assault and battery. The evidence further shows that the defendant Willman took no part in this tortious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Joint Tortfeasance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Were the assailants Rozon, Cowick and Charters, in perpetrating the assault on the plaintiff and Krause, acting in concert? The evidence proves, beyond peradventure, that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was impressed with the evidence of both the plaintiff and Krause. I place no weight on the discrepancies in their evidence. Those discrepancies were minor and nothing more than is almost invariably to be found in any case, such as the one at bar, centred on a vicious attack that happened in a matter of seconds. The minor differences are as to which of the assailants struck whom. Nothing turns on these discrepancies.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was unimpressed by the testimony of Rozon and Cowick. They both had difficulty in remembering. To some extent, as far as Cowick is concerned, and to a greater extent in the case of Rozon, this was due to lack of sobriety. They both struck me as being selective in their recall of events, to the point of being self-serving. In each case their evidence is visibly tainted with self-interest.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find that each of the three assailants was acting in concert, with a common purpose, namely, beating up the plaintiff and his companion, from the moment Cowick complied with Charters' direction to turn the jeep around and drive up to the victims. That being so, it matters not either at what precise moment in time a specific injury was inflicted on the plaintiff, or by whom precisely specific injuries were perpetuated.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find that the defendants Rozon and Cowick were acting in a concerted manner to effect a common end, not merely acting in a coincidence of separate acts which, by their conjoined effect, have caused damage. They fall clearly within the test set out by Fleming in The Law of Torts, 7th Ed. at pp. 229-230. The three assailants were acting "in pursuance of a common end, being thus identified with each other, [and] are accordingly responsible for the entire result" (see Heydon's Case (1612), 77 E.R. 1150 at 1151).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find that the conduct of the three assailants was such that it should have been foreseeable to each of them that the serious consequences, which I find did result from their actions, could and would result from their irresponsible and criminal actions. (Martin v. Martin et al. </w:t>
      </w:r>
      <w:r>
        <w:rPr>
          <w:rFonts w:ascii="arial" w:eastAsia="arial" w:hAnsi="arial" w:cs="arial"/>
          <w:i/>
          <w:color w:val="000000"/>
          <w:sz w:val="20"/>
          <w:lang w:val="en-US" w:eastAsia="en-US" w:bidi="ar-SA"/>
        </w:rPr>
        <w:t>(1996), 176 N.B.R. (2d) 178</w:t>
      </w:r>
      <w:r>
        <w:rPr>
          <w:rFonts w:ascii="arial" w:eastAsia="arial" w:hAnsi="arial" w:cs="arial"/>
          <w:color w:val="000000"/>
          <w:sz w:val="20"/>
          <w:lang w:val="en-US" w:eastAsia="en-US" w:bidi="ar-SA"/>
        </w:rPr>
        <w:t xml:space="preserve"> (N.B.C.A.); Bains v. Hofs </w:t>
      </w:r>
      <w:hyperlink r:id="rId192" w:history="1">
        <w:r>
          <w:rPr>
            <w:rFonts w:ascii="arial" w:eastAsia="arial" w:hAnsi="arial" w:cs="arial"/>
            <w:i/>
            <w:color w:val="0077CC"/>
            <w:sz w:val="20"/>
            <w:u w:val="single"/>
            <w:shd w:val="clear" w:color="auto" w:fill="FFFFFF"/>
            <w:lang w:val="en-US" w:eastAsia="en-US" w:bidi="ar-SA"/>
          </w:rPr>
          <w:t>(1992), 76 B.C.L.R. (2d) 98</w:t>
        </w:r>
      </w:hyperlink>
      <w:r>
        <w:rPr>
          <w:rFonts w:ascii="arial" w:eastAsia="arial" w:hAnsi="arial" w:cs="arial"/>
          <w:color w:val="000000"/>
          <w:sz w:val="20"/>
          <w:lang w:val="en-US" w:eastAsia="en-US" w:bidi="ar-SA"/>
        </w:rPr>
        <w:t xml:space="preserve"> (S.C.) at paras. 24-25.)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Martin v. Martin, supra, the New Brunswick Court of Appeal endorsed the law set out by Scrutton, L.J. in Koursk, The, [1924] All E.R. Rep. 168 (C.A.), who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two persons who agree in common action, in the course of and to further which one of them commits a tort.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is the principle for identifying joint tortfeasors. By his evidence, which I accept, the plaintiff has brought the three assailants within that rule. The defendants Rozon and Cowick, being within that rule, have the burden to exculpate themselves from liability. I find they have failed to meet that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result, Rozon and Cowick are jointly and severally liable for all of the damages sustained by the plaintiff in the assault and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Apportionment and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defendants Rozon and Cowick seek, as between themselves, an apportionment of liability and right of contribution pursuant to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In its pertinent parts, s. 4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 and right of contribution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(1) If damage or loss has been caused by the fault of 2 or more persons, the court must determine the degree to which each person was at fault.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 . . . if 2 or more persons are found at fault</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am persuaded that Charters, who was the leader of the three in this incident, struck the first blow which was quickly followed by Rozon striking both Krause and the plaintiff, causing the plaintiff to fall to the ground, whereupon Charters, Rozon and Cowick kicked him into unconsciousness. Cowick then drove away the jeep which, at the behest of Charters, he had previously used to drive himself, Charters, Rozon and the inebriated Willman up to where Krause was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find the conduct of all three assailants equally egregious, equally heinous, and equally vicious. I cannot see that it makes any sense to apportion liability as between Cowick and Rozon, other than on a 50/50 basis, which I so do.</w:t>
      </w:r>
      <w:r>
        <w:rPr>
          <w:rFonts w:ascii="arial" w:eastAsia="arial" w:hAnsi="arial" w:cs="arial"/>
          <w:sz w:val="20"/>
          <w:lang w:val="en-US" w:eastAsia="en-US" w:bidi="ar-SA"/>
        </w:rPr>
        <w:cr/>
      </w:r>
    </w:p>
    <w:p>
      <w:pPr>
        <w:numPr>
          <w:numId w:val="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a consequence of the assault and battery, the plaintiff suffered and continues to suffer from facial fractures, a concussion resulting in a reading deficit and memory impairment, and a mild personality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accept the evidence of his treating specialist, Dr. Doty, to the effect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gentleman suffered a significant nasal injury, resulting in the nasal obstruction and the left sided facial pain. He also had a maxillary fracture, which has left him with left-sided motor parasthesia. He's had a good result following the surgical procedure, but it's too early to tell if this will relieve all the symptomatology he's complaining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note that the plaintiff was operated on for the correction of the deviated septum caused by the fractured nose on 26 April 1996. I accept that as a result of the injuries to his nose and jawbone he is left with what I am satisfied is a relatively mild aftermath, namely, he still experiences occasional, minor difficulties in breathing but not such as to materially lessen his enjoyment of life. I further note that, as a result of the fractured maxilla, he is left with some numbness on the left side of his face. In consequence of his facial injuries, three of his teeth (maxillary incisors) were damaged but not severely. The damage was such that his dentist, Dr. Regnier, opined that he may in the future require root canal treatment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also sustained a concussion with a sequelae of some, although I find not severe, neurological deficits. Specifically, I find that as a result of the assault and battery he has a slower reading speed than he had beforehand. In fact, his reading speed is less than that of the lowest 1% of the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further accept that as a result of his injuries, specifically the concussion, his memory has been somewhat weakened. In his report, which I accept, Dr. Spellacy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general, scores on memory testing were quite a bit weaker than expected given his superior level of measured intelligence; even though, the scores were still within the normal range.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considering the memory and reading deficits of the plaintiff, I bear in mind his high level of measured intelligence. Dr. Spellacy notes, and I accept it as true, that, according to the Wechsler Adult Intelligence Scale, Third Edition (WAIS-III) the plaintiff obtained the following results: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Verbal IQ = 123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Performance IQ = 124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Full Scale IQ = 126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Full Scale IQ score places Mr. Spencer at approximately the 96th percentile of the population used in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a consequence of the assault and his injuries, the plaintiff suffered, and continues to suffer a mild personality disorder. In this regard I accept as correct the diagnosis of Dr. Spellacy when 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 Spencer's responses to the MMPI-2 produced a valid profile. The pattern indicates elevated levels of anxiety and mild to moderately depressed mood. Results indicated lowered energy level and a suggest [sic] subjective sense of difficulty in thinking. This man's response to be [sic] Impact of Event Scale (a measure of post-traumatic stress) yielded a score which falls at about the average for patients attending psychotherapy for post-traumatic stress (very substantially over the normal control measure).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present, a little of four years after his injury, he continues to report symptoms of distraction, intrusive thoughts, difficulty experiencing intimacy, and dysphoric mood. These symptoms persist even though he has attended a large number of counseling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also note, and in light of the evidence accept as valid, the opinion of Dr. Spellacy where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his injury, Mr. Spencer was under a substantial degree of stress arising from family circumstances as well as the usual pressure associated with university studies. It is likely that he was more vulnerable than average to traumatic stress respond [sic] with anxiety to traumatic stress, and the circumstances of the assault and his perceived lack of support from his companion at the time of assault may have exacerbated his reaction to the assault.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Spencer's condition is classed as chronic given the amount of time elapsed. I believe he should pursue psychotherapy from a licensed psychologist or psychiatrist experienced in treating Post-Traumatic Stress Disorders. It is likely that he will always be more vulnerable to future stressors, and to anxiety disorders in general, than was the case prior to his injury. His symptoms have not prevented successful employment; but, I would expect them to have an impact on his personal relationships (restricted intimacy) and may prove to be a significant handicap should he choose to pursue occupations requiring rapid decision-making and focused attention at some point in the future. His anxiety state probably contributed to under performance in his university studies. Given his level of intelligence, I would normally expect better marks than he achieved. His measured intelligence is about average for persons receiving post-graduate degrees (e.g. law, medicine and architecture), but his marks were too low for admission to a graduate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also accept the opinions of Dr. Aindreas O'Breasail that, as a result of this traumatic incident, for a time the plaintiff suffered post-traumatic stress disorder. However, as Dr. O'Breasail said in his reported dated 6 January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had many of the classic features of this disorder present immediately following the assault and for some time afterwards and up to this day there are ongoing psychological symptoms directly relating to the assault and its aftermath. He has had sleep disturbance, depressed mood, anxiety, some phobic features with avoidant behaviour, irritability, anger, and difficulty in trusting others.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doubt that he has improved, however, over the past few years and that there has been a decrease in the intensity of the symptoms he had following the assault. He does not now meet the criteria for posttraumatic stress disorder, but still has ongoing symptoms of that disorder, as well as chronic low grade depressive symptoms. It is clear that he has made a major effort to address these problems since the assault. He has had counselling on a regular basis. He has established himself in the work force, albeit at a lower level than he would like, and he has also formed a significant relationship. Despite this, he continues to be affected psychologically by the accident and its sequelae.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now over four years since this incident occurred. I believe that it is unlikely there will be a major change in his condition. He may well gradually improve over time, but I believe that he will continue to have ongoing symptoms related to the assault for the long term future. I believe he should have ongoing counselling to help him continue to deal with the difficulties that have arisen since the assault.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present time the symptoms he is experiencing are not disabling to the extent that he is [un]able to work on a full time basis. However, they limit his ability to achieve the potential that he had prior to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note that the counselling received by the plaintiff, referred to by Dr. O'Breasail, consisted of some 49 weekly sessions between 1 August 1995 and including 17 December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his report dated 19 April 1996, Mr. Churchill observed, which I accept as true,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every sense that over time, he will emerge a stronger, more confident person than he was prior to the assault. Even at this point, Jason says that in some ways he has greater consciousness of the world around him, which he sees as an asset and that to some degree he has greater control over situations that arise in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his report, Mr. Churchill recommends that the plaintiff have further ongoing therapy in regard to processing his feelings and thoughts, dealing with anger, support in understanding that acute stress reactions are normal, given the context of life, and assistance in helping the plaintiff to initiate activities that once again give him a sense of meaning and, very importantly, of control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Wage Loss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a direct result of the assault and battery, the plaintiff lost income from the jobs he held at the time of the assault, at Blockbusters Video and at the Victoria Public Library. That loss is conceded by all parties liable to be in the amount of $379.15. The plaintiff is entitled to that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also seeks special damages in the amount of $3,543.50. While liability is not admitted, the quantum is agreed to by all of the defendants who are liable at the sum sought. I am satisfied the special damages were incurred and that, on the facts, the plaintiff is entitled to the $3,543.50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remaining issue is what should be the quantum of damages for loss of earning capacity, the cost of future care, non-pecuniary losses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is a 1989 Grade 12 graduate from Mount Douglas High School. With a view to obtaining a B.Sc. from the University of Victoria, he attended Camosun College from January 1991 to August 1994. His post-secondary education was delayed until January 1991 in part due to his unpropitious financial circumstances and in part due to turmoil caused by the break-up of his mother's marriage to his step-father.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His Camosun College academic transcript shows wild variations in his marks, from D to A. It shows that chemistry and mathematics were the subjects he found most difficult. Nevertheless, he did obtain a B- in organic chemistry. As of 19 August 1994 his Grade Point Average ("G.P.A.") for the Camosun years was 4.52 which gave him a B-to B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result, the plaintiff transferred from Camosun to the B.Sc. program at the University of Victoria, taking with him 30 credits out of the 60 he needed to obtain a university degree. In the winter term of 1994-95, the plaintiff's G.P.A. was 2.63, or a C to C+ average. The plaintiff puts part of the blame for these low grades on some problems that occurred in early January 1995 between him and his then landlady, which resulted in all his textbooks, notes and his course work, including in particular the chemistry 400A course, plus his computer being stolen from him. Because of this unfortunate circumstances, which occurred through no fault of his, the plaintiff applied for an extension of time from his instructors. The request was denied. His instructors felt he just had to cope as best 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accept that, notwithstanding the plaintiff obtaining only a C to C+ average in the winter term of 1994-95, he was confident that, in the winter term of 1995-96, he would obtain the minimum B average required to have a realistic prospect of entering the M.B.A. post-graduate program. I accept his testimony that, at all material times at the University of Victoria, he had planned to apply for acceptance in the M.B.A. program upon graduating with a B.Sc.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note that in the winter term, September 1995 to April 1996, the plaintiff took the maximum workload permitted at the University of Victoria, namely, 18 units totaling six courses. He took those six courses in order to complete his degree as quickly as possible. His studies during that period were not helped by the fact that he had occasional difficulties in breathing as a result of the injury to his nose sustained in the battery. I accept that the plaintiff's reading ability was significantly slower, with the result that he had to spend more time studying than would have been the case before the assault. I further accept that his study program was not helped by the fact that he had to attend counselling every two weeks and make numerous appearances in Provincial Court in connection with the criminal proceedings against Rozon and Charters.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result, by the end of the 1995-96 winter term, the plaintiff had upgraded from his 1994-1995 C to C+ average to a near B, with a G.P.A. of 4.83 for the term. His B.Sc. degree, with a major in biology, was granted on 27 May 1996. Unfortunately, in order for the plaintiff to be accepted into the M.B.A. program at the University of Victoria, he required an A- average during the 1995-1996 winter session. Nevertheless, on 10 June 1997, the plaintiff wrote to the M.B.A. admissions office, seeking admission even though his G.P.A. was below the 5.0 cut-off because of the extenuating circumstances occasioned by the assault and battery at bar. In March 1997 he wrote the graduate management admission test (G.M.A.T.). The results of that test show that, with his total score of 590, he did better than 77% of the others who took the test. However, the University of Victoria was unable to accept him. He appealed that rejection but the appeal was unsuccessful. By letter dated 19 August 1997, Ms. Ann Nightingale, Director of Graduate Admissions and Records, notified him that he was not eligible. The sole reason given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academic background does not meet the minimum standard for entry into the Faculty of Graduate Studies. Your grade point average is below the required minimum of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note that in September 1996 the plaintiff took an extra University of Victoria course over a six-month period, valued at 1.5 units academically, in German 433, involving watching films and writing two essays about Germany overcoming its past. He was able to slightly upgrade his overall G.P.A. because he attained a B+ in that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accept the evidence of Leelah Dawson, the present Assistant Director of the M.B.A. program at the University of Victoria. Her testimony was that applicants such as the plaintiff, who do not have the necessary G.P.A. to qualify for consideration for entry into the M.B.A. program, may take further senior level studies in order to boost their standings. In the plaintiff's case, assuming he were to do this and attain A- grades, he could bring his G.P.A. to a B level by taking seven courses of 1.5 units each. I accept that this could all be done in 12 months and that there is no time limit on the pursuing of upgrading courses. I note that when deciding on admission applications, the school looks not only at the G.P.A. and the G.M.A.T. but also at intangible factors, such as how hard someone has tried to bring his/her grades up to or beyond entry level. I also note that the University has provisions for accepting mature students, whose grades are not of a level that would normally be acceptable in the M.B.A. program, if such students have had a minimum of four years' relevant experience. Ms. Dawson stated that the plaintiff's present employment might well constitute relevant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observe that, as the plaintiff testified, he has been working for the provincial Ministry of Advanced Education for the past three years. His permanent position is that of a Clerk 2 in the file room, which earns him $29,000 per year. Presently, he has a temporary position as a Clerk 4 loans officer, earning $33,000 per year, including overtime. I accept the plaintiff's testimony that he is over-qualified for this job. I accept that this was not his planned career but his view is that it is a secure job, which he enjoys. He likes the people with whom he works. However, he still thinks about getting into the M.B.A. program but has not yet followed through on that because he does not know if he is capable of completing the program. I accept that the plaintiff's present plans for the future are to keep his present position, save money and go camping. However, I also find that he is still considering upgrading his marks, to gain acceptance into the M.B.A.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also find that obtaining an M.B.A. was always the plaintiff's goal. I am so satisfied even though he had not discussed this with either of his close friends, Stacey Krause or his employment supervisor Darren Williams. I am convinced because his conduct in taking the G.M.A.T. examination, applying for admission and appealing his rejection is consistent with his testimony that that was always his ambition.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find, as Dr. Spellacy points out, that before the assault the plaintiff had, and still has, a very high I.Q. that is more than sufficient for him to have a realistic expectation of acceptance into an M.B.A. or other university post-graduate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Bearing in mind the injuries sustained by the plaintiff and, in particular, their psychological consequences, I am satisfied that it is still open to the plaintiff to pursue his original career goal of obtaining an M.B.A. degree. By the same token, I am persuaded that the sequelae to his injuries has had the effect of delaying him in that quest for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All counsel are agreed that the effect of such a two year delay, after his earnings during that period have been deducted, is that he has suffered a loss of $100,000 in damages in that regard. I award the plaintiff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 also seeks future pecuniary damages by way of the diminished capital asset framework based on the factors identified Brown v. Golaiy, </w:t>
      </w:r>
      <w:hyperlink r:id="rId154"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(13 December 1985), Vancouver Registry, No. B831458 (B.C.S.C.). (See also Finch, J.A. in Pallos v. I.C.B.C. </w:t>
      </w:r>
      <w:hyperlink r:id="rId193"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at 268.) Applying the principles of that head of damage to the evidence at bar, I am persuaded that the plaintiff has established that he is less well able to reach decisions than he was before the assault and battery and, by the same token, is a somewhat slower reader. I am satisfied that this is so, but only to a minimal extent. I am not satisfied that the deterioration is of such significance as to prevent the plaintiff from obtaining entry into the M.B.A. program and graduating with an M.B.A.. I am of the view that the problems the plaintiff does have, which I find to be minimal, are caused not so much by slowness in decision-making or reading but, rather, because of mild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result, I am persuaded that the effect of the injuries upon the plaintiff have been to delay, by two years, his entry into the M.B.A. graduate school. I am also persuaded that the sequelae of his injuries has gone further than that and has impaired him to a small extent within the meaning of the four-pronged test set out by Finch J., as he then was, in Brown v. Golaiy, supra. I am persuaded that in a small but nevertheless material way post-concussion injuries sustained by the plaintiff have impaired his ability to take advantage of all job opportunities which would have been open to him had he not been injured. For the two year delay in entering the M.B.A. graduate school, I award the plaintiff, in addition to the $100,000 I have already awarded him, a further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of the view that the plaintiff has established that he requires counselling from a psychiatrist or psychologist for a period of one year, based on therapy twice per month. I leave it to counsel to determine the discounted present value of this award insofar as one year's counselling is concerned, with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Losses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to the findings of fact make clear, as a result of the assault and battery, the plaintiff sustained a broken nose which had to be corrected by surgery, a fractured maxilla which has left him with a numb area on his left cheek, three damaged teeth, and, more seriously, as a result of the concussion he sustained, some impairment in the form of a slowing of his thinking process and some minor diminishment of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This assault was an emotionally traumatic event for the plaintiff. Its consequences have resulted in his suffering from post-traumatic stress disorder, which, as Dr. Breasail points out in his report dated 6 January 2000, has cleared up. The symptoms from which he still suffers no longer meet the criteria for post-traumatic stress disorder. Notwithstanding that, the plaintiff does retain some of the symptoms, together with symptoms of low grade depression. In the result, because of all this, he has lost some confidence in himself. Although, in some ways, as he conceded in his testimony, he is a stronger person emotionally than he was before the assault and battery. He finds difficulty in making commitments to people since the event. I accept the evidence of the plaintiff's friend, Ms. Hobbs, on that point. Ms. Hobbs also noted, and I accept, that the plaintiff has become an introvert since the assault and battery. I accept that before the incident the plaintiff was more of an extrovert.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am satisfied that, as a result of these injuries and their sequelae, the plaintiff has been delayed for some two years in his plans to enter the M.B.A. program at the University of Victoria. I am persuaded that that ambition, notwithstanding his injuries, is still viable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Much has been made, by counsel for the defendants, about other stressors in the plaintiff's life prior to the assault which also played a part in making it difficult for him to achieve the high academic standard required for entry into graduate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plaintiff had to undergo an operation for a deviated septum and still experiences occasional difficulty in breathing properly. I find that he will require psychiatric or psychological counselling for at least another year. All counsel have cited a plethora of authorities. I have considered them all. I am of the view that Vukelic v. The Queen, </w:t>
      </w:r>
      <w:hyperlink r:id="rId194" w:history="1">
        <w:r>
          <w:rPr>
            <w:rFonts w:ascii="arial" w:eastAsia="arial" w:hAnsi="arial" w:cs="arial"/>
            <w:i/>
            <w:color w:val="0077CC"/>
            <w:sz w:val="20"/>
            <w:u w:val="single"/>
            <w:shd w:val="clear" w:color="auto" w:fill="FFFFFF"/>
            <w:lang w:val="en-US" w:eastAsia="en-US" w:bidi="ar-SA"/>
          </w:rPr>
          <w:t>[1997] B.C.J. No. 131</w:t>
        </w:r>
      </w:hyperlink>
      <w:r>
        <w:rPr>
          <w:rFonts w:ascii="arial" w:eastAsia="arial" w:hAnsi="arial" w:cs="arial"/>
          <w:color w:val="000000"/>
          <w:sz w:val="20"/>
          <w:lang w:val="en-US" w:eastAsia="en-US" w:bidi="ar-SA"/>
        </w:rPr>
        <w:t>, (9 January 1997), Vancouver Registry, CA021949, a British Columbia Court of Appeal decision, is analogous to the case at bar. It goes without saying that in none of the cases are the facts totally on all fours. In Vukelic, supra, Macfarlane J.A. increased the trial judge's award of non-pecuniary damages of $90,000 to $120,000, including in that figure not only non-pecuniary loss but also aggravated damages. At para. 17, Macfarlane J.A.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for aggravated damages rests on the footing that as a result of the brutal and unexpected assault upon him by the police he suffered psychological injuries including shock, post-traumatic stress disorder, anxiety, depression, loss of memory, loss of ability to concentrate, inability to follow instructions, and personality and behaviourial (sic)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 result, at bar, as against the defendants Rozon and Cowick, I award the plaintiff non-pecuniary damages, including aggravated damages, in the total amount of $100,000. That sum is made of $75,000 for non-pecuniary damages and $25,000 is for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Punitive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have already set out the findings pertaining to punitive damages. Insofar as the defendant Rozon is concerned, the fact that he was sentenced for the common assault on the plaintiff is germane to the assessment of punitive damages. Insofar as punitive damages are concerned, for all of the defendants found liable, the circumstances of the assault and battery and of their leaving the scene have already been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Of relevance also are the personal financial circumstances of the defendants Rozon and Cowick and the fact that they are both young men. Rozon is in his mid-twenties and married. His wife is a student. He has a steady job which nets him approximately $1,400 per month. The defendant Cowick is of approximately the same age. His earnings also average $1,400 per month, net. He has debts in connection with his automobile and for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considering the matter of punitive damages, I am mindful of the law enunciated by Cory, J. in Manning v. Hill </w:t>
      </w:r>
      <w:hyperlink r:id="rId195" w:history="1">
        <w:r>
          <w:rPr>
            <w:rFonts w:ascii="arial" w:eastAsia="arial" w:hAnsi="arial" w:cs="arial"/>
            <w:i/>
            <w:color w:val="0077CC"/>
            <w:sz w:val="20"/>
            <w:u w:val="single"/>
            <w:shd w:val="clear" w:color="auto" w:fill="FFFFFF"/>
            <w:lang w:val="en-US" w:eastAsia="en-US" w:bidi="ar-SA"/>
          </w:rPr>
          <w:t>(1995), 126 D.L.R. (4th) 129</w:t>
        </w:r>
      </w:hyperlink>
      <w:r>
        <w:rPr>
          <w:rFonts w:ascii="arial" w:eastAsia="arial" w:hAnsi="arial" w:cs="arial"/>
          <w:color w:val="000000"/>
          <w:sz w:val="20"/>
          <w:lang w:val="en-US" w:eastAsia="en-US" w:bidi="ar-SA"/>
        </w:rPr>
        <w:t xml:space="preserve"> (S.C.C.) at 185, where Cory J. wrote:</w:t>
      </w:r>
      <w:r>
        <w:rPr>
          <w:rFonts w:ascii="arial" w:eastAsia="arial" w:hAnsi="arial" w:cs="arial"/>
          <w:sz w:val="20"/>
          <w:lang w:val="en-US" w:eastAsia="en-US" w:bidi="ar-SA"/>
        </w:rPr>
        <w:cr/>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Punitive damages may be awarded in situations where the defendant's misconduct is so malicious, oppressive and high-handed that it offends the court's sense of decency. Punitive damages bear no relation to what the plaintiff should receive by way of compensation. Their aim is not to compensate the plaintiff, but rather to punish the defendant. It is the means by which the jury or judge expresses its outrage at the egregious conduct of the defendant. They are in the nature of a fine which is meant to act as a deterrent to the defendant and to others from acting in this manner. It is important to emphasize that punitive damages should only be awarded in those circumstances where the combined award of general and aggravated damages would be insufficient to achieve the goal of punishment and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decline to award punitive damages. My reason for so doing is not that the conduct was not malicious, vicious, oppressive and awful but, rather, because I am satisfied that, at bar, the combined award I have already made for general and aggravated damages is sufficient in the case of both defendants as individuals to achieve the goal of punishment and deterrence.</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for costs, I dismiss the plaintiff's claim as against the defendant Willman, with costs in favour of the defendant Willman on Scale 3. Pursuant to Rule 57(18), this being, in my view, a case where the costs of the defendant Willman against the plaintiff ought to be paid by the other defendants found liable, namely, Cowick and Rozon, I order payment of Willman's costs to be made by those defendants jointly and severally.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shall have his costs as against the defendants Cowick and Rozon,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OWEN-FLOOD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2"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Spitale v. Insurance Corp. of British Columbia, [2003] B.C.J. No. 1813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Gerow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B980729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1813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1168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 B.C.L.R. (4th) 382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 C.C.L.I. (4th) 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260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Conto Santo Spitale, plaintiff, and Insurance Corporation of British Columbia and Joseph Spitale,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3"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7" w:name="Keywords_11"/>
      <w:bookmarkEnd w:id="77"/>
      <w:r>
        <w:rPr>
          <w:rFonts w:ascii="arial" w:eastAsia="arial" w:hAnsi="arial" w:cs="arial"/>
          <w:b/>
          <w:color w:val="000000"/>
          <w:sz w:val="20"/>
          <w:lang w:val="en-US" w:eastAsia="en-US" w:bidi="ar-SA"/>
        </w:rPr>
        <w:t>Practice — Parties — Adding or substituting parties — Adding or substituting defendants — Application of limitation periods — Circumstances when denied.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8" w:name="Case Summary_10"/>
            <w:bookmarkEnd w:id="7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Insurance Corporation of British Columbia to discharge a master's order adding Joseph Spitale as a defendant. Joseph was the plaintiff Conto Spitale's brother. Conto was injured in a motor vehicle accident on September 18, 1996. Prior to the accident, he was a passenger in a vehicle that was driven by Joseph. Conto consumed a substantial amount of alcohol. Conto and Joseph had an argument. The occupants exited the vehicle. Joseph drove away and left Conto in the middle of the highway. Conto was subsequently struck by an unidentified vehicle. On November 21, 1996, Joseph was informed by Conto's lawyer that he would be named as a defendant. The action was not commenced until February 26, 1998. Joseph was not named as a defendant. Conto changed lawyers in April 1999. His new lawyer did nothing on the file until January 2000. In April 2000, the lawyer discovered that Conto's driver's licence had expired the day before the accident. This would affect Conto's ability to claim for underinsured motorist coverage. He also thought that Joseph would have to be added in case Conto was found to be contributorily negligent. The lawyer did not apply for the order until February 2001.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9" w:name="Holdings of Court_9"/>
            <w:bookmarkEnd w:id="7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order was discharged. There was a serious delay in the steps taken to add Joseph. No proper explanation was given for why Joseph was not named as a defendant when the action was commenced. The Insurance Corporation was prejudiced by the delay. It would have investigated the accident differently if Joseph had been made a party at the outset. The trial evidence depended on the recollections of parties and witnesses, which would have deteriorated over time. When a limitation period passed, as in this case, a proposed defendant was entitled to conduct his affairs with the knowledge that the contingent liability ceased to exist.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0" w:name="Legislation Cited_8"/>
      <w:bookmarkEnd w:id="8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4"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15(5)(a)(iii). Limitation Act, R.S.B.C. 1996, c. 266, s. 4(1)(d).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1" w:name="Counsel_11"/>
      <w:bookmarkEnd w:id="8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5"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Vince Critchley, for the plaintiff. Sudhir K. Padmanabhan, for the applicant/third party.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2" w:name="Judgment_11"/>
      <w:bookmarkEnd w:id="82"/>
      <w:r>
        <w:pict>
          <v:line id="_x0000_s1086" style="position:absolute;z-index:25182412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Corrigenda were released by the Court August 27 and September 9, 2003. The corrections have been made to the text and the Corrigenda are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3" w:name="GEROW J."/>
            <w:bookmarkEnd w:id="83"/>
            <w:r>
              <w:rPr>
                <w:rFonts w:ascii="arial" w:eastAsia="arial" w:hAnsi="arial" w:cs="arial"/>
                <w:b/>
                <w:color w:val="000000"/>
                <w:sz w:val="30"/>
                <w:lang w:val="en-US" w:eastAsia="en-US" w:bidi="ar-SA"/>
              </w:rPr>
              <w:t>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statutory third party, Insurance Corporation of British Columbia, seeks an order discharging a Master's Order adding Joseph Spitale as a defendant. Joseph Spitale was added as a defendant to this action on May 11, 2001 with leave to argue a defence based on the expiry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issue of whether an order adding a party with leave to argue a defence based on the expiry of the limitation period is an appropriate order was not argued. Rather it was agreed that the application should be treated as a rehearing of the plaintiff's application on its merits as the decision resulting from the order is central to the final issue in the case. Abermin Corp. v. Granges Exploration Ltd. </w:t>
      </w:r>
      <w:hyperlink r:id="rId203" w:history="1">
        <w:r>
          <w:rPr>
            <w:rFonts w:ascii="arial" w:eastAsia="arial" w:hAnsi="arial" w:cs="arial"/>
            <w:i/>
            <w:color w:val="0077CC"/>
            <w:sz w:val="20"/>
            <w:u w:val="single"/>
            <w:shd w:val="clear" w:color="auto" w:fill="FFFFFF"/>
            <w:lang w:val="en-US" w:eastAsia="en-US" w:bidi="ar-SA"/>
          </w:rPr>
          <w:t>(1990), 45 B.C.L.R. (2d) 188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injured in a motor vehicle accident which occurred on September 18, 1996 on Highway No. 1 in Burnaby, B.C. As a result of the injuries he suffered his right leg was amputated above his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Prior to the accident the plaintiff had been a passenger in a vehicle driven by his brother, Joseph Spitale. The other passenger in the vehicle was Melanie Batista.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All three were driving home from a dinner celebrating the plaintiff's birthday. The plaintiff had consumed a substantial amount of alcohol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While travelling westbound on the highway the plaintiff and his brother began arguing. At one point Joseph pulled over close to the median adjacent to the fast lane on the left side of the highway and all three got out of the car. Joseph then left in the car leaving the plaintiff and Melanie Batista in the centre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and Ms. Batista apparently started walking along the highway. The evidence is that they crossed the highway to the right hand shoulder but walked across the highway a second time to talk to the driver of a car who had stopped to ask if they needed assistance. The person would not give the plaintiff and Ms. Batista a ride. Ms. Batista again crossed the highway to the right hand side and while the plaintiff was still on the left hand side of the highway he was struck by an unidentified vehicle. The plaintiff has no recollection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time of the accident the plaintiff was in his thirties and employed as a longshoreman. The plaintiff was hospitalized for a month after which he attended G.F. Strong Centre as an outpatient.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October 1996 he retained counsel to assist with his claim. In November 1996 I.C.B.C. retained Heslop and Company Adjusters Ltd. to investigate 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November 21, 1996 the plaintiff's counsel sent a letter to Joseph Spitale advising him of his intention to commence an action and name him as a defendant. Throughout 1997 counsel for the plaintiff continued to collect information regarding the plaintiff's injuries and deal with I.C.B.C. with respect to Part 7 benefits for the plaintiff. Throughout this time plaintiff's counsel continued to deal with the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writ of summons was filed on February 26, 1998, however Joseph Spitale was not named as a defendant. The only defendant was I.C.B.C. I.C.B.C. filed an Appearance on March 11, 1998 and retained counsel in April 1998. Throughout 1998 plaintiff's counsel dealt with both I.C.B.C.'s counsel and the adjuster regarding various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April 1999 the plaintiff changed counsel. Due to procrastination on his part, the new counsel did not obtain the file from the previous counsel until January 2000. A Notice of Change of Solicitor was filed in February 2000 and served on I.C.B.C.'s counsel in March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April 2000 plaintiff's counsel discovered that the plaintiff did not have a valid driver's licence at the time of the accident as it had expired on September 17, 1996, the day before the accident. Consequently he determined that the plaintiff may not be entitled to underinsured motorist protection for any damages over and above the limits that would otherwise be payable by I.C.B.C. on behalf of the unidentified driver. At about the same time it occurred to counsel that Joseph Spitale should be added as a defendant in case the plaintiff was found to be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October 5, 2000 plaintiff's counsel advised counsel for I.C.B.C. that the plaintiff intended to bring an application to add Joseph Spitale as a defendant. On October 19, 2000 a statement of claim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notice of motion to add Joseph Spitale was served on I.C.B.C. and the proposed defendant on February 12, 2001 and April 18, 2001, respectively. The application to add Joseph Spitale was originally set for hearing on April 19, 2001 however it was adjourned at the request of I.C.B.C. to May 11, 2001. The Master's order granted on May 11, 2001 that Joseph Spitale be added as a defendant contained a provision entitling the defendant to argue the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a result of inadvertence on the part of plaintiff's counsel the order and the amended writ and statement of claim were not filed until October 19, 2001. On November 20, 2001 the third party I.C.B.C. delivered an application to set aside the Master's order to the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application proceeded on January 22, 2002 at which time the Court raised concerns that the plaintiff's affidavit material did not provide an explanation for the delay. As a result plaintiff's counsel requested and was granted an adjournment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March 2002 plaintiff's counsel contacted Mr. Critchley to determine if he would assist with the application. Mr. Critchley requested the material relating to the matter before offering any advice. Plaintiff's counsel did not forward the file material until August 2002. After receiving the file material Mr. Critchley requested the file of the original plaintiff's counsel. Plaintiff's counsel did not provide the file or the materials filed by the third party in support of their application to set aside the Master's order to Mr. Critchley until November 7,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Following his retainer by plaintiff's counsel for this application, Mr. Critchley provided further affidavit material explaining the reasons for the delay in seeking to add Joseph Spitale as a defendant on February 19, 2003. The application as originally scheduled for hearing on April 15, 2003 and rescheduled on April 17,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April 11, 2003, counsel for the third party provided additional affidavit material. As a result the application was adjourned and rescheduled for hearing on June 4, 2003, almost 5 years after the expiry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An application to add a defendant after the limitation period has expired is governed by Rule 15(5)(a)(iii) of the Rules of Court which provides that a person be added as a party where there may exist between the person and any party to the proceeding a question or issue relating to or connected with any relief being claimed or the subject matter of the proceedings which would be just and convenient to determine as between the person and the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As well, s. 4(1)(d) of the Limitation Act, </w:t>
      </w:r>
      <w:hyperlink r:id="rId204"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applies which states:</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action to which this or any other Act applies has been commenced, the lapse of time limited for bringing an action is no bar to</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adding or substituting a new party as plaintiff or defendant,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under any applicable law, with respect to any claims relating to or connected with the subject matter of the original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Teal Cedar Products (1977) Ltd. v. Dale Intermediaries Ltd. </w:t>
      </w:r>
      <w:hyperlink r:id="rId205"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the Court confirmed that the discretion to permit amendments was completely unfettered with the proviso that the discretion was to be exercised judicially taking into consideration both the evidence and the guidelines from the authorities. Teal dealt with amendments to the statement of claim to allege a new cause of action but was clear that the principles apply equally to adding parties ([paragraph] 74). The factors to be considered in determining whether it is appropriate to add a party include:</w:t>
      </w:r>
      <w:r>
        <w:rPr>
          <w:rFonts w:ascii="arial" w:eastAsia="arial" w:hAnsi="arial" w:cs="arial"/>
          <w:sz w:val="20"/>
          <w:lang w:val="en-US" w:eastAsia="en-US" w:bidi="ar-SA"/>
        </w:rPr>
        <w:cr/>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Length of delay;</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Reasons for the delay;</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Expiry of the limitation period;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Presence or absence of prejudice;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Extent of the connection with any relief or remedy claimed in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([paragraph] 45 and [paragraph]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All factors are to be equally considered "in the absence of a clear evidentiary basis for doing so." ([paragraph] 45) The overriding question to be considered is what is just and convenient. ([paragraph]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Letvad v. Finley </w:t>
      </w:r>
      <w:hyperlink r:id="rId206" w:history="1">
        <w:r>
          <w:rPr>
            <w:rFonts w:ascii="arial" w:eastAsia="arial" w:hAnsi="arial" w:cs="arial"/>
            <w:i/>
            <w:color w:val="0077CC"/>
            <w:sz w:val="20"/>
            <w:u w:val="single"/>
            <w:shd w:val="clear" w:color="auto" w:fill="FFFFFF"/>
            <w:lang w:val="en-US" w:eastAsia="en-US" w:bidi="ar-SA"/>
          </w:rPr>
          <w:t>(2000), 82 B.C.L.R. (3d) 296</w:t>
        </w:r>
      </w:hyperlink>
      <w:r>
        <w:rPr>
          <w:rFonts w:ascii="arial" w:eastAsia="arial" w:hAnsi="arial" w:cs="arial"/>
          <w:color w:val="000000"/>
          <w:sz w:val="20"/>
          <w:lang w:val="en-US" w:eastAsia="en-US" w:bidi="ar-SA"/>
        </w:rPr>
        <w:t xml:space="preserve"> (C.A.) the Court confirmed that a chambers judge has an unfettered discretion to add defendants after the expiry of the limitation period and that the discretion is to be exercised judicially after consideration of the evidence and the guidelines set out in the authorities ([paragraph] 29). There is a presumption of prejudice when the limitation has expired as it has in this case ([paragraph]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has been a serious delay and the explanation advanced by counsel is unsatisfactory. It is evident that consideration was given to naming Joseph Spitale as a defendant before the writ of summons was issued in 1996. On November 21, 1996 the plaintiff's first counsel wrote to Joseph Spitale advising that based on the information he had received from the plaintiff he was commencing an action and joining Joseph Spitale as a defendant. Plaintiff's counsel requested that Joseph Spitale provide the letter to the insurance company. There is no evidence that I.C.B.C. was ever informed of the letter by either Joseph Spitale or the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find an analogy between this case and Letvad in that there is no evidence to support the conclusion that the failure to add Joseph Spitale in the first instance was an oversight. The only explanation offered for not adding Joseph Spitale was that the original counsel had come to the conclusion that it was highly unlikely that plaintiff would be able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Joseph Spitale and that it was not until new counsel was retained and he reviewed the issue of whether underinsured motorist protection was available that he determined it was appropriate to add Joseph Spitale. That is clearly not the case as can be seen from the letter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put very little weight on the explanation regarding why Joseph Spitale was not added in the original action as the explanation is not contained in an affidavit from the original counsel. Neither the plaintiff nor the original plaintiff's counsel provided any affidavit evidence regarding the reason Joseph Spitale was not named as a defendant in the original writ of summons.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delay in this case has been very long. The writ was issued in February 1998, a few months before the expiration of the limitation period. Even though the plaintiff's counsel says he first considered the issue of whether Joseph Spitale should have been included as a defendant in April 2000 he did not take steps to add him until 2001. The application to add Joseph Spitale was not served until February 2001, three years after the writ was issued and almost 2 1/2 years after the expiration of the limitation period. No satisfactory explanation has been given for the delay from April 2000 to February 2001 in applying to add Joseph Spitale.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Although the ex parte order to add Joseph Spitale as a defendant was made in May 2001 the order and amended writ and statement of claim were not filed until October 19, 2001. Neither the order nor the amended writ and statement of claim were provided to the defendant or I.C.B.C. until November 2001, over three years after the expiry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 further delay was occasioned when the plaintiff's counsel requested an adjournment of the hearing in January 2002 in order to file evidence explaining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There is prejudice to the plaintiff if Joseph Spitale is not added as a defendant in that he will lose his cause of action against Joseph Spitale. The defendant has pleaded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the plaintiff is found contributorily negligent he will lose his opportunity to recover damages against Joseph Spitale unless he is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evidence of I.C.B.C. is that it has been prejudiced in conducting its investigation of the allegations against Joseph Spitale by the delay. The claims examiner's evidence is that the adjuster would have had different instructions regarding the scope and nature of the investigation he was to conduct of the plaintiff's conduct prior to the accident including interviewing potential witnesses. The evidence at trial will depend on the recollections of the parties and witnesses which will have deteriorated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argues that I.C.B.C. is not prejudiced as it has denied coverage to Joseph Spitale and therefore may face no exposure with respect to the claim. Joseph Spitale has taken no steps to oppose the application. While Joseph Spitale and I.C.B.C. may be adverse in interest regarding the issue of coverage it is clear that the interests of Joseph Spitale and I.C.B.C. are not adverse in these proceedings as it is in both their interests to contest liability and the amount of any claim made against Joseph Spitale. The issue of coverage will not be decided in these proceedings and accordingly, I am of the view that it is not a factor to be considered in determining the existence or absence of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 argues that since he does not have access to underinsured motorist protection coverage he will be extremely prejudiced should Joseph Spitale not be added as a defendant. Plaintiff's counsel deposes this is one of the reasons he determined it was necessary to add Joseph Spitale. At the same time the plaintiff argues I should not take into account the possible lawsuit the plaintiff would have against counsel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None of these factors are relevant as the amount of insurance coverage available is not something that should be considered in this type of application, rather the issue should be determined on its merits between the true litigants. Mah v. City of Vancouver et al, </w:t>
      </w:r>
      <w:hyperlink r:id="rId207" w:history="1">
        <w:r>
          <w:rPr>
            <w:rFonts w:ascii="arial" w:eastAsia="arial" w:hAnsi="arial" w:cs="arial"/>
            <w:i/>
            <w:color w:val="0077CC"/>
            <w:sz w:val="20"/>
            <w:u w:val="single"/>
            <w:shd w:val="clear" w:color="auto" w:fill="FFFFFF"/>
            <w:lang w:val="en-US" w:eastAsia="en-US" w:bidi="ar-SA"/>
          </w:rPr>
          <w:t>[2000] B.C.J. No. 44</w:t>
        </w:r>
      </w:hyperlink>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2000 BCSC 41</w:t>
        </w:r>
      </w:hyperlink>
      <w:r>
        <w:rPr>
          <w:rFonts w:ascii="arial" w:eastAsia="arial" w:hAnsi="arial" w:cs="arial"/>
          <w:color w:val="000000"/>
          <w:sz w:val="20"/>
          <w:lang w:val="en-US" w:eastAsia="en-US" w:bidi="ar-SA"/>
        </w:rPr>
        <w:t xml:space="preserve"> ([paragraph]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Although there is a connection between the existing claim and the proposed new party there is a long unexplained delay in applying to add Joseph Spitale. This is not a case where the delay is only a few months such as in Teal where the short period of delay militated in the favour of allowing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One of the policy reasons underlying limitation legislation is that it brings to an end the contingent liability which would otherwise hang over the head of a prospective defendant indefinitely. When the limitation period has passed the proposed defendant should be entitled to order his affairs with the knowledge that the contingent liability has ceased to exist. Bank of Montreal v. Ricketts </w:t>
      </w:r>
      <w:hyperlink r:id="rId208" w:history="1">
        <w:r>
          <w:rPr>
            <w:rFonts w:ascii="arial" w:eastAsia="arial" w:hAnsi="arial" w:cs="arial"/>
            <w:i/>
            <w:color w:val="0077CC"/>
            <w:sz w:val="20"/>
            <w:u w:val="single"/>
            <w:shd w:val="clear" w:color="auto" w:fill="FFFFFF"/>
            <w:lang w:val="en-US" w:eastAsia="en-US" w:bidi="ar-SA"/>
          </w:rPr>
          <w:t>(1990), 44 B.C.L.R. (2d) 95</w:t>
        </w:r>
      </w:hyperlink>
      <w:r>
        <w:rPr>
          <w:rFonts w:ascii="arial" w:eastAsia="arial" w:hAnsi="arial" w:cs="arial"/>
          <w:color w:val="000000"/>
          <w:sz w:val="20"/>
          <w:lang w:val="en-US" w:eastAsia="en-US" w:bidi="ar-SA"/>
        </w:rPr>
        <w:t xml:space="preserve"> at 116 (C.A.). In my view, it is clearly unjust to allow plaintiffs to simply ignore limitation periods as seems to have been done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Having considered all of the factors enunciated in Teal and Letvad including the potential prejudice to the plaintiff and Joseph Spitale I conclude it would not be just and convenient in the circumstances of this case to add Joseph Spitale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Accordingly, I am granting an order that the Master's order made on May 11, 2001 be discharged to the extent it allows the addition of Joseph Spitale as a defendant including the amendments to the pleadings in that regard. The third party I.C.B.C. is entitled to its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GEROW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August 27,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In my written reasons for judgment released on July 30, 2003, under neutral citation 2003 BCSC 1168, on page 1, the name of counsel for the applicant third party is "Sudhir K. Padmanabhan" and not "Callum G. Kelly".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September 9,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[1] There was a typographical error in the Corrigendum to my reasons for judgment released on August 27, 2003, under neutral citation 2003 BCSC 1168, on page 2. The neutral citation number was referred to as" </w:t>
      </w:r>
      <w:hyperlink r:id="rId209" w:history="1">
        <w:r>
          <w:rPr>
            <w:rFonts w:ascii="arial" w:eastAsia="arial" w:hAnsi="arial" w:cs="arial"/>
            <w:i/>
            <w:color w:val="0077CC"/>
            <w:sz w:val="20"/>
            <w:u w:val="single"/>
            <w:shd w:val="clear" w:color="auto" w:fill="FFFFFF"/>
            <w:lang w:val="en-US" w:eastAsia="en-US" w:bidi="ar-SA"/>
          </w:rPr>
          <w:t>2003 BCSC 1186</w:t>
        </w:r>
      </w:hyperlink>
      <w:r>
        <w:rPr>
          <w:rFonts w:ascii="arial" w:eastAsia="arial" w:hAnsi="arial" w:cs="arial"/>
          <w:color w:val="000000"/>
          <w:sz w:val="20"/>
          <w:lang w:val="en-US" w:eastAsia="en-US" w:bidi="ar-SA"/>
        </w:rPr>
        <w:t>". The correct numbr is "2003 BCSC 1168".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Strother v. Darc, [2017] B.C.J. No. 419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S155562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419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348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Collingwood Strother, Plaintiff, and Leslie Marie Darc,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8"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4" w:name="Keywords_12"/>
      <w:bookmarkEnd w:id="84"/>
      <w:r>
        <w:rPr>
          <w:rFonts w:ascii="arial" w:eastAsia="arial" w:hAnsi="arial" w:cs="arial"/>
          <w:b/>
          <w:color w:val="000000"/>
          <w:sz w:val="20"/>
          <w:lang w:val="en-US" w:eastAsia="en-US" w:bidi="ar-SA"/>
        </w:rPr>
        <w:t>Civil litigation — Civil procedure — Parties — Adding or substituting — Estoppel — Appeal by Strother dismissing motion to add husband as party to actions dismissed — Strother loaned Mr. Darc total of $445,000, which was not repaid — Strother commenced action against Mr. Darc in debt and, alternatively, in unjust enrichment, in different action — Strother then commenced current action against Ms. Darc — Decision against Mr. Darc was upheld on summary trial — It could not be found that Master was clearly wrong in concluding that cause of action in case at bar, and in Strother's previous action against Mr. Darc, were not separate and distinct.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5" w:name="Case Summary_11"/>
            <w:bookmarkEnd w:id="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Strother dismissing motion to add the husband as a party to the actions. Strother loaned Mr. Darc a total of $445,000. Mr. Darc did not repay the loans. Strother commenced an action against Mr. Darc in debt and, alternatively, in unjust enrichment, in a different action. Strother then commenced the current action. Strother filed two Certificates of Pending Litigation ("CPLs") against two properties owned by Ms. Darc. A decision against Mr. Darc was upheld on summary trial. The next day, Ms. Darc applied for an order dismissing the current action and cancelling the CPLs. Strother applied for leave to amend the notice of civil claim in the current action to add Mr. Darc as a defendant, alleging a fraudulent conveyance from Mr. Darc to Ms. Darc. The Master determined that the husband of the defendant, Darc, could not be added to the action on the basis of issue estoppel. Alternatively, the Master relied on the doctrine of abuse of process to prevent the amendment. Strother's subsequent application to have the CPLs reinstated was dismissed.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6" w:name="Holdings of Court_10"/>
            <w:bookmarkEnd w:id="86"/>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Master's decision was not clearly wrong. The decision was upheld on the basis of merger. The Master's decision was an interlocutory order. It could not be found that the Master was clearly wrong in concluding that the cause of action in the case at bar, and in Strother's previous action against Mr. Darc, were not separate and distinct. Master was not clearly wrong in emphasizing the fact that Strother was aware of the fraudulent conveyance issue before obtaining his judgment against Mr. Darc. Instead, Mr. Strother's decision not to add Ms. Darc to the original action should be treated as a litigation decision made at his own risk. It could not be said that the Master's decision was clearly wrong because he used the term "issue estoppel" rather than "merger". In light of the fact that Strother would be able to continue his action against Ms. Darc without Mr. Darc as a party, upholding the Master's decision would have worked an injustice.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appeal from a decision of a Master of the Supreme Court of British Columbia, dated August 29, 2016 (Strother v. Darc, </w:t>
            </w:r>
            <w:hyperlink r:id="rId217" w:history="1">
              <w:r>
                <w:rPr>
                  <w:rFonts w:ascii="arial" w:eastAsia="arial" w:hAnsi="arial" w:cs="arial"/>
                  <w:i/>
                  <w:color w:val="0077CC"/>
                  <w:sz w:val="20"/>
                  <w:u w:val="single"/>
                  <w:shd w:val="clear" w:color="auto" w:fill="FFFFFF"/>
                  <w:lang w:val="en-US" w:eastAsia="en-US" w:bidi="ar-SA"/>
                </w:rPr>
                <w:t>2016 BCSC 1579</w:t>
              </w:r>
            </w:hyperlink>
            <w:r>
              <w:rPr>
                <w:rFonts w:ascii="arial" w:eastAsia="arial" w:hAnsi="arial" w:cs="arial"/>
                <w:color w:val="000000"/>
                <w:sz w:val="20"/>
                <w:lang w:val="en-US" w:eastAsia="en-US" w:bidi="ar-SA"/>
              </w:rPr>
              <w:t xml:space="preserve">, Vancouver Docket No. S155562).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7" w:name="Counsel_12"/>
      <w:bookmarkEnd w:id="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9"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J.D. Vilvang, Q.C., J.M.S. Woolley.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J.D. Shields.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8" w:name="Judgment_12"/>
      <w:bookmarkEnd w:id="88"/>
      <w:r>
        <w:pict>
          <v:line id="_x0000_s1090" style="position:absolute;z-index:2517739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9" w:name="L.D. RUSSELL J."/>
            <w:bookmarkEnd w:id="89"/>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appeal of a Master's decision in </w:t>
      </w:r>
      <w:r>
        <w:rPr>
          <w:rFonts w:ascii="arial" w:eastAsia="arial" w:hAnsi="arial" w:cs="arial"/>
          <w:i/>
          <w:color w:val="000000"/>
          <w:sz w:val="20"/>
          <w:lang w:val="en-US" w:eastAsia="en-US" w:bidi="ar-SA"/>
        </w:rPr>
        <w:t>Strother v. Darc</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2016 BCSC 1579</w:t>
        </w:r>
      </w:hyperlink>
      <w:r>
        <w:rPr>
          <w:rFonts w:ascii="arial" w:eastAsia="arial" w:hAnsi="arial" w:cs="arial"/>
          <w:color w:val="000000"/>
          <w:sz w:val="20"/>
          <w:lang w:val="en-US" w:eastAsia="en-US" w:bidi="ar-SA"/>
        </w:rPr>
        <w:t>. In that decision, the Master determined that Mr. Paul Darc, the husband of the defendant in the case at bar, Ms. Leslie Marie Darc, could not be added to this action on the basis of issue estoppel. Alternatively, the Master relied on the doctrine of abuse of process to prevent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 the reasons that follow, I dismiss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Given the complexity of the facts in this case, I believe it is worth setting them out at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Between September 2012 and October 2014, the appellant, Mr. Robert Collingwood Strother, loaned Mr. Darc a total of $445,000. Mr. Darc did not repay those loans. Consequently, on May 25, 2015, the appellant sued Mr. Darc in debt and, alternatively, in unjust enrichment, in a different action from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appellant then began this action on July 8, 2015 by suing Ms. Darc. The appellant filed Certificates of Pending Litigation (CPLs) against two properties owned by the defendant. According to Mr. Strother, this was done on the basis of his belief that if the claim in debt and unjust enrichment against Mr. Darc failed, there would be no juristic reason for the money advanced by him to have found its way into the hands of the defendant, meaning Ms. Darc could be found to have been unjustly enriched. In addition, Mr. Strother submits that he further intended that, until the claim against Mr. Darc was finally decided, this claim would be held in abeyance, given that if Mr. Darc were held to be indebted to the appellant pursuant to contract, then there would be no claim in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On November 5, 2015, the appellant applied, by way of summary trial, for judgment against Mr. Darc. On December 11, 2015, this Court ruled in Mr. Strother's favour: </w:t>
      </w:r>
      <w:r>
        <w:rPr>
          <w:rFonts w:ascii="arial" w:eastAsia="arial" w:hAnsi="arial" w:cs="arial"/>
          <w:i/>
          <w:color w:val="000000"/>
          <w:sz w:val="20"/>
          <w:lang w:val="en-US" w:eastAsia="en-US" w:bidi="ar-SA"/>
        </w:rPr>
        <w:t>Strother v. Darc</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2015 BCSC 2507</w:t>
        </w:r>
      </w:hyperlink>
      <w:r>
        <w:rPr>
          <w:rFonts w:ascii="arial" w:eastAsia="arial" w:hAnsi="arial" w:cs="arial"/>
          <w:color w:val="000000"/>
          <w:sz w:val="20"/>
          <w:lang w:val="en-US" w:eastAsia="en-US" w:bidi="ar-SA"/>
        </w:rPr>
        <w:t xml:space="preserve">. On July 7, 2016, that decision was upheld by the BC Court of Appeal: </w:t>
      </w:r>
      <w:r>
        <w:rPr>
          <w:rFonts w:ascii="arial" w:eastAsia="arial" w:hAnsi="arial" w:cs="arial"/>
          <w:i/>
          <w:color w:val="000000"/>
          <w:sz w:val="20"/>
          <w:lang w:val="en-US" w:eastAsia="en-US" w:bidi="ar-SA"/>
        </w:rPr>
        <w:t>Strother v. Darc</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2016 BCCA 297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next day, July 8, 2016, Ms. Darc applied for an order dismissing this action and cancelling the CPLs. In response, on July 27, 2016, the appellant applied for leave to amend the notice of civil claim in this action to add Mr. Darc as a defendant, alleging a fraudulent conveyance from Mr. Darc to Ms. Darc.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Both applications came before the Master on August 16, 2016. Approximately two weeks later, on August 29, 2016, the Master released his decision, which is the subject of this appeal. In this decision, the Master dismissed the appellant's application to amend the notice of civil claim, as he concluded that the doctrines of issue estoppel and abuse of process applied to bar the amendment. Consequently, he granted the defendant's application to strike the CPLs attached to the aforementioned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Subsequently, the appellant sought to have the CPLs reinstated. In an unreported decision dated September 7, 2016, that application was dismissed by Kent, J. While Mr. Justice Kent's decision is not the subject of this appeal, I mention it in order to provide context for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parties disagree as to whether the Master's decision was an interlocutory order or a final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James (Re)</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2013 BCSC 3</w:t>
        </w:r>
      </w:hyperlink>
      <w:r>
        <w:rPr>
          <w:rFonts w:ascii="arial" w:eastAsia="arial" w:hAnsi="arial" w:cs="arial"/>
          <w:color w:val="000000"/>
          <w:sz w:val="20"/>
          <w:lang w:val="en-US" w:eastAsia="en-US" w:bidi="ar-SA"/>
        </w:rPr>
        <w:t>, at para. 41 the Court noted the following regarding appeals of Masters' decisions: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Abermin</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[1990] B.C.J. No. 1060</w:t>
        </w:r>
      </w:hyperlink>
      <w:r>
        <w:rPr>
          <w:rFonts w:ascii="arial" w:eastAsia="arial" w:hAnsi="arial" w:cs="arial"/>
          <w:color w:val="000000"/>
          <w:sz w:val="20"/>
          <w:lang w:val="en-US" w:eastAsia="en-US" w:bidi="ar-SA"/>
        </w:rPr>
        <w:t xml:space="preserve">, sets out the standard. It is either a true appeal of the Master's decision - the "clearly wrong" test or, if the rulings of the Master are final, having a "dispositive effect on a substantive part of the action," then there is a rehearing: </w:t>
      </w:r>
      <w:r>
        <w:rPr>
          <w:rFonts w:ascii="arial" w:eastAsia="arial" w:hAnsi="arial" w:cs="arial"/>
          <w:i/>
          <w:color w:val="000000"/>
          <w:sz w:val="20"/>
          <w:lang w:val="en-US" w:eastAsia="en-US" w:bidi="ar-SA"/>
        </w:rPr>
        <w:t>Forest Glen</w:t>
      </w:r>
      <w:r>
        <w:rPr>
          <w:rFonts w:ascii="arial" w:eastAsia="arial" w:hAnsi="arial" w:cs="arial"/>
          <w:color w:val="000000"/>
          <w:sz w:val="20"/>
          <w:lang w:val="en-US" w:eastAsia="en-US" w:bidi="ar-SA"/>
        </w:rPr>
        <w:t xml:space="preserve">. Even if the Master is entitled to exercise a discretion, a judge on the appeal may substitute his or her view for that of the Master's: </w:t>
      </w:r>
      <w:r>
        <w:rPr>
          <w:rFonts w:ascii="arial" w:eastAsia="arial" w:hAnsi="arial" w:cs="arial"/>
          <w:i/>
          <w:color w:val="000000"/>
          <w:sz w:val="20"/>
          <w:lang w:val="en-US" w:eastAsia="en-US" w:bidi="ar-SA"/>
        </w:rPr>
        <w:t>Ralph's Auto Supply (B.C.) Ltd. v. Ken Ransford Holding Ltd.</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2011 BCSC 999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Consequently, a purely interlocutory order is to be reviewed on a 'clearly wrong' standard, whereas a final order is subject to a rehearing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question of deciding whether the Master's decision was interlocutory or final in nature is not straightforward. Traditionally, courts have found that a Master's decision regarding the amendment of a pleading is purely interlocutory in nature: </w:t>
      </w:r>
      <w:r>
        <w:rPr>
          <w:rFonts w:ascii="arial" w:eastAsia="arial" w:hAnsi="arial" w:cs="arial"/>
          <w:i/>
          <w:color w:val="000000"/>
          <w:sz w:val="20"/>
          <w:lang w:val="en-US" w:eastAsia="en-US" w:bidi="ar-SA"/>
        </w:rPr>
        <w:t>311165 BC Ltd. v. Derewenko</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2015 BCSC 1594</w:t>
        </w:r>
      </w:hyperlink>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Similarly, courts have made it clear that a Master's decision regarding the addition of a party is owed deference by a reviewing court: </w:t>
      </w:r>
      <w:r>
        <w:rPr>
          <w:rFonts w:ascii="arial" w:eastAsia="arial" w:hAnsi="arial" w:cs="arial"/>
          <w:i/>
          <w:color w:val="000000"/>
          <w:sz w:val="20"/>
          <w:lang w:val="en-US" w:eastAsia="en-US" w:bidi="ar-SA"/>
        </w:rPr>
        <w:t>Isman v. New Westminster (City)</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2012 BCSC 774</w:t>
        </w:r>
      </w:hyperlink>
      <w:r>
        <w:rPr>
          <w:rFonts w:ascii="arial" w:eastAsia="arial" w:hAnsi="arial" w:cs="arial"/>
          <w:color w:val="000000"/>
          <w:sz w:val="20"/>
          <w:lang w:val="en-US" w:eastAsia="en-US" w:bidi="ar-SA"/>
        </w:rPr>
        <w:t xml:space="preserve">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However, in support of the appellant's submission that the decision was a final order, I note two recent decisions by the BC Court of Appeal. First, in </w:t>
      </w:r>
      <w:r>
        <w:rPr>
          <w:rFonts w:ascii="arial" w:eastAsia="arial" w:hAnsi="arial" w:cs="arial"/>
          <w:i/>
          <w:color w:val="000000"/>
          <w:sz w:val="20"/>
          <w:lang w:val="en-US" w:eastAsia="en-US" w:bidi="ar-SA"/>
        </w:rPr>
        <w:t>Amezcua v. Taylor</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2009 BCCA 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Amezcua</w:t>
      </w:r>
      <w:r>
        <w:rPr>
          <w:rFonts w:ascii="arial" w:eastAsia="arial" w:hAnsi="arial" w:cs="arial"/>
          <w:color w:val="000000"/>
          <w:sz w:val="20"/>
          <w:lang w:val="en-US" w:eastAsia="en-US" w:bidi="ar-SA"/>
        </w:rPr>
        <w:t>], the Court found the following at para.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of whether leave to appeal is required turns on whether this is a final or interlocutory order. The answer lies in the effect of the order - does it dispose of a substantive issue in the action?: </w:t>
      </w:r>
      <w:r>
        <w:rPr>
          <w:rFonts w:ascii="arial" w:eastAsia="arial" w:hAnsi="arial" w:cs="arial"/>
          <w:i/>
          <w:color w:val="000000"/>
          <w:sz w:val="20"/>
          <w:lang w:val="en-US" w:eastAsia="en-US" w:bidi="ar-SA"/>
        </w:rPr>
        <w:t>Forest Glen Wood Products Ltd. v. British Columbia (Minister of Forests)</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2008 BCCA 480</w:t>
        </w:r>
      </w:hyperlink>
      <w:r>
        <w:rPr>
          <w:rFonts w:ascii="arial" w:eastAsia="arial" w:hAnsi="arial" w:cs="arial"/>
          <w:color w:val="000000"/>
          <w:sz w:val="20"/>
          <w:lang w:val="en-US" w:eastAsia="en-US" w:bidi="ar-SA"/>
        </w:rPr>
        <w:t xml:space="preserve">. I think it does. Effectively, the order decides with finality that (i) the action against the respondent in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futile; (ii) the only cause of action available against the respondent is in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(iii) the Minister has the benefit of the limitation defence. Thus, it is a final order and leave of this Court is not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finding in </w:t>
      </w:r>
      <w:r>
        <w:rPr>
          <w:rFonts w:ascii="arial" w:eastAsia="arial" w:hAnsi="arial" w:cs="arial"/>
          <w:i/>
          <w:color w:val="000000"/>
          <w:sz w:val="20"/>
          <w:lang w:val="en-US" w:eastAsia="en-US" w:bidi="ar-SA"/>
        </w:rPr>
        <w:t>Amezcua</w:t>
      </w:r>
      <w:r>
        <w:rPr>
          <w:rFonts w:ascii="arial" w:eastAsia="arial" w:hAnsi="arial" w:cs="arial"/>
          <w:color w:val="000000"/>
          <w:sz w:val="20"/>
          <w:lang w:val="en-US" w:eastAsia="en-US" w:bidi="ar-SA"/>
        </w:rPr>
        <w:t xml:space="preserve"> was applied by the BC Court of Appeal to the doctrine of issue estoppel in </w:t>
      </w:r>
      <w:r>
        <w:rPr>
          <w:rFonts w:ascii="arial" w:eastAsia="arial" w:hAnsi="arial" w:cs="arial"/>
          <w:i/>
          <w:color w:val="000000"/>
          <w:sz w:val="20"/>
          <w:lang w:val="en-US" w:eastAsia="en-US" w:bidi="ar-SA"/>
        </w:rPr>
        <w:t>Laidar Holdings Ltd. v. Lindt &amp; Sprungli (Canada) Inc.</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2011 BCCA 320</w:t>
        </w:r>
      </w:hyperlink>
      <w:r>
        <w:rPr>
          <w:rFonts w:ascii="arial" w:eastAsia="arial" w:hAnsi="arial" w:cs="arial"/>
          <w:color w:val="000000"/>
          <w:sz w:val="20"/>
          <w:lang w:val="en-US" w:eastAsia="en-US" w:bidi="ar-SA"/>
        </w:rPr>
        <w:t>. In that case, the Court noted the following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an order decides only issues regarding the procedural right to pursue a remedy, it is classified an interlocutory order as no substantive decision has been made, only a procedural one. Where an order actually decides a substantive issue, such as the merits of a portion of the action, it will be classified as a final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Subsequently, the Court concluded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[the Master] found at para. 22 of her reasons that "DTZ Ontario has no claim against the law firm for indemnity or contribution". While I make no comment as to the correctness of that finding, it is a finding that was based upon the submissions of the law firm, and is, in my view, a conclusory finding that precludes the applicant from any remedy against the law firm in any proceeding, </w:t>
      </w:r>
      <w:r>
        <w:rPr>
          <w:rFonts w:ascii="arial" w:eastAsia="arial" w:hAnsi="arial" w:cs="arial"/>
          <w:color w:val="000000"/>
          <w:sz w:val="20"/>
          <w:u w:val="single"/>
          <w:lang w:val="en-US" w:eastAsia="en-US" w:bidi="ar-SA"/>
        </w:rPr>
        <w:t>based on the principles of issue estoppel</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these two decisions seem to weigh in the appellant's favour, it is important to keep in mind that both decisions arose in a context where the parties were seeking a determination as to whether leave to appeal from an order was required. Consequently, the fact patterns of those cases were fundamentally different from those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addition, if the reasoning of the above two cases is applied to the current application, then an asymmetry would emerge in the law: a Master's decision which added a party would be a purely interlocutory order, while a Master's decision which refused to add a party would be a final order. It is my view that any standard of review analysis should be based on the nature of the question before a Master, rather than the Master's answer to that question. I find that it would be inappropriate to introduce such an asymmetry into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a result, I find the Master's decision was an interlocutory order, meaning that the 'clearly wrong' standard applies to this review. To be clearly wrong, there must be an error of law or a misapprehension of the evidence: </w:t>
      </w:r>
      <w:r>
        <w:rPr>
          <w:rFonts w:ascii="arial" w:eastAsia="arial" w:hAnsi="arial" w:cs="arial"/>
          <w:i/>
          <w:color w:val="000000"/>
          <w:sz w:val="20"/>
          <w:lang w:val="en-US" w:eastAsia="en-US" w:bidi="ar-SA"/>
        </w:rPr>
        <w:t>Hickey v. Hickey</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[1999] 2 SCR 518</w:t>
        </w:r>
      </w:hyperlink>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Cause of Action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Before reviewing the Master's decision in detail, it is important to outline some general principles regarding cause of action estoppel. A good summary of these principles is found in </w:t>
      </w:r>
      <w:r>
        <w:rPr>
          <w:rFonts w:ascii="arial" w:eastAsia="arial" w:hAnsi="arial" w:cs="arial"/>
          <w:i/>
          <w:color w:val="000000"/>
          <w:sz w:val="20"/>
          <w:lang w:val="en-US" w:eastAsia="en-US" w:bidi="ar-SA"/>
        </w:rPr>
        <w:t>Royal Bank of Canada v. United Used Auto &amp; Truck Parts Ltd.</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2006 BCSC 1192</w:t>
        </w:r>
      </w:hyperlink>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24 C.B.R. (5th) 102</w:t>
        </w:r>
      </w:hyperlink>
      <w:r>
        <w:rPr>
          <w:rFonts w:ascii="arial" w:eastAsia="arial" w:hAnsi="arial" w:cs="arial"/>
          <w:color w:val="000000"/>
          <w:sz w:val="20"/>
          <w:lang w:val="en-US" w:eastAsia="en-US" w:bidi="ar-SA"/>
        </w:rPr>
        <w:t xml:space="preserve">, aff'd </w:t>
      </w:r>
      <w:hyperlink r:id="rId229" w:history="1">
        <w:r>
          <w:rPr>
            <w:rFonts w:ascii="arial" w:eastAsia="arial" w:hAnsi="arial" w:cs="arial"/>
            <w:i/>
            <w:color w:val="0077CC"/>
            <w:sz w:val="20"/>
            <w:u w:val="single"/>
            <w:shd w:val="clear" w:color="auto" w:fill="FFFFFF"/>
            <w:lang w:val="en-US" w:eastAsia="en-US" w:bidi="ar-SA"/>
          </w:rPr>
          <w:t>2007 BCCA 111</w:t>
        </w:r>
      </w:hyperlink>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30 C.B.R. (5th) 193</w:t>
        </w:r>
      </w:hyperlink>
      <w:r>
        <w:rPr>
          <w:rFonts w:ascii="arial" w:eastAsia="arial" w:hAnsi="arial" w:cs="arial"/>
          <w:color w:val="000000"/>
          <w:sz w:val="20"/>
          <w:lang w:val="en-US" w:eastAsia="en-US" w:bidi="ar-SA"/>
        </w:rPr>
        <w:t xml:space="preserve">, leave to appeal to S.C.C. refused, 31944, </w:t>
      </w:r>
      <w:hyperlink r:id="rId230" w:history="1">
        <w:r>
          <w:rPr>
            <w:rFonts w:ascii="arial" w:eastAsia="arial" w:hAnsi="arial" w:cs="arial"/>
            <w:i/>
            <w:color w:val="0077CC"/>
            <w:sz w:val="20"/>
            <w:u w:val="single"/>
            <w:shd w:val="clear" w:color="auto" w:fill="FFFFFF"/>
            <w:lang w:val="en-US" w:eastAsia="en-US" w:bidi="ar-SA"/>
          </w:rPr>
          <w:t>[2007] S.C.C.A. No. 148</w:t>
        </w:r>
      </w:hyperlink>
      <w:r>
        <w:rPr>
          <w:rFonts w:ascii="arial" w:eastAsia="arial" w:hAnsi="arial" w:cs="arial"/>
          <w:color w:val="000000"/>
          <w:sz w:val="20"/>
          <w:lang w:val="en-US" w:eastAsia="en-US" w:bidi="ar-SA"/>
        </w:rPr>
        <w:t xml:space="preserve"> (August 23, 2007) [</w:t>
      </w:r>
      <w:r>
        <w:rPr>
          <w:rFonts w:ascii="arial" w:eastAsia="arial" w:hAnsi="arial" w:cs="arial"/>
          <w:i/>
          <w:color w:val="000000"/>
          <w:sz w:val="20"/>
          <w:lang w:val="en-US" w:eastAsia="en-US" w:bidi="ar-SA"/>
        </w:rPr>
        <w:t>Royal Bank of Canada</w:t>
      </w:r>
      <w:r>
        <w:rPr>
          <w:rFonts w:ascii="arial" w:eastAsia="arial" w:hAnsi="arial" w:cs="arial"/>
          <w:color w:val="000000"/>
          <w:sz w:val="20"/>
          <w:lang w:val="en-US" w:eastAsia="en-US" w:bidi="ar-SA"/>
        </w:rPr>
        <w:t>] at paras. 38-41: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Cause of action estoppel applies to bar proceedings that allege the same cause of action between the same parties if that cause has already been determined by the courts. </w:t>
      </w:r>
      <w:r>
        <w:rPr>
          <w:rFonts w:ascii="arial" w:eastAsia="arial" w:hAnsi="arial" w:cs="arial"/>
          <w:color w:val="000000"/>
          <w:sz w:val="20"/>
          <w:u w:val="single"/>
          <w:lang w:val="en-US" w:eastAsia="en-US" w:bidi="ar-SA"/>
        </w:rPr>
        <w:t>However, despite its name, it is not so strictly limited. Cause of action estoppel also applies to bar subsequent proceedings covering the same subject matter and arising out of the same relationship between the parties, even though the second litigation may be based on a different legal description or conception of the cause: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Lehndorff Management Ltd. v. L.R.S. Development Enterprises Ltd</w:t>
      </w:r>
      <w:r>
        <w:rPr>
          <w:rFonts w:ascii="arial" w:eastAsia="arial" w:hAnsi="arial" w:cs="arial"/>
          <w:color w:val="000000"/>
          <w:sz w:val="20"/>
          <w:lang w:val="en-US" w:eastAsia="en-US" w:bidi="ar-SA"/>
        </w:rPr>
        <w:t xml:space="preserve">. (1980), </w:t>
      </w:r>
      <w:hyperlink r:id="rId231" w:history="1">
        <w:r>
          <w:rPr>
            <w:rFonts w:ascii="arial" w:eastAsia="arial" w:hAnsi="arial" w:cs="arial"/>
            <w:i/>
            <w:color w:val="0077CC"/>
            <w:sz w:val="20"/>
            <w:u w:val="single"/>
            <w:shd w:val="clear" w:color="auto" w:fill="FFFFFF"/>
            <w:lang w:val="en-US" w:eastAsia="en-US" w:bidi="ar-SA"/>
          </w:rPr>
          <w:t>1980 CanLII 393</w:t>
        </w:r>
      </w:hyperlink>
      <w:r>
        <w:rPr>
          <w:rFonts w:ascii="arial" w:eastAsia="arial" w:hAnsi="arial" w:cs="arial"/>
          <w:color w:val="000000"/>
          <w:sz w:val="20"/>
          <w:lang w:val="en-US" w:eastAsia="en-US" w:bidi="ar-SA"/>
        </w:rPr>
        <w:t xml:space="preserve"> (BC CA), </w:t>
      </w:r>
      <w:hyperlink r:id="rId231" w:history="1">
        <w:r>
          <w:rPr>
            <w:rFonts w:ascii="arial" w:eastAsia="arial" w:hAnsi="arial" w:cs="arial"/>
            <w:i/>
            <w:color w:val="0077CC"/>
            <w:sz w:val="20"/>
            <w:u w:val="single"/>
            <w:shd w:val="clear" w:color="auto" w:fill="FFFFFF"/>
            <w:lang w:val="en-US" w:eastAsia="en-US" w:bidi="ar-SA"/>
          </w:rPr>
          <w:t>19 B.C.L.R. 59</w:t>
        </w:r>
      </w:hyperlink>
      <w:r>
        <w:rPr>
          <w:rFonts w:ascii="arial" w:eastAsia="arial" w:hAnsi="arial" w:cs="arial"/>
          <w:color w:val="000000"/>
          <w:sz w:val="20"/>
          <w:lang w:val="en-US" w:eastAsia="en-US" w:bidi="ar-SA"/>
        </w:rPr>
        <w:t xml:space="preserve"> at pp. 64-65, </w:t>
      </w:r>
      <w:hyperlink r:id="rId231" w:history="1">
        <w:r>
          <w:rPr>
            <w:rFonts w:ascii="arial" w:eastAsia="arial" w:hAnsi="arial" w:cs="arial"/>
            <w:i/>
            <w:color w:val="0077CC"/>
            <w:sz w:val="20"/>
            <w:u w:val="single"/>
            <w:shd w:val="clear" w:color="auto" w:fill="FFFFFF"/>
            <w:lang w:val="en-US" w:eastAsia="en-US" w:bidi="ar-SA"/>
          </w:rPr>
          <w:t>109 D.L.R. (3d) 729</w:t>
        </w:r>
      </w:hyperlink>
      <w:r>
        <w:rPr>
          <w:rFonts w:ascii="arial" w:eastAsia="arial" w:hAnsi="arial" w:cs="arial"/>
          <w:color w:val="000000"/>
          <w:sz w:val="20"/>
          <w:lang w:val="en-US" w:eastAsia="en-US" w:bidi="ar-SA"/>
        </w:rPr>
        <w:t xml:space="preserve"> (C.A.), cited with approval in </w:t>
      </w:r>
      <w:r>
        <w:rPr>
          <w:rFonts w:ascii="arial" w:eastAsia="arial" w:hAnsi="arial" w:cs="arial"/>
          <w:i/>
          <w:color w:val="000000"/>
          <w:sz w:val="20"/>
          <w:lang w:val="en-US" w:eastAsia="en-US" w:bidi="ar-SA"/>
        </w:rPr>
        <w:t>Chapman v. Canada</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(2003) 21 B.C.L.R. (4th) 272</w:t>
        </w:r>
      </w:hyperlink>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2003 BCCA 665</w:t>
        </w:r>
      </w:hyperlink>
      <w:r>
        <w:rPr>
          <w:rFonts w:ascii="arial" w:eastAsia="arial" w:hAnsi="arial" w:cs="arial"/>
          <w:color w:val="000000"/>
          <w:sz w:val="20"/>
          <w:lang w:val="en-US" w:eastAsia="en-US" w:bidi="ar-SA"/>
        </w:rPr>
        <w:t xml:space="preserve"> at para. 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This broader definition of cause of action estoppel recognizes that parties to an action have a duty to bring their whole case to the court's attention and not to reserve some aspect of the matter against the possibility of a decision in the opponent's favour as a means of preserving a way to come at the opponent again. As Wigram V.C. explained in </w:t>
      </w:r>
      <w:r>
        <w:rPr>
          <w:rFonts w:ascii="arial" w:eastAsia="arial" w:hAnsi="arial" w:cs="arial"/>
          <w:i/>
          <w:color w:val="000000"/>
          <w:sz w:val="20"/>
          <w:lang w:val="en-US" w:eastAsia="en-US" w:bidi="ar-SA"/>
        </w:rPr>
        <w:t>Henderson v. Henderson</w:t>
      </w:r>
      <w:r>
        <w:rPr>
          <w:rFonts w:ascii="arial" w:eastAsia="arial" w:hAnsi="arial" w:cs="arial"/>
          <w:color w:val="000000"/>
          <w:sz w:val="20"/>
          <w:lang w:val="en-US" w:eastAsia="en-US" w:bidi="ar-SA"/>
        </w:rPr>
        <w:t xml:space="preserve"> (1843), 3 Hare 100 at 114-15, 67 E.R. 313 at 319: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trying this question I believe I state the rule of the court correctly when I say that, where a given matter becomes the subject of litigation in, and of adjudication by, a court of competent jurisdiction, the court requires the parties to that litigation to bring forward their whole case, and will not (except under special circumstances) permit the same parties to open the same subject of litigation in respect of the matter which might have been brought forward as part of the subject in contest, but which was not brought forward, only because they have,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inadvertence, or even accident, omitted part of their case. The plea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except in special cases, not only to points upon which the court was actually required by the parties to form an opinion and pronounce a judgment, but to every point which properly belonged to the subject of litigation, in which the parties exercising reasonable diligence, might have brought forward at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This description of the doctrine was quoted with approval by our Court of Appeal in </w:t>
      </w:r>
      <w:r>
        <w:rPr>
          <w:rFonts w:ascii="arial" w:eastAsia="arial" w:hAnsi="arial" w:cs="arial"/>
          <w:i/>
          <w:color w:val="000000"/>
          <w:sz w:val="20"/>
          <w:lang w:val="en-US" w:eastAsia="en-US" w:bidi="ar-SA"/>
        </w:rPr>
        <w:t>Lehndorff Management, supra</w:t>
      </w:r>
      <w:r>
        <w:rPr>
          <w:rFonts w:ascii="arial" w:eastAsia="arial" w:hAnsi="arial" w:cs="arial"/>
          <w:color w:val="000000"/>
          <w:sz w:val="20"/>
          <w:lang w:val="en-US" w:eastAsia="en-US" w:bidi="ar-SA"/>
        </w:rPr>
        <w:t>, where Carrothers J.A. gave the following further explanation of the doctrine's scope: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maxim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does not apply to distinct causes of action (</w:t>
      </w:r>
      <w:r>
        <w:rPr>
          <w:rFonts w:ascii="arial" w:eastAsia="arial" w:hAnsi="arial" w:cs="arial"/>
          <w:i/>
          <w:color w:val="000000"/>
          <w:sz w:val="20"/>
          <w:lang w:val="en-US" w:eastAsia="en-US" w:bidi="ar-SA"/>
        </w:rPr>
        <w:t>Hall v. Hall and Hall's Feed &amp; Grain Ltd</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(1958), 15 D.L.R. (2d) 638</w:t>
        </w:r>
      </w:hyperlink>
      <w:r>
        <w:rPr>
          <w:rFonts w:ascii="arial" w:eastAsia="arial" w:hAnsi="arial" w:cs="arial"/>
          <w:color w:val="000000"/>
          <w:sz w:val="20"/>
          <w:lang w:val="en-US" w:eastAsia="en-US" w:bidi="ar-SA"/>
        </w:rPr>
        <w:t xml:space="preserve"> (Alta. C.A.)), but it does apply where the second action arises out of the same relationship, and the same subject matter, as the adjudicated action, although based upon a different legal conception of the relationship between the parties (</w:t>
      </w:r>
      <w:r>
        <w:rPr>
          <w:rFonts w:ascii="arial" w:eastAsia="arial" w:hAnsi="arial" w:cs="arial"/>
          <w:i/>
          <w:color w:val="000000"/>
          <w:sz w:val="20"/>
          <w:lang w:val="en-US" w:eastAsia="en-US" w:bidi="ar-SA"/>
        </w:rPr>
        <w:t>Morgan Power Apparatus Ltd. v. Flanders Installations Ltd</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(1972), 27 D.L.R. (3d) 249</w:t>
        </w:r>
      </w:hyperlink>
      <w:r>
        <w:rPr>
          <w:rFonts w:ascii="arial" w:eastAsia="arial" w:hAnsi="arial" w:cs="arial"/>
          <w:color w:val="000000"/>
          <w:sz w:val="20"/>
          <w:lang w:val="en-US" w:eastAsia="en-US" w:bidi="ar-SA"/>
        </w:rPr>
        <w:t xml:space="preserve"> (B.C.C.A.)). It also applies not only to points on which the court in the first action was actually required by the parties to form an opinion and pronounce a judgment, but to every point which properly belonged to the subject of the first litigation and which the parties, exercising reasonable diligence, might have brought forward at the time (</w:t>
      </w:r>
      <w:r>
        <w:rPr>
          <w:rFonts w:ascii="arial" w:eastAsia="arial" w:hAnsi="arial" w:cs="arial"/>
          <w:i/>
          <w:color w:val="000000"/>
          <w:sz w:val="20"/>
          <w:lang w:val="en-US" w:eastAsia="en-US" w:bidi="ar-SA"/>
        </w:rPr>
        <w:t>Winter v. Dewar</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41 B.C.R. 336</w:t>
        </w:r>
      </w:hyperlink>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[1929] 2 W.W.R. 518</w:t>
        </w:r>
      </w:hyperlink>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[1929] 4 D.L.R. 389</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Where a party seeks to pursue a second action against the same foe, the court must be satisfied that the new cause of action alleged is truly separate and distinct from the old, and not merely a new portrayal of the same subject matter, such as tort rather than contract. Litigants may not simply characterize the facts of the first action in a different way to avoid the application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can be seen in para. 38 above, courts in the past have avoided construing causes of action strictly.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his decision, the Master cited the doctrines of issue estoppel and, alternatively, abuse of process. After reviewing the law concerning estoppel, as I see it, the case at bar should be considered under the related concept of 'merger.'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On this point, the BC Court of Appeal recently discussed merger in </w:t>
      </w:r>
      <w:r>
        <w:rPr>
          <w:rFonts w:ascii="arial" w:eastAsia="arial" w:hAnsi="arial" w:cs="arial"/>
          <w:i/>
          <w:color w:val="000000"/>
          <w:sz w:val="20"/>
          <w:lang w:val="en-US" w:eastAsia="en-US" w:bidi="ar-SA"/>
        </w:rPr>
        <w:t>H.Y. Louie Co. Limited v. Bowick</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2015 BCCA 256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H.Y. Louie</w:t>
      </w:r>
      <w:r>
        <w:rPr>
          <w:rFonts w:ascii="arial" w:eastAsia="arial" w:hAnsi="arial" w:cs="arial"/>
          <w:color w:val="000000"/>
          <w:sz w:val="20"/>
          <w:lang w:val="en-US" w:eastAsia="en-US" w:bidi="ar-SA"/>
        </w:rPr>
        <w:t>] at paras. 64-66: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The doctrine of merger stands for the principle that a judgment acts as a bar to the original cause of action; the cause of action is merged into the remedy of the judgment. As noted by the Ontario Court of Appeal in </w:t>
      </w:r>
      <w:r>
        <w:rPr>
          <w:rFonts w:ascii="arial" w:eastAsia="arial" w:hAnsi="arial" w:cs="arial"/>
          <w:i/>
          <w:color w:val="000000"/>
          <w:sz w:val="20"/>
          <w:lang w:val="en-US" w:eastAsia="en-US" w:bidi="ar-SA"/>
        </w:rPr>
        <w:t>McIntosh v. Parent</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(1924), 55 O.L.R. 552</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other doctrine is often discussed under the maxim </w:t>
      </w:r>
      <w:r>
        <w:rPr>
          <w:rFonts w:ascii="arial" w:eastAsia="arial" w:hAnsi="arial" w:cs="arial"/>
          <w:i/>
          <w:color w:val="000000"/>
          <w:sz w:val="20"/>
          <w:lang w:val="en-US" w:eastAsia="en-US" w:bidi="ar-SA"/>
        </w:rPr>
        <w:t>nemo debet bis vexari</w:t>
      </w:r>
      <w:r>
        <w:rPr>
          <w:rFonts w:ascii="arial" w:eastAsia="arial" w:hAnsi="arial" w:cs="arial"/>
          <w:color w:val="000000"/>
          <w:sz w:val="20"/>
          <w:lang w:val="en-US" w:eastAsia="en-US" w:bidi="ar-SA"/>
        </w:rPr>
        <w:t>, or as merger by judgment, or splitting of a cause of action, and makes it obligatory upon a plaintiff asserting a cause of action to claim all his relief in respect thereto, and prevents any second attempt to invoke the aid of the Courts for the same cause, for on his first recovery his entire cause of action has become merged in his judgment and is gone for ever.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merger doctrine, once a final order or judgment is passed, the cause of action is extinguished. If a judgment is challenged, the focus of the appeal is not on the original cause of action but on the legality and validity of the judgment: </w:t>
      </w:r>
      <w:r>
        <w:rPr>
          <w:rFonts w:ascii="arial" w:eastAsia="arial" w:hAnsi="arial" w:cs="arial"/>
          <w:i/>
          <w:color w:val="000000"/>
          <w:sz w:val="20"/>
          <w:lang w:val="en-US" w:eastAsia="en-US" w:bidi="ar-SA"/>
        </w:rPr>
        <w:t>Canada (Attorney General) v. Hislop</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2007 SCC 10</w:t>
        </w:r>
      </w:hyperlink>
      <w:r>
        <w:rPr>
          <w:rFonts w:ascii="arial" w:eastAsia="arial" w:hAnsi="arial" w:cs="arial"/>
          <w:color w:val="000000"/>
          <w:sz w:val="20"/>
          <w:lang w:val="en-US" w:eastAsia="en-US" w:bidi="ar-SA"/>
        </w:rPr>
        <w:t xml:space="preserve"> at para. 75.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While merger and cause of action estoppel are closely connected and often are applied in tandem, the two doctrines have been "distinguished for the purpose of analysis". In essence, cause of action estoppel goes to the substantive content of the judgment, including findings of both fact and law; merger goes to the judgment itself and the relief granted:</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has a twofold operation. It estops the parties to a decision from afterwards controverting any issue thereby decided and it bars the party who has obtained relief from seeking it again. This distinction was explained by Diplock LJ in [</w:t>
      </w:r>
      <w:r>
        <w:rPr>
          <w:rFonts w:ascii="arial" w:eastAsia="arial" w:hAnsi="arial" w:cs="arial"/>
          <w:i/>
          <w:color w:val="000000"/>
          <w:sz w:val="20"/>
          <w:lang w:val="en-US" w:eastAsia="en-US" w:bidi="ar-SA"/>
        </w:rPr>
        <w:t>Thoday v. Thoday</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[1964] P. 181</w:t>
        </w:r>
      </w:hyperlink>
      <w:r>
        <w:rPr>
          <w:rFonts w:ascii="arial" w:eastAsia="arial" w:hAnsi="arial" w:cs="arial"/>
          <w:sz w:val="20"/>
          <w:lang w:val="en-US" w:eastAsia="en-US" w:bidi="ar-SA"/>
        </w:rPr>
        <w:t xml:space="preserve"> </w:t>
      </w:r>
      <w:r>
        <w:pict>
          <v:shape id="_x0000_i1091" type="#_x0000_t75" style="width:11pt;height:10pt">
            <v:imagedata r:id="rId240" o:title=""/>
          </v:shape>
        </w:pict>
      </w:r>
      <w:r>
        <w:rPr>
          <w:rFonts w:ascii="arial" w:eastAsia="arial" w:hAnsi="arial" w:cs="arial"/>
          <w:color w:val="000000"/>
          <w:sz w:val="20"/>
          <w:lang w:val="en-US" w:eastAsia="en-US" w:bidi="ar-SA"/>
        </w:rPr>
        <w:t xml:space="preserve"> (C.A.)]:</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cause of action estoppel ... prevents a party to an action from asserting or denying, as against the other party, the existence of a particular cause of action, the non-existence or existence of which has been determined by a court of competent jurisdiction in previous litigation between the parties. If the cause of action was determined to exist i.e. judgment was given upon it, it is said to be merged in the judgment ... If it was determined not to exist, the unsuccessful plaintiff can no longer assert that it does; he is estopped </w:t>
      </w:r>
      <w:r>
        <w:rPr>
          <w:rFonts w:ascii="arial" w:eastAsia="arial" w:hAnsi="arial" w:cs="arial"/>
          <w:i/>
          <w:color w:val="000000"/>
          <w:sz w:val="20"/>
          <w:lang w:val="en-US" w:eastAsia="en-US" w:bidi="ar-SA"/>
        </w:rPr>
        <w:t>per rem judicatam</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rule as to merger may be stated as follows: any person in whose favour an English judicial tribunal of competent jurisdiction has pronounced a final judgment, civil or criminal, is precluded from afterwards recovering before any English tribunal a second judgment against the same party on the same cause of action, or a second conviction for the same offence. </w:t>
      </w:r>
      <w:r>
        <w:rPr>
          <w:rFonts w:ascii="arial" w:eastAsia="arial" w:hAnsi="arial" w:cs="arial"/>
          <w:color w:val="000000"/>
          <w:sz w:val="20"/>
          <w:u w:val="single"/>
          <w:lang w:val="en-US" w:eastAsia="en-US" w:bidi="ar-SA"/>
        </w:rPr>
        <w:t>A plea of this nature ... is distinguishable from res judicata estoppel in two respects: in the first place, the latter prohibits contradiction, the former reassertion; secondly, that which must not be controverted, in cases of estoppel, is the proposition of law, or finding [of] fact, declared by, or necessarily involved in, the res judicata, whereas, in cases of former recovery what is not allowed is a second action for the relief previously granted</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K.R. Handley, </w:t>
      </w:r>
      <w:r>
        <w:rPr>
          <w:rFonts w:ascii="arial" w:eastAsia="arial" w:hAnsi="arial" w:cs="arial"/>
          <w:i/>
          <w:color w:val="000000"/>
          <w:sz w:val="20"/>
          <w:lang w:val="en-US" w:eastAsia="en-US" w:bidi="ar-SA"/>
        </w:rPr>
        <w:t>The Doctrine of Res Judicata</w:t>
      </w:r>
      <w:r>
        <w:rPr>
          <w:rFonts w:ascii="arial" w:eastAsia="arial" w:hAnsi="arial" w:cs="arial"/>
          <w:color w:val="000000"/>
          <w:sz w:val="20"/>
          <w:lang w:val="en-US" w:eastAsia="en-US" w:bidi="ar-SA"/>
        </w:rPr>
        <w:t xml:space="preserve">, 3d ed. (London: Butterworths, 1996) at 221, quoted in </w:t>
      </w:r>
      <w:r>
        <w:rPr>
          <w:rFonts w:ascii="arial" w:eastAsia="arial" w:hAnsi="arial" w:cs="arial"/>
          <w:i/>
          <w:color w:val="000000"/>
          <w:sz w:val="20"/>
          <w:lang w:val="en-US" w:eastAsia="en-US" w:bidi="ar-SA"/>
        </w:rPr>
        <w:t>Ladner v. Ladner</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2004 BCCA 366</w:t>
        </w:r>
      </w:hyperlink>
      <w:r>
        <w:rPr>
          <w:rFonts w:ascii="arial" w:eastAsia="arial" w:hAnsi="arial" w:cs="arial"/>
          <w:color w:val="000000"/>
          <w:sz w:val="20"/>
          <w:lang w:val="en-US" w:eastAsia="en-US" w:bidi="ar-SA"/>
        </w:rPr>
        <w:t xml:space="preserve"> at para. 44.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In </w:t>
      </w:r>
      <w:r>
        <w:rPr>
          <w:rFonts w:ascii="arial" w:eastAsia="arial" w:hAnsi="arial" w:cs="arial"/>
          <w:i/>
          <w:color w:val="000000"/>
          <w:sz w:val="20"/>
          <w:lang w:val="en-US" w:eastAsia="en-US" w:bidi="ar-SA"/>
        </w:rPr>
        <w:t>Ladner v. Ladner</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2004 BCCA 366</w:t>
        </w:r>
      </w:hyperlink>
      <w:r>
        <w:rPr>
          <w:rFonts w:ascii="arial" w:eastAsia="arial" w:hAnsi="arial" w:cs="arial"/>
          <w:color w:val="000000"/>
          <w:sz w:val="20"/>
          <w:lang w:val="en-US" w:eastAsia="en-US" w:bidi="ar-SA"/>
        </w:rPr>
        <w:t>, this Court considered the related concept of recovery, emphasizing that even if there were two possible claims emanating from the same cause of action and even if proceeding with the other claim may have been more fruitful, once judgment is rendered in one claim the other is extinguished: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"Recovery" means recovery of the relief granted; it does not mean satisfaction. The cause of action is merged in the judgment when pronounced; what happens afterwards is irrelevant. Accordingly, a plea of former recovery is good although the judgment is unsatisfied or the plaintiff elected to abandon his rights to execution, by </w:t>
      </w:r>
      <w:r>
        <w:rPr>
          <w:rFonts w:ascii="arial" w:eastAsia="arial" w:hAnsi="arial" w:cs="arial"/>
          <w:i/>
          <w:color w:val="000000"/>
          <w:sz w:val="20"/>
          <w:lang w:val="en-US" w:eastAsia="en-US" w:bidi="ar-SA"/>
        </w:rPr>
        <w:t>nolle prosequi</w:t>
      </w:r>
      <w:r>
        <w:rPr>
          <w:rFonts w:ascii="arial" w:eastAsia="arial" w:hAnsi="arial" w:cs="arial"/>
          <w:color w:val="000000"/>
          <w:sz w:val="20"/>
          <w:lang w:val="en-US" w:eastAsia="en-US" w:bidi="ar-SA"/>
        </w:rPr>
        <w:t xml:space="preserve">, or other formal act after judgment ... </w:t>
      </w:r>
      <w:r>
        <w:rPr>
          <w:rFonts w:ascii="arial" w:eastAsia="arial" w:hAnsi="arial" w:cs="arial"/>
          <w:color w:val="000000"/>
          <w:sz w:val="20"/>
          <w:u w:val="single"/>
          <w:lang w:val="en-US" w:eastAsia="en-US" w:bidi="ar-SA"/>
        </w:rPr>
        <w:t>Nor is it any answer to a former recovery to show that, by suing in one of two possible causes of action, the plaintiff recovered less than he would if he had sued in the other</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K.R. Handley, </w:t>
      </w:r>
      <w:r>
        <w:rPr>
          <w:rFonts w:ascii="arial" w:eastAsia="arial" w:hAnsi="arial" w:cs="arial"/>
          <w:i/>
          <w:color w:val="000000"/>
          <w:sz w:val="20"/>
          <w:lang w:val="en-US" w:eastAsia="en-US" w:bidi="ar-SA"/>
        </w:rPr>
        <w:t>The Doctrine of Res Judicata</w:t>
      </w:r>
      <w:r>
        <w:rPr>
          <w:rFonts w:ascii="arial" w:eastAsia="arial" w:hAnsi="arial" w:cs="arial"/>
          <w:color w:val="000000"/>
          <w:sz w:val="20"/>
          <w:lang w:val="en-US" w:eastAsia="en-US" w:bidi="ar-SA"/>
        </w:rPr>
        <w:t xml:space="preserve">, 3d ed. (London: Butterworths, 1996) at 227, quoted in </w:t>
      </w:r>
      <w:r>
        <w:rPr>
          <w:rFonts w:ascii="arial" w:eastAsia="arial" w:hAnsi="arial" w:cs="arial"/>
          <w:i/>
          <w:color w:val="000000"/>
          <w:sz w:val="20"/>
          <w:lang w:val="en-US" w:eastAsia="en-US" w:bidi="ar-SA"/>
        </w:rPr>
        <w:t>Ladner v. Ladner</w:t>
      </w:r>
      <w:r>
        <w:rPr>
          <w:rFonts w:ascii="arial" w:eastAsia="arial" w:hAnsi="arial" w:cs="arial"/>
          <w:color w:val="000000"/>
          <w:sz w:val="20"/>
          <w:lang w:val="en-US" w:eastAsia="en-US" w:bidi="ar-SA"/>
        </w:rPr>
        <w:t xml:space="preserve">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Consequently, it is clear that the case at bar is an issue of 'merger', a principle which applies to a party who, after successfully recovering under a cause of action, seeks to recover again using the same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Finally, it is important to review the requirements for cause of action estoppel. As correctly noted in the Master's decision, the requirements for cause of action estoppel were outlined by the Supreme Court of Canada in </w:t>
      </w:r>
      <w:r>
        <w:rPr>
          <w:rFonts w:ascii="arial" w:eastAsia="arial" w:hAnsi="arial" w:cs="arial"/>
          <w:i/>
          <w:color w:val="000000"/>
          <w:sz w:val="20"/>
          <w:lang w:val="en-US" w:eastAsia="en-US" w:bidi="ar-SA"/>
        </w:rPr>
        <w:t>Grandview v. Doering</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[1976] 2 SCR 621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Grandview</w:t>
      </w:r>
      <w:r>
        <w:rPr>
          <w:rFonts w:ascii="arial" w:eastAsia="arial" w:hAnsi="arial" w:cs="arial"/>
          <w:color w:val="000000"/>
          <w:sz w:val="20"/>
          <w:lang w:val="en-US" w:eastAsia="en-US" w:bidi="ar-SA"/>
        </w:rPr>
        <w:t xml:space="preserve">]. This test was recently quoted, with approval, by this Court in </w:t>
      </w:r>
      <w:r>
        <w:rPr>
          <w:rFonts w:ascii="arial" w:eastAsia="arial" w:hAnsi="arial" w:cs="arial"/>
          <w:i/>
          <w:color w:val="000000"/>
          <w:sz w:val="20"/>
          <w:lang w:val="en-US" w:eastAsia="en-US" w:bidi="ar-SA"/>
        </w:rPr>
        <w:t>L.M. v. British Columbia (Director of Child, Family, and Community Services)</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2016 BCSC 275</w:t>
        </w:r>
      </w:hyperlink>
      <w:r>
        <w:rPr>
          <w:rFonts w:ascii="arial" w:eastAsia="arial" w:hAnsi="arial" w:cs="arial"/>
          <w:color w:val="000000"/>
          <w:sz w:val="20"/>
          <w:lang w:val="en-US" w:eastAsia="en-US" w:bidi="ar-SA"/>
        </w:rPr>
        <w:t xml:space="preserve"> at para. 49:</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final decision of a court of competent jurisdiction in the prior action;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to the subsequent litigation must have been parties to or in privy with the parties to the prior action (mutuality);</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in the prior action must not be separate and distinct; and</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basis of the cause of action and the subsequent action was argued or could have been argued in the prior action if the parties had exercised reasonable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this action, the first two prongs of the </w:t>
      </w:r>
      <w:r>
        <w:rPr>
          <w:rFonts w:ascii="arial" w:eastAsia="arial" w:hAnsi="arial" w:cs="arial"/>
          <w:i/>
          <w:color w:val="000000"/>
          <w:sz w:val="20"/>
          <w:lang w:val="en-US" w:eastAsia="en-US" w:bidi="ar-SA"/>
        </w:rPr>
        <w:t>Grandview</w:t>
      </w:r>
      <w:r>
        <w:rPr>
          <w:rFonts w:ascii="arial" w:eastAsia="arial" w:hAnsi="arial" w:cs="arial"/>
          <w:color w:val="000000"/>
          <w:sz w:val="20"/>
          <w:lang w:val="en-US" w:eastAsia="en-US" w:bidi="ar-SA"/>
        </w:rPr>
        <w:t xml:space="preserve"> test on cause of action estoppel are clearly met: the BC Court of Appeal dismissed Mr. Darc's appeal of this Court's decision against him, and if Mr. Darc were added as a party, the case at bar would again relate to Mr. Darc and Mr. Strother. Consequently, my reasons have focused on the last two prongs of the </w:t>
      </w:r>
      <w:r>
        <w:rPr>
          <w:rFonts w:ascii="arial" w:eastAsia="arial" w:hAnsi="arial" w:cs="arial"/>
          <w:i/>
          <w:color w:val="000000"/>
          <w:sz w:val="20"/>
          <w:lang w:val="en-US" w:eastAsia="en-US" w:bidi="ar-SA"/>
        </w:rPr>
        <w:t>Grandview</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regard to the cause of action in the other proceeding being 'separate and distinct,' at para. 12 of his decision, the Master quoted Diplock L.J. in </w:t>
      </w:r>
      <w:r>
        <w:rPr>
          <w:rFonts w:ascii="arial" w:eastAsia="arial" w:hAnsi="arial" w:cs="arial"/>
          <w:i/>
          <w:color w:val="000000"/>
          <w:sz w:val="20"/>
          <w:lang w:val="en-US" w:eastAsia="en-US" w:bidi="ar-SA"/>
        </w:rPr>
        <w:t>Letang v. Cooper</w:t>
      </w:r>
      <w:r>
        <w:rPr>
          <w:rFonts w:ascii="arial" w:eastAsia="arial" w:hAnsi="arial" w:cs="arial"/>
          <w:color w:val="000000"/>
          <w:sz w:val="20"/>
          <w:lang w:val="en-US" w:eastAsia="en-US" w:bidi="ar-SA"/>
        </w:rPr>
        <w:t>, (1965) 1 Q.B 232 at pp. 242-243: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cause of action is simply a factual situation the existence of which entitles one person to obtain from the court a remedy against another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Subsequently, in finding that the actions were not separate and distinct, the Master noted the following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begin with Diplock L.J.'s definition of a cause of action, above. It is the factual matrix or context that defines the cause of action. It is not defined by the relief sought (eg. contract vs. unjust enrichment, trust, or fraudulent conveyance). Not all facts that pertain to or affect an issue, obviously, are necessarily known to a plaintiff at the start; to expect that is to require a kind of litigation prescience on the part of litigants or counsel that is simply not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As I noted above, this Court made it clear in </w:t>
      </w:r>
      <w:r>
        <w:rPr>
          <w:rFonts w:ascii="arial" w:eastAsia="arial" w:hAnsi="arial" w:cs="arial"/>
          <w:i/>
          <w:color w:val="000000"/>
          <w:sz w:val="20"/>
          <w:lang w:val="en-US" w:eastAsia="en-US" w:bidi="ar-SA"/>
        </w:rPr>
        <w:t>Royal Bank of Canada</w:t>
      </w:r>
      <w:r>
        <w:rPr>
          <w:rFonts w:ascii="arial" w:eastAsia="arial" w:hAnsi="arial" w:cs="arial"/>
          <w:color w:val="000000"/>
          <w:sz w:val="20"/>
          <w:lang w:val="en-US" w:eastAsia="en-US" w:bidi="ar-SA"/>
        </w:rPr>
        <w:t xml:space="preserve"> that causes of action are not to be construed strictly. In light of this case law, as well as the cases relied on by the Master, I cannot find that he was clearly wrong in concluding that the cause of action in the case at bar, and in Mr. Strother's previous action against Mr. Darc, were not separate and distinct.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regard to the fourth prong of the </w:t>
      </w:r>
      <w:r>
        <w:rPr>
          <w:rFonts w:ascii="arial" w:eastAsia="arial" w:hAnsi="arial" w:cs="arial"/>
          <w:i/>
          <w:color w:val="000000"/>
          <w:sz w:val="20"/>
          <w:lang w:val="en-US" w:eastAsia="en-US" w:bidi="ar-SA"/>
        </w:rPr>
        <w:t>Grandview</w:t>
      </w:r>
      <w:r>
        <w:rPr>
          <w:rFonts w:ascii="arial" w:eastAsia="arial" w:hAnsi="arial" w:cs="arial"/>
          <w:color w:val="000000"/>
          <w:sz w:val="20"/>
          <w:lang w:val="en-US" w:eastAsia="en-US" w:bidi="ar-SA"/>
        </w:rPr>
        <w:t xml:space="preserve"> test, whether the cause of action could have been argued with due diligence, I note the following findings by the Master at paras. 19-20 of his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On August 7, 2015, Ms. Darc filed an application under Rules 9-6 and 9-7 for an order that the claims against her be dismissed. In para. 2 of Part 4 ("Factual Basis") the plaintiff alleged: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summary, the Plaintiff claims that he advanced a series of three loans to the Defendant's husband, Jan Paul Darc ("Mr. Darc"), in the total amount of $445,000, which have all become due and payable to the Plaintiff. Rather than repay the loans, Mr. Darc transferred the benefit thereof to his wife, the Defendant. The Defendant, in turn, has used the loan proceeds to preserve, maintain, and improve two properties registered in her name, and to service the mortgage loans registered against those properties.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consequence is the unavoidable inference and conclusion that the plaintiff was fully informed of all of the facts pertaining to the loans and the use of the loan funds, particularly as that concerned Ms. Darc, throughout the progress of the other proceeding. The plaintiff is obviously seeking different relief than that sought and obtained in the other action, but the facts upon which the new relief is sought are substantially, if not entirely, the same facts and therefore the same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support of the reasonableness of this finding, I should note that in </w:t>
      </w:r>
      <w:r>
        <w:rPr>
          <w:rFonts w:ascii="arial" w:eastAsia="arial" w:hAnsi="arial" w:cs="arial"/>
          <w:i/>
          <w:color w:val="000000"/>
          <w:sz w:val="20"/>
          <w:lang w:val="en-US" w:eastAsia="en-US" w:bidi="ar-SA"/>
        </w:rPr>
        <w:t>H.Y. Louie</w:t>
      </w:r>
      <w:r>
        <w:rPr>
          <w:rFonts w:ascii="arial" w:eastAsia="arial" w:hAnsi="arial" w:cs="arial"/>
          <w:color w:val="000000"/>
          <w:sz w:val="20"/>
          <w:lang w:val="en-US" w:eastAsia="en-US" w:bidi="ar-SA"/>
        </w:rPr>
        <w:t>, which dealt with a bankruptcy, the Court concluded that the doctrine of merger applied to preclude a subsequent action by the plaintiff. In coming to that decision, the Court noted the following at para.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noted above, a cause of action is "the combination of facts which give rise to the right of action..." The facts said to give rise to the respondent's right to sue the appellant for breach of contract or for obtaining property by false pretences were identical and known to the respondent when it obtained consent judgments based [on] an allegation of breach of contract only. As a matter of law, the respondent's claims arising out of the appellant's conduct merged in the judgments it obtained. It conducted itself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quoted above, when concluding that Mr. Strother failed to exercise due diligence, the Master emphasized the fact that Mr. Strother was aware of the fraudulent conveyance issue before obtaining his judgment against Mr. Darc. It is my view that the Master was not clearly wrong in making this finding. Instead, I believe that Mr. Strother's decision not to add Ms. Darc to the original action should be treated as a litigation decision made at his own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Moreover, in coming to this conclusion, I should note that I have surveyed fraudulent conveyance cases in which the issue of reasonable diligence was discussed. However, in those cases, the key issue was whether it was reasonable to expect the plaintiff to have discovered the facts necessary to bring an action in fraudulent conveyance: </w:t>
      </w:r>
      <w:r>
        <w:rPr>
          <w:rFonts w:ascii="arial" w:eastAsia="arial" w:hAnsi="arial" w:cs="arial"/>
          <w:i/>
          <w:color w:val="000000"/>
          <w:sz w:val="20"/>
          <w:lang w:val="en-US" w:eastAsia="en-US" w:bidi="ar-SA"/>
        </w:rPr>
        <w:t>Watts v. Klaemt</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2010 BCSC 1122</w:t>
        </w:r>
      </w:hyperlink>
      <w:r>
        <w:rPr>
          <w:rFonts w:ascii="arial" w:eastAsia="arial" w:hAnsi="arial" w:cs="arial"/>
          <w:color w:val="000000"/>
          <w:sz w:val="20"/>
          <w:lang w:val="en-US" w:eastAsia="en-US" w:bidi="ar-SA"/>
        </w:rPr>
        <w:t xml:space="preserve"> at para. 36. Here, the action is fundamentally different from such cases, as the facts relevant for bringing an action in fraudulent conveyance were clearly known by the appellant when he sought his original judgment against Mr. Darc.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Finally, I do not find that the Master's decision was clearly wrong because he used the term 'issue estoppel' rather than 'merger.' This Court has recently found that the doctrine of merger is "closely related to the doctrines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issue estoppel, and abuse of process": </w:t>
      </w:r>
      <w:r>
        <w:rPr>
          <w:rFonts w:ascii="arial" w:eastAsia="arial" w:hAnsi="arial" w:cs="arial"/>
          <w:i/>
          <w:color w:val="000000"/>
          <w:sz w:val="20"/>
          <w:lang w:val="en-US" w:eastAsia="en-US" w:bidi="ar-SA"/>
        </w:rPr>
        <w:t>Mee Hoi Bros. Co. v. Borving Investments (Canada) Ltd.</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2016 BCSC 306</w:t>
        </w:r>
      </w:hyperlink>
      <w:r>
        <w:rPr>
          <w:rFonts w:ascii="arial" w:eastAsia="arial" w:hAnsi="arial" w:cs="arial"/>
          <w:color w:val="000000"/>
          <w:sz w:val="20"/>
          <w:lang w:val="en-US" w:eastAsia="en-US" w:bidi="ar-SA"/>
        </w:rPr>
        <w:t xml:space="preserve"> at para. 25. Consequently, despite my finding that merger is the appropriate doctrine to apply in this application, this difference from the Master's terminology is not fatal to 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However, having found that the doctrine of merger applies in these circumstances, an additional analysis is required. In </w:t>
      </w:r>
      <w:r>
        <w:rPr>
          <w:rFonts w:ascii="arial" w:eastAsia="arial" w:hAnsi="arial" w:cs="arial"/>
          <w:i/>
          <w:color w:val="000000"/>
          <w:sz w:val="20"/>
          <w:lang w:val="en-US" w:eastAsia="en-US" w:bidi="ar-SA"/>
        </w:rPr>
        <w:t>Paterson v. Reeves</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2002 BCSC 1341</w:t>
        </w:r>
      </w:hyperlink>
      <w:r>
        <w:rPr>
          <w:rFonts w:ascii="arial" w:eastAsia="arial" w:hAnsi="arial" w:cs="arial"/>
          <w:color w:val="000000"/>
          <w:sz w:val="20"/>
          <w:lang w:val="en-US" w:eastAsia="en-US" w:bidi="ar-SA"/>
        </w:rPr>
        <w:t>, the Court noted the following at paras. 22-24: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Even if these preconditions for the doctrine's application [merger] have been met, that does not end the inquiry.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an equitable doctrine. Its application requires a consideration of equitable factors in the exercise of the court's judicial discretion.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In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xml:space="preserve"> at para. 33, the court emphasized that the rules governing the doctrine of issue estoppel should not be applied mechanically. It noted that the underlying policy of the doctrine lies in what is just and reasonable in the circumstances and that its underlying purpose is "to balance the public interest in the finality of litigation with the public interest in ensuring that justice is done on the facts of a particular case." These equitable considerations require the court to ultimately determine whether an application of the doctrine would work an injustice in the circumstances of any particular case: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para. 80.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In exercising its judicial discretion the court must consider a variety of factors, the list of which remains open. The objective of the exercise of that judicial discretion is to promote the orderly administration of justice but not at the cost of real injustice in the case: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para.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these circumstances, I do not find that an injustice would occur as a result of the application of the doctrine of merger. This is because Mr. Darc, as the transferor, does not need to be a party to the action for Mr. Strother to succeed against Ms. Darc, the transferee: </w:t>
      </w:r>
      <w:r>
        <w:rPr>
          <w:rFonts w:ascii="arial" w:eastAsia="arial" w:hAnsi="arial" w:cs="arial"/>
          <w:i/>
          <w:color w:val="000000"/>
          <w:sz w:val="20"/>
          <w:lang w:val="en-US" w:eastAsia="en-US" w:bidi="ar-SA"/>
        </w:rPr>
        <w:t>Prescott v. 265981 B.C. Ltd.</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1993 CanLII 398</w:t>
        </w:r>
      </w:hyperlink>
      <w:r>
        <w:rPr>
          <w:rFonts w:ascii="arial" w:eastAsia="arial" w:hAnsi="arial" w:cs="arial"/>
          <w:color w:val="000000"/>
          <w:sz w:val="20"/>
          <w:lang w:val="en-US" w:eastAsia="en-US" w:bidi="ar-SA"/>
        </w:rPr>
        <w:t xml:space="preserve"> (BCCA) at para. 15; and </w:t>
      </w:r>
      <w:r>
        <w:rPr>
          <w:rFonts w:ascii="arial" w:eastAsia="arial" w:hAnsi="arial" w:cs="arial"/>
          <w:i/>
          <w:color w:val="000000"/>
          <w:sz w:val="20"/>
          <w:lang w:val="en-US" w:eastAsia="en-US" w:bidi="ar-SA"/>
        </w:rPr>
        <w:t>Bank of Montreal v. Prescott</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[1993] B.C.J. No. 3029</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addition, as was the case here, when a voluntary transfer is made without consideration, it is presumed that the transfer was fraudulent, although that presumption is rebuttable: </w:t>
      </w:r>
      <w:r>
        <w:rPr>
          <w:rFonts w:ascii="arial" w:eastAsia="arial" w:hAnsi="arial" w:cs="arial"/>
          <w:i/>
          <w:color w:val="000000"/>
          <w:sz w:val="20"/>
          <w:lang w:val="en-US" w:eastAsia="en-US" w:bidi="ar-SA"/>
        </w:rPr>
        <w:t>Jack v. Parkinson</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[1994] B.C.J. No. 1066</w:t>
        </w:r>
      </w:hyperlink>
      <w:r>
        <w:rPr>
          <w:rFonts w:ascii="arial" w:eastAsia="arial" w:hAnsi="arial" w:cs="arial"/>
          <w:color w:val="000000"/>
          <w:sz w:val="20"/>
          <w:lang w:val="en-US" w:eastAsia="en-US" w:bidi="ar-SA"/>
        </w:rPr>
        <w:t xml:space="preserve"> (BCCA)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While the cases cited in this part of my decision are somewhat dated, they are consistent with recent statements by this Court concerning intent in claims of fraudulent conveyance. For example, the following comments were made in </w:t>
      </w:r>
      <w:r>
        <w:rPr>
          <w:rFonts w:ascii="arial" w:eastAsia="arial" w:hAnsi="arial" w:cs="arial"/>
          <w:i/>
          <w:color w:val="000000"/>
          <w:sz w:val="20"/>
          <w:lang w:val="en-US" w:eastAsia="en-US" w:bidi="ar-SA"/>
        </w:rPr>
        <w:t>Trustees of the IWA - Forest Industry Pension Plan v. Leroy</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2017 BCSC 158</w:t>
        </w:r>
      </w:hyperlink>
      <w:r>
        <w:rPr>
          <w:rFonts w:ascii="arial" w:eastAsia="arial" w:hAnsi="arial" w:cs="arial"/>
          <w:color w:val="000000"/>
          <w:sz w:val="20"/>
          <w:lang w:val="en-US" w:eastAsia="en-US" w:bidi="ar-SA"/>
        </w:rPr>
        <w:t xml:space="preserve"> at paras. 17-21: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leading cases concerning the intention necessary to void a transaction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are </w:t>
      </w:r>
      <w:r>
        <w:rPr>
          <w:rFonts w:ascii="arial" w:eastAsia="arial" w:hAnsi="arial" w:cs="arial"/>
          <w:i/>
          <w:color w:val="000000"/>
          <w:sz w:val="20"/>
          <w:lang w:val="en-US" w:eastAsia="en-US" w:bidi="ar-SA"/>
        </w:rPr>
        <w:t>Abakhan &amp; Associates Inc. v. Braydon Investments Ltd.</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2009 BCCA 521</w:t>
        </w:r>
      </w:hyperlink>
      <w:r>
        <w:rPr>
          <w:rFonts w:ascii="arial" w:eastAsia="arial" w:hAnsi="arial" w:cs="arial"/>
          <w:color w:val="000000"/>
          <w:sz w:val="20"/>
          <w:lang w:val="en-US" w:eastAsia="en-US" w:bidi="ar-SA"/>
        </w:rPr>
        <w:t xml:space="preserve">, leave to appeal refused, </w:t>
      </w:r>
      <w:hyperlink r:id="rId252" w:history="1">
        <w:r>
          <w:rPr>
            <w:rFonts w:ascii="arial" w:eastAsia="arial" w:hAnsi="arial" w:cs="arial"/>
            <w:i/>
            <w:color w:val="0077CC"/>
            <w:sz w:val="20"/>
            <w:u w:val="single"/>
            <w:shd w:val="clear" w:color="auto" w:fill="FFFFFF"/>
            <w:lang w:val="en-US" w:eastAsia="en-US" w:bidi="ar-SA"/>
          </w:rPr>
          <w:t>[2010] S.C.C.A. No. 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Abakhan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Sutton v. Oshoway</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2011 BCCA 245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Sutton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Mawdsley v. Meshen</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2012 BCCA 91</w:t>
        </w:r>
      </w:hyperlink>
      <w:r>
        <w:rPr>
          <w:rFonts w:ascii="arial" w:eastAsia="arial" w:hAnsi="arial" w:cs="arial"/>
          <w:color w:val="000000"/>
          <w:sz w:val="20"/>
          <w:lang w:val="en-US" w:eastAsia="en-US" w:bidi="ar-SA"/>
        </w:rPr>
        <w:t xml:space="preserve">, leave to appeal refused, </w:t>
      </w:r>
      <w:hyperlink r:id="rId255" w:history="1">
        <w:r>
          <w:rPr>
            <w:rFonts w:ascii="arial" w:eastAsia="arial" w:hAnsi="arial" w:cs="arial"/>
            <w:i/>
            <w:color w:val="0077CC"/>
            <w:sz w:val="20"/>
            <w:u w:val="single"/>
            <w:shd w:val="clear" w:color="auto" w:fill="FFFFFF"/>
            <w:lang w:val="en-US" w:eastAsia="en-US" w:bidi="ar-SA"/>
          </w:rPr>
          <w:t>[2012] S.C.C.A. No. 182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Mawdsley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In </w:t>
      </w:r>
      <w:r>
        <w:rPr>
          <w:rFonts w:ascii="arial" w:eastAsia="arial" w:hAnsi="arial" w:cs="arial"/>
          <w:i/>
          <w:color w:val="000000"/>
          <w:sz w:val="20"/>
          <w:lang w:val="en-US" w:eastAsia="en-US" w:bidi="ar-SA"/>
        </w:rPr>
        <w:t>Abakhan</w:t>
      </w:r>
      <w:r>
        <w:rPr>
          <w:rFonts w:ascii="arial" w:eastAsia="arial" w:hAnsi="arial" w:cs="arial"/>
          <w:color w:val="000000"/>
          <w:sz w:val="20"/>
          <w:lang w:val="en-US" w:eastAsia="en-US" w:bidi="ar-SA"/>
        </w:rPr>
        <w:t>, the Court held that the only intent required to void a transaction is the intent to put assets out of the reach of creditors, and no further dishonest or morally blameworthy intent is required. Chief Justice Finch, as he then was, described it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not only makes sense after removal of these words, but accords with the modern purpose and scheme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Therefore, the words "by collusion, guile, malice or fraud" should be struck.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w:t>
      </w:r>
      <w:r>
        <w:rPr>
          <w:rFonts w:ascii="arial" w:eastAsia="arial" w:hAnsi="arial" w:cs="arial"/>
          <w:color w:val="000000"/>
          <w:sz w:val="20"/>
          <w:u w:val="single"/>
          <w:lang w:val="en-US" w:eastAsia="en-US" w:bidi="ar-SA"/>
        </w:rPr>
        <w:t>The only intent now necessary to avoid a transaction under the modern version of the Act is the intent to "put one's assets out of the reach of one's creditors"</w:t>
      </w:r>
      <w:r>
        <w:rPr>
          <w:rFonts w:ascii="arial" w:eastAsia="arial" w:hAnsi="arial" w:cs="arial"/>
          <w:color w:val="000000"/>
          <w:sz w:val="20"/>
          <w:lang w:val="en-US" w:eastAsia="en-US" w:bidi="ar-SA"/>
        </w:rPr>
        <w:t xml:space="preserve"> (per </w:t>
      </w:r>
      <w:r>
        <w:rPr>
          <w:rFonts w:ascii="arial" w:eastAsia="arial" w:hAnsi="arial" w:cs="arial"/>
          <w:i/>
          <w:color w:val="000000"/>
          <w:sz w:val="20"/>
          <w:lang w:val="en-US" w:eastAsia="en-US" w:bidi="ar-SA"/>
        </w:rPr>
        <w:t>RBC v. Clarke</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2009 BCSC 481</w:t>
        </w:r>
      </w:hyperlink>
      <w:r>
        <w:rPr>
          <w:rFonts w:ascii="arial" w:eastAsia="arial" w:hAnsi="arial" w:cs="arial"/>
          <w:color w:val="000000"/>
          <w:sz w:val="20"/>
          <w:lang w:val="en-US" w:eastAsia="en-US" w:bidi="ar-SA"/>
        </w:rPr>
        <w:t>]). No further dishonest or morally blameworthy intent is required.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court can presume the intention if the disposition had the effect of hindering or delaying or defeating creditors. Chief Justice Finch described that in </w:t>
      </w:r>
      <w:r>
        <w:rPr>
          <w:rFonts w:ascii="arial" w:eastAsia="arial" w:hAnsi="arial" w:cs="arial"/>
          <w:i/>
          <w:color w:val="000000"/>
          <w:sz w:val="20"/>
          <w:lang w:val="en-US" w:eastAsia="en-US" w:bidi="ar-SA"/>
        </w:rPr>
        <w:t>Abakhan</w:t>
      </w:r>
      <w:r>
        <w:rPr>
          <w:rFonts w:ascii="arial" w:eastAsia="arial" w:hAnsi="arial" w:cs="arial"/>
          <w:color w:val="000000"/>
          <w:sz w:val="20"/>
          <w:lang w:val="en-US" w:eastAsia="en-US" w:bidi="ar-SA"/>
        </w:rPr>
        <w:t xml:space="preserv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[74] Intent is a state of mind and a question of fact.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For example, in </w:t>
      </w:r>
      <w:r>
        <w:rPr>
          <w:rFonts w:ascii="arial" w:eastAsia="arial" w:hAnsi="arial" w:cs="arial"/>
          <w:i/>
          <w:color w:val="000000"/>
          <w:sz w:val="20"/>
          <w:lang w:val="en-US" w:eastAsia="en-US" w:bidi="ar-SA"/>
        </w:rPr>
        <w:t>Mackay v. Douglas</w:t>
      </w:r>
      <w:r>
        <w:rPr>
          <w:rFonts w:ascii="arial" w:eastAsia="arial" w:hAnsi="arial" w:cs="arial"/>
          <w:color w:val="000000"/>
          <w:sz w:val="20"/>
          <w:lang w:val="en-US" w:eastAsia="en-US" w:bidi="ar-SA"/>
        </w:rPr>
        <w:t xml:space="preserve"> [(1872) L.R. 14 E.Q. 106], Malins, V.C. said (at p. 120) that </w:t>
      </w:r>
      <w:r>
        <w:rPr>
          <w:rFonts w:ascii="arial" w:eastAsia="arial" w:hAnsi="arial" w:cs="arial"/>
          <w:color w:val="000000"/>
          <w:sz w:val="20"/>
          <w:u w:val="single"/>
          <w:lang w:val="en-US" w:eastAsia="en-US" w:bidi="ar-SA"/>
        </w:rPr>
        <w:t>where a disposition had the effect of hindering or delaying or defeating creditors, "the Court presumes the intention and will attribute it to the settlor"</w:t>
      </w:r>
      <w:r>
        <w:rPr>
          <w:rFonts w:ascii="arial" w:eastAsia="arial" w:hAnsi="arial" w:cs="arial"/>
          <w:color w:val="000000"/>
          <w:sz w:val="20"/>
          <w:lang w:val="en-US" w:eastAsia="en-US" w:bidi="ar-SA"/>
        </w:rPr>
        <w:t>. That was held to be sufficient proof of the intent even though Mr. Douglas apparently gave evidence and "had no fraudulent intention". Mr. Douglas thought he had made a settlement of property as "a prudent thing to protect his wife and children" (p. 120). Despite this, it was held to be a fraudulent conveyance.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w:t>
      </w:r>
      <w:r>
        <w:rPr>
          <w:rFonts w:ascii="arial" w:eastAsia="arial" w:hAnsi="arial" w:cs="arial"/>
          <w:i/>
          <w:color w:val="000000"/>
          <w:sz w:val="20"/>
          <w:lang w:val="en-US" w:eastAsia="en-US" w:bidi="ar-SA"/>
        </w:rPr>
        <w:t>Mawdsley</w:t>
      </w:r>
      <w:r>
        <w:rPr>
          <w:rFonts w:ascii="arial" w:eastAsia="arial" w:hAnsi="arial" w:cs="arial"/>
          <w:color w:val="000000"/>
          <w:sz w:val="20"/>
          <w:lang w:val="en-US" w:eastAsia="en-US" w:bidi="ar-SA"/>
        </w:rPr>
        <w:t xml:space="preserve">, the Court clarified that </w:t>
      </w:r>
      <w:r>
        <w:rPr>
          <w:rFonts w:ascii="arial" w:eastAsia="arial" w:hAnsi="arial" w:cs="arial"/>
          <w:i/>
          <w:color w:val="000000"/>
          <w:sz w:val="20"/>
          <w:lang w:val="en-US" w:eastAsia="en-US" w:bidi="ar-SA"/>
        </w:rPr>
        <w:t>Abakhan</w:t>
      </w:r>
      <w:r>
        <w:rPr>
          <w:rFonts w:ascii="arial" w:eastAsia="arial" w:hAnsi="arial" w:cs="arial"/>
          <w:color w:val="000000"/>
          <w:sz w:val="20"/>
          <w:lang w:val="en-US" w:eastAsia="en-US" w:bidi="ar-SA"/>
        </w:rPr>
        <w:t xml:space="preserve"> did not "[do] away with the requirement of intention on the part of the transferor for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to apply" (para. 71). Writing for the Court, Madam Justice Newbury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 In some cases, of course, that intention may be inferred from the effect of the transaction, and indeed a presumption may arise in some circumstances from that effect. If there is no credible evidence to the contrary,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may be satisfied; but there is no rule of law that in every case, an intention to defeat creditors </w:t>
      </w:r>
      <w:r>
        <w:rPr>
          <w:rFonts w:ascii="arial" w:eastAsia="arial" w:hAnsi="arial" w:cs="arial"/>
          <w:color w:val="000000"/>
          <w:sz w:val="20"/>
          <w:u w:val="single"/>
          <w:lang w:val="en-US" w:eastAsia="en-US" w:bidi="ar-SA"/>
        </w:rPr>
        <w:t>must</w:t>
      </w:r>
      <w:r>
        <w:rPr>
          <w:rFonts w:ascii="arial" w:eastAsia="arial" w:hAnsi="arial" w:cs="arial"/>
          <w:color w:val="000000"/>
          <w:sz w:val="20"/>
          <w:lang w:val="en-US" w:eastAsia="en-US" w:bidi="ar-SA"/>
        </w:rPr>
        <w:t xml:space="preserve"> be inferred from the effect of the impugned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w:t>
      </w:r>
      <w:r>
        <w:rPr>
          <w:rFonts w:ascii="arial" w:eastAsia="arial" w:hAnsi="arial" w:cs="arial"/>
          <w:i/>
          <w:color w:val="000000"/>
          <w:sz w:val="20"/>
          <w:lang w:val="en-US" w:eastAsia="en-US" w:bidi="ar-SA"/>
        </w:rPr>
        <w:t>Sutton</w:t>
      </w:r>
      <w:r>
        <w:rPr>
          <w:rFonts w:ascii="arial" w:eastAsia="arial" w:hAnsi="arial" w:cs="arial"/>
          <w:color w:val="000000"/>
          <w:sz w:val="20"/>
          <w:lang w:val="en-US" w:eastAsia="en-US" w:bidi="ar-SA"/>
        </w:rPr>
        <w:t>, the Court summarized the required proof of intention, which depends on whether the consideration is adequate,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The proper approach to the application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summarized concisely in </w:t>
      </w:r>
      <w:r>
        <w:rPr>
          <w:rFonts w:ascii="arial" w:eastAsia="arial" w:hAnsi="arial" w:cs="arial"/>
          <w:i/>
          <w:color w:val="000000"/>
          <w:sz w:val="20"/>
          <w:lang w:val="en-US" w:eastAsia="en-US" w:bidi="ar-SA"/>
        </w:rPr>
        <w:t>Chan v. Stanwood</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2002 BCCA 474</w:t>
        </w:r>
      </w:hyperlink>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6 B.C.L.R. (4th) 273</w:t>
        </w:r>
      </w:hyperlink>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 Where the consideration is inadequate or nominal, a creditor need only show that the </w:t>
      </w:r>
      <w:r>
        <w:rPr>
          <w:rFonts w:ascii="arial" w:eastAsia="arial" w:hAnsi="arial" w:cs="arial"/>
          <w:color w:val="000000"/>
          <w:sz w:val="20"/>
          <w:u w:val="single"/>
          <w:lang w:val="en-US" w:eastAsia="en-US" w:bidi="ar-SA"/>
        </w:rPr>
        <w:t>transferor</w:t>
      </w:r>
      <w:r>
        <w:rPr>
          <w:rFonts w:ascii="arial" w:eastAsia="arial" w:hAnsi="arial" w:cs="arial"/>
          <w:color w:val="000000"/>
          <w:sz w:val="20"/>
          <w:lang w:val="en-US" w:eastAsia="en-US" w:bidi="ar-SA"/>
        </w:rPr>
        <w:t xml:space="preserve"> intended to delay, hinder or defraud the creditor of his remedies. Where on the other hand valuable consideration has passed, the creditor must also show that the </w:t>
      </w:r>
      <w:r>
        <w:rPr>
          <w:rFonts w:ascii="arial" w:eastAsia="arial" w:hAnsi="arial" w:cs="arial"/>
          <w:color w:val="000000"/>
          <w:sz w:val="20"/>
          <w:u w:val="single"/>
          <w:lang w:val="en-US" w:eastAsia="en-US" w:bidi="ar-SA"/>
        </w:rPr>
        <w:t>transferee</w:t>
      </w:r>
      <w:r>
        <w:rPr>
          <w:rFonts w:ascii="arial" w:eastAsia="arial" w:hAnsi="arial" w:cs="arial"/>
          <w:color w:val="000000"/>
          <w:sz w:val="20"/>
          <w:lang w:val="en-US" w:eastAsia="en-US" w:bidi="ar-SA"/>
        </w:rPr>
        <w:t xml:space="preserve"> actively participated in the fraud. As stated by this court in </w:t>
      </w:r>
      <w:r>
        <w:rPr>
          <w:rFonts w:ascii="arial" w:eastAsia="arial" w:hAnsi="arial" w:cs="arial"/>
          <w:i/>
          <w:color w:val="000000"/>
          <w:sz w:val="20"/>
          <w:lang w:val="en-US" w:eastAsia="en-US" w:bidi="ar-SA"/>
        </w:rPr>
        <w:t>Meeker Cedar Products Ltd. v. Edge</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(1968) 68 D.L.R. (2d) 294</w:t>
        </w:r>
      </w:hyperlink>
      <w:r>
        <w:rPr>
          <w:rFonts w:ascii="arial" w:eastAsia="arial" w:hAnsi="arial" w:cs="arial"/>
          <w:color w:val="000000"/>
          <w:sz w:val="20"/>
          <w:lang w:val="en-US" w:eastAsia="en-US" w:bidi="ar-SA"/>
        </w:rPr>
        <w:t xml:space="preserve"> (aff'd at </w:t>
      </w:r>
      <w:hyperlink r:id="rId259" w:history="1">
        <w:r>
          <w:rPr>
            <w:rFonts w:ascii="arial" w:eastAsia="arial" w:hAnsi="arial" w:cs="arial"/>
            <w:i/>
            <w:color w:val="0077CC"/>
            <w:sz w:val="20"/>
            <w:u w:val="single"/>
            <w:shd w:val="clear" w:color="auto" w:fill="FFFFFF"/>
            <w:lang w:val="en-US" w:eastAsia="en-US" w:bidi="ar-SA"/>
          </w:rPr>
          <w:t>(1968) 1 D.L.R. (3d) 240</w:t>
        </w:r>
      </w:hyperlink>
      <w:r>
        <w:rPr>
          <w:rFonts w:ascii="arial" w:eastAsia="arial" w:hAnsi="arial" w:cs="arial"/>
          <w:color w:val="000000"/>
          <w:sz w:val="20"/>
          <w:lang w:val="en-US" w:eastAsia="en-US" w:bidi="ar-SA"/>
        </w:rPr>
        <w:t xml:space="preserve"> (S.C.C.)):</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clear as a matter of interpretation of the statute as a whole and upon authority that where a sale is made for good and valuable consideration the transaction will not be void by reason of the purchaser's having notice or knowledge of the vendor's intent to delay, hinder or defraud creditors and others </w:t>
      </w:r>
      <w:r>
        <w:rPr>
          <w:rFonts w:ascii="arial" w:eastAsia="arial" w:hAnsi="arial" w:cs="arial"/>
          <w:color w:val="000000"/>
          <w:sz w:val="20"/>
          <w:u w:val="single"/>
          <w:lang w:val="en-US" w:eastAsia="en-US" w:bidi="ar-SA"/>
        </w:rPr>
        <w:t>unless it be proved that the purchaser was actually privy to the fraud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a party to carrying out the fraudulent intention and purpose.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299; emphasis added.]</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[21] Where valuable consideration has passed, then, the focus is not on the sufficiency of that consideration but on the intentions of both parties to the transaction.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light of the fact that Mr. Strother will be able to continue his action against Ms. Darc without Mr. Darc as a party, I do not find that upholding the Master's decision would work an injustice.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Therefore, I find that the Master's decision was not clearly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Addition of New Parties and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Given that I have upheld the Master's decision on the basis of merger, it is not necessary to discuss either the law concerning the addition of new parties, or the doctrine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Master's decision is upheld and the application is dismissed. The CPLs will not be reinstated on the above-noted properties, and Mr. Darc will not be added as a party to the action against Ms. Darc.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2" style="position:absolute;z-index:2518251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Svangtun (Litigation guardian of) v. Pacific National Exhibition, [2018] B.C.J. No. 760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B.J. Norell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S128925, S128926, S128927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760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656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Eden Rose Svangtun an infant by her Litigation Guardian Patricia Svangtun, Plaintiff, and Pacific National Exhibition, Christie Kerr, John/Jane Doe#2 John/Jane Doe #3, John/Jane Doe #4 District of North Vancouver, John/Jane Doe #5, John/Jane Doe #6, Kenneth Linde, Langley Animal Clinic Ltd. and Vancouver Coastal Health Authority, Defendants, and District of North Vancouver Pacific National Exhibition, Third Parties And between Tyler Enzo Nadalin an infant by his Litigation Guardian Lisa Ann Nadalin, Plaintiff, and Pacific National Exhibition, Christie Kerr, John/Jane Doe#2, John/Jane Doe #3, John/Jane Doe #4, District of North Vancouver, John/Jane Doe #5, John/Jane Doe #6, Kenneth Linde, Langley Animal Clinic Ltd. and Vancouver Coastal Health Authority, Defendants, and District of North Vancouver, Pacific National Exhibition, Third Parties And between Jakob William Nadalin an infant by his Litigation Guardian Lisa Ann Nadalin, Plaintiff, and Pacific National Exhibition, Christie Kerr, John/Jane Doe#2 John/Jane Doe #3, John/Jane Doe #4, District of North Vancouver, John/Jane Doe #5, John/Jane Doe #6, Kenneth Linde, Langley Animal Clinic Ltd. and Vancouver Coastal Health Authority, Defendants, and District of North Vancouver Pacific National Exhibition,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3"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0" w:name="Keywords_13"/>
      <w:bookmarkEnd w:id="90"/>
      <w:r>
        <w:rPr>
          <w:rFonts w:ascii="arial" w:eastAsia="arial" w:hAnsi="arial" w:cs="arial"/>
          <w:b/>
          <w:color w:val="000000"/>
          <w:sz w:val="20"/>
          <w:lang w:val="en-US" w:eastAsia="en-US" w:bidi="ar-SA"/>
        </w:rPr>
        <w:t>Civil litigation — Civil procedure — Trials — Conduct of — Adjournments — Severance of issues or parties — Application by plaintiffs to adjourn liability trial to later date for trial on all issues allowed and application by two defendants to sever certain liability issues for hearing at trial dismissed — Plaintiffs, who contracted E. Coli at petting farm, claimed defendants failed to take reasonable steps to prevent transmission of E. Coli — Parties initially agreed to severance of liability issues, but defendants now proposed part of causation issues be tried at later date — Severance would result in duplication of evidence and complicate causation issue — Trial on severed issues would not be dispositive — Severance likely to increase costs.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1" w:name="Case Summary_12"/>
            <w:bookmarkEnd w:id="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to adjourn the liability only trial to a later date for a trial on all issues and application by two defendants, PNE and VCHA, to sever certain liability issues for hearing at trial. The plaintiffs in the three actions alleged that the contracted an E. Coli infection while attending the Pacific National Exhibition petting farm in 2009. Initially, the parties agreed to severance of liability issues. A trial date for November 2018 was arranged on the basis that it was a liability only trial. Initially, the parties intended for the issues to be tried to include whether there was a duty owed, whether there was a breach of the standard of care, and whether the breach caused the E. Coli infection. The defendants now proposed that part of the causation issues be moved to a later date. The parties agreed that if the Court did not sever issues, the application to adjourn the trial was not opposed, as there was not adequate time at the scheduled hearing to hear all of the issues.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2" w:name="Holdings of Court_11"/>
            <w:bookmarkEnd w:id="92"/>
            <w:r>
              <w:rPr>
                <w:rFonts w:ascii="arial" w:eastAsia="arial" w:hAnsi="arial" w:cs="arial"/>
                <w:color w:val="000000"/>
                <w:sz w:val="20"/>
                <w:lang w:val="en-US" w:eastAsia="en-US" w:bidi="ar-SA"/>
              </w:rPr>
              <w:t>HELD: Application by the plaintiffs allowed and application by the defendants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likely to be overlap of lay and expert witnesses with respect to all of the liability issues and those issues were intertwined. With multiple defendants, the multiple alleged different bases of liability, issues of apportionment between the defendants if there was liability and the different times at which the plaintiffs attended the petting farm, this was not a simple liability case. The severance proposed by the defendants would complicate the causation issue and increased the likelihood of duplicative testimony. Trial on the severed issues would not be dispositive and therefore was unlikely to significantly make resolution more likely. Severance was likely to result in increased, rather than decreased costs. While there had already been delay in the matter, there was no compelling reasons to justify severance.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3" w:name="Legislation Cited_9"/>
      <w:bookmarkEnd w:id="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4"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1-3</w:t>
      </w:r>
      <w:r>
        <w:rPr>
          <w:rFonts w:ascii="arial" w:eastAsia="arial" w:hAnsi="arial" w:cs="arial"/>
          <w:color w:val="000000"/>
          <w:sz w:val="20"/>
          <w:lang w:val="en-US" w:eastAsia="en-US" w:bidi="ar-SA"/>
        </w:rPr>
        <w:t>, Rule 12-5(67)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4" w:name="Counsel_13"/>
      <w:bookmarkEnd w:id="9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5"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R.J. McDonell, M. Gianacopoulos.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Pacific National Exhibition and the Defendant C. Kerr: D. Lebans, A. Greenwood.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District of North Vancouver: A. Atherton, K. Uppal.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Vancouver Coastal Heath Authority: A.C. Fraser.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5" w:name="Judgment_13"/>
      <w:bookmarkEnd w:id="95"/>
      <w:r>
        <w:pict>
          <v:line id="_x0000_s1096" style="position:absolute;z-index:2518261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6" w:name="B.J. NORELL J."/>
            <w:bookmarkEnd w:id="96"/>
            <w:r>
              <w:rPr>
                <w:rFonts w:ascii="arial" w:eastAsia="arial" w:hAnsi="arial" w:cs="arial"/>
                <w:b/>
                <w:color w:val="000000"/>
                <w:sz w:val="30"/>
                <w:lang w:val="en-US" w:eastAsia="en-US" w:bidi="ar-SA"/>
              </w:rPr>
              <w:t>B.J. NORELL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matter concerns three actions, each commenced by an infant plaintiff. The plaintiffs each allege that they contracted an E. Coli O157:H7 ("E. Coli") infection while attending the Pacific National Exhibition petting farm in the summer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and third parties in each of the actions are identical. They are: the Pacific National Exhibition and Kerr (collectively "PNE"); the District of North Vancouver ("DNV"); and the Vancouver Coastal Health Authority ("VCHA"). At a case planning conference in November 2016, the Court ordered that all three actions be tried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These reasons concern identical applications brought in each action. These are:</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by the plaintiffs to adjourn the "liability only" trial presently set for November 26, 2018 for five weeks, to a date in early 2020 for an eightweek trial of all issues. The plaintiffs' position is that the actions will not be ready for trial by November, 2018. The defendants oppose these applications;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by two defendants (PNE and VCHA) to sever certain liability issues for hearing at the November 26, 2018 trial. The third defendant (DNV) did not bring a similar application, but supports the applications of the other two defendants. The defendants seek an order that the liability of the defendants (whether there was a duty of care owed, and whether there was a breach of the standard of care) and "including whether any breach of an applicable standard of care by one or more of the defendants could foreseeably have resulted in the transmission or contraction of E. coli, be tried and determined before the issues in relation to the damages alleged by the plaintiffs, including whether the plaintiffs were in fact infected by E. coli, and if so, what injuries that infection might have caused". The plaintiffs oppose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outset of the hearing, counsel advised that if the Court does not sever issues for hearing for the November 2018 trial date, there is no need for the Court to consider the adjournment application as all counsel agree that presently there is not adequate time reserved to hear a full trial of all issues. If there is no severance, an application to adjourn the November 2018 trial will not be opposed. If the Court does sever issues, then the plaintiffs still bring an application to adjourn the November 2018 trial to a date in early 2020.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were very young when the alleged incidents took place. At least in the case of the more severely injured plaintiff (Svangtun), her injuries cannot be determined for some period of time, and certainly not before the November 2018 trial date. The alleged incidents took place in 2009. Due to the lengthy passage of time, the defendants want to have some of the liability issues resolved at trial this year. The plaintiffs and defendants disagree as to whether there should be severance of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History of Litigation Regarding 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Initially, the parties agreed to severance of liability issues. The November 2018 trial date was arranged on the basis that this would be a "liability only" trial. Although there was no detailed discussion at the time the agreement as to severance was made, the parties operated under the reasonable assumption that "liability only" meant that the issues which would be tried were whether there was a duty owed, whether there was a breach of any applicable standard of care, and whether that breach caused an E. Coli infection. However, that is not what is now being proposed by the defendants. The defendants propose a different severance of issues that would move part of the causation issue to a second later trial date. The history to all of this is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alleged contraction of the E. Coli infections took place on August 29 (Nadalin brothers) and September 4, 2009 (Svangtun). At the time, Svangtun was three years old, and the Nadalin brothers were four years old and 20 months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December 2010, counsel for the PNE served a notice to proceed so that the limitation period would begin to run. The plaintiffs filed their notices of civil claim in December 2012. The initial defendants were the PNE (without Kerr) and the DNV. Over time the other parties were added as defendants. The defendants Linde and the Langley Animal Clinic Ltd. did not file an application or response materials, or participate in the hearing. Counsel advises that the actions against them are in the process of being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Possible severance of liability and quantum was discussed between counsel in April 2014 and again in November 2015. A case planning conference was held in November 2016 and the Court ordered that all three actions be heard together. The Court also ordered plaintiffs' counsel to advise other counsel by June 30, 2017 of the plaintiffs' position on whether the issues of liability and damages should be heard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July 2, 2017, plaintiffs' counsel sent an email to opposing counsel which stated his position that "bifurcation" was appropriate. Later that month, plaintiffs' counsel proposed dates for a 25-day trial on liability issues. In August 2017, a notice of trial was filed for the present five-week trial starting November 26,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November 2017, the agreement on severance started to unravel, with counsel for the plaintiff expressing concern that severance may not be appropriate. On December 20, 2017, plaintiffs' counsel wrote to defendants' counsel cementing his position that the matters were not suitable for severance and acknowledging this was inconsistent with his previous position. He expressed the view that the plaintiffs' claims can be assessed by the fall of 2019 and that the actions could proceed to a trial of all issues as early as January 2020. He proposed they secure an eight-week trial for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Thereafter, the present applications were filed. On January 23, 2018, the plaintiffs filed notices of application to adjourn the trial. The applications also set out their position on why a "liability only" trial (meaning duty of care, breach of a standard of care, and whether the breach caused the E. Coli infection), is not appropriate. In mid-February, 2018 the defendants filed responses to the plaintiffs' applications, and filed notices of applications seeking severance. However, the proposal for severance was no longer a "liability only" trial, but a proposal that would have part of the causation issue split between the first trial and second trial. During the hearing, counsel for the defendants advised that this new proposal was made after review of the plaintiffs' application materials and in an attempt to address the plaintiffs concerns regarding overlap and duplication of evidence with "liability only" severance. On March 13, 2018, the plaintiffs filed responses to this new proposal for severance.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Pleadings and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plaintiffs' notices of civil claim allege that in 2009 there was an E. Coli outbreak at the PNE petting farm. The plaintiffs visited the petting farm and subsequently became ill. The plaintiffs allege the defendants failed to take reasonable steps to avoid transmission of E. Coli to the plaintiffs. The allegations include failures with respect to design, presentation, supply of equipment and animals, maintenance, operation, inspection, warnings, hand washing facilities, and supervision of the petting farm. The claims are based on strict liability,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contract, and statutory obligations including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their respective responses to civil claim, some defendants deny a duty of care, and each defendant denies breach of any standard of care and causation. Each defendant makes cross-claims against the other defendants. All of the defendants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plaintiffs, and some defendants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plaintiffs' parents or guardians. Those allegations include inadequate hand washing and failure to supervise.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Causation is a live issue. After the Nadalin brothers fell ill and were hospitalized, they were found to have E. Coli in their stool. The defendants do not admit that the Nadalin brothers contracted the E. Coli infections from the petting farm, or if they did, do not admit it was from a breach of any standard of care. In the case of Svangtun, the defendants do not admit that Svangtun had an E. Coli infection. While she was hospitalized, no E. Coli was found in her stool. Further, the defendants allege that if Svangtun did have an E. Coli infection, she did not contract it at the petting farm, and if she did, they allege it was not from a breach of any standard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Nadalin brothers appear to have suffered less severe injuries than Svangtun, and it is likely their damages can be assessed sooner than those of Svangtun.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Svangtun's injuries are serious. The allegations in Svangtun's notice of civil claim are that she suffered impaired kidney function, brain injury, multiple internal organ damage, and the need for ongoing treatment. At present, the extent of Svangtun's injuries cannot be determined. The parties disagree as to when her injuries may become determinable and quantifiable. Both defendants' counsel and plaintiffs' counsel refer to the letter of Dr. Doug Cohen, neuropsychologist, and the expert report of Dr. Michael Joschko, neuropsychologist. Counsel disagree as to the import of these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Cohen states in his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understanding at this point that Eden [Svangtun] was admitted to hospital with hemolytic uremic syndrome secondary to verotoxin, resulting in multisystem concerns including central nervous system involvement associated with ischemic hemorrhagic stroke. She has been seen by Pediatric Neurology and the Sunny Hill Health Centre's Brain Injury Program.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axiomatic however that due to the developmental changes present for all children and youth, the closer they are to adulthood the more accurate and relevant assessment findings are to establishing long-term prognosis. This is because the more mature one is developmentally, the more the assessment captures their possible true functioning as an adult. Adolescence and functioning in high school is the largest single developmental transition for children, and encompasses the cognitive, social, emotional and physical domains. In most instances, changes in adolescence are so pervasive that it is exceedingly difficulty for neuropsychologists to offer anything like a reliable prognosis unless the youth is assessed during adolescence and/or early adulthood.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above, I would strongly recommend that Eden be tested after she enters high school and at the very least once her initial educational programing needs and her initial academic functioning have been established. Eden's possible path in the senior high school grades will likely also be better evidenced by that point as well, and thus so will her potential post-secondary/vocational functioning. Consistent with this developmental perspective and with your approval, I will therefore schedule Eden for a Neuropsychological Assessment in the summer of 2019, anticipating that the attended report from me will be completed in the Fall of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Joschko states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question of the best time to assess Eden, it is my opinion that this would be in her mid to late teens, and certainly not before she is 15 years of 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Testing Eden earlier than age 15 might provide some useful information for educational planning, but would unlikely be able to provide valid information as to her ability to negotiate the wide range of social, emotional and cognitive demands of later adolescence, or sufficient information about any long-term impacts on her ability to live independently or work as an adult.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 of a previous neuropsychological assessment of Eden [Document 21; May 14, 2012] showed evidence of a significant executive dysfunction, which would suggest abnormalities in some aspects of the functional abilities and cognitive brain networks subserved by the frontal lobes of Eden's brain. Although further frontal lobe development would certainly be expected, given Eden's history of previous executive dysfunction there is a significant risk that Eden will exhibit difficulties in executive functioning that could affect her ability to successfully negotiate some of the social, emotional and cognitive demands of later adolescence In a case like this, where there is evidence of previous executive dysfunction, it is my view that the nature of any future anomalies in executive functioning can not be predicted in the early teen years or adequately assessed until there has been further frontal lobe development and the individual has been confronted by cognitive, emotional and social demands of the middle to late adolescent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counsel submits that Dr. Cohen's and Dr. Joschko's opinions are consistent in part. He submits that Dr. Cohen's letter indicates that an assessment could only start next year, not that it would be the final assessment. Dr. Joschko's opinion is that Svangtun should be assessed in her mid to late teens, and not before she is 15 years of age. Svangtun is currently 12 years old, meaning it would be at least another three years and likely more before the injuries in her case can be quantified.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Plaintiff's counsel submits Dr. Cohen's opinion indicates that an assessment of Svangtun's injuries can be made in time for an early 2020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Rule 1-3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states that the object of the Rules is to secure the just, speedy and inexpensive determination of every proceedings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Rule 12-5(67) provides that the court may order that one or more questions of fact or law arising in an action be tried and determined before the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Factors a court may consider when determining whether to order severance of issues for trial are as follows:</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issues to be severed intertwined with other issues?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Could the issues to be tried first be determinative of the action?</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severance likely to result in a significant savings of time and expense?;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compelling reason to justify severance other than time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Marsh Canada Limited v. BFL Canada Insurance Services Inc.</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2014 BCSC 1171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Marsh Canada Limited</w:t>
      </w:r>
      <w:r>
        <w:rPr>
          <w:rFonts w:ascii="arial" w:eastAsia="arial" w:hAnsi="arial" w:cs="arial"/>
          <w:color w:val="000000"/>
          <w:sz w:val="20"/>
          <w:lang w:val="en-US" w:eastAsia="en-US" w:bidi="ar-SA"/>
        </w:rPr>
        <w:t xml:space="preserve">], at para. 33; and </w:t>
      </w:r>
      <w:r>
        <w:rPr>
          <w:rFonts w:ascii="arial" w:eastAsia="arial" w:hAnsi="arial" w:cs="arial"/>
          <w:i/>
          <w:color w:val="000000"/>
          <w:sz w:val="20"/>
          <w:lang w:val="en-US" w:eastAsia="en-US" w:bidi="ar-SA"/>
        </w:rPr>
        <w:t>Nguyen v. Bains</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2001 BCSC 1130</w:t>
        </w:r>
      </w:hyperlink>
      <w:r>
        <w:rPr>
          <w:rFonts w:ascii="arial" w:eastAsia="arial" w:hAnsi="arial" w:cs="arial"/>
          <w:color w:val="000000"/>
          <w:sz w:val="20"/>
          <w:lang w:val="en-US" w:eastAsia="en-US" w:bidi="ar-SA"/>
        </w:rPr>
        <w:t>,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Marsh Canada Limited</w:t>
      </w:r>
      <w:r>
        <w:rPr>
          <w:rFonts w:ascii="arial" w:eastAsia="arial" w:hAnsi="arial" w:cs="arial"/>
          <w:color w:val="000000"/>
          <w:sz w:val="20"/>
          <w:lang w:val="en-US" w:eastAsia="en-US" w:bidi="ar-SA"/>
        </w:rPr>
        <w:t>, the Court stated,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 presumption that a plaintiff is entitled to have its claims decided in one trial. Multiplicity of proceedings and "litigation in slices" is to be discouraged. Furthermore, severance should only be ordered where there exist "extraordinary, exceptional or compelling reasons" for doing so: </w:t>
      </w:r>
      <w:r>
        <w:rPr>
          <w:rFonts w:ascii="arial" w:eastAsia="arial" w:hAnsi="arial" w:cs="arial"/>
          <w:i/>
          <w:color w:val="000000"/>
          <w:sz w:val="20"/>
          <w:lang w:val="en-US" w:eastAsia="en-US" w:bidi="ar-SA"/>
        </w:rPr>
        <w:t>Bramwell v. Greater Vancouver Transportation Authority</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2008 BCSC 1180</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Carreiro v. Flynn</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(2005), 195 O.A.C. 315</w:t>
        </w:r>
      </w:hyperlink>
      <w:r>
        <w:rPr>
          <w:rFonts w:ascii="arial" w:eastAsia="arial" w:hAnsi="arial" w:cs="arial"/>
          <w:color w:val="000000"/>
          <w:sz w:val="20"/>
          <w:lang w:val="en-US" w:eastAsia="en-US" w:bidi="ar-SA"/>
        </w:rPr>
        <w:t xml:space="preserve"> (S.C.J.) at para. 7; </w:t>
      </w:r>
      <w:r>
        <w:rPr>
          <w:rFonts w:ascii="arial" w:eastAsia="arial" w:hAnsi="arial" w:cs="arial"/>
          <w:i/>
          <w:color w:val="000000"/>
          <w:sz w:val="20"/>
          <w:lang w:val="en-US" w:eastAsia="en-US" w:bidi="ar-SA"/>
        </w:rPr>
        <w:t>Moore v. Brazauro Resources Corporation</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2013 BCSC 341</w:t>
        </w:r>
      </w:hyperlink>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onus is on the applicant seeking severance to establish that it should be granted: </w:t>
      </w:r>
      <w:r>
        <w:rPr>
          <w:rFonts w:ascii="arial" w:eastAsia="arial" w:hAnsi="arial" w:cs="arial"/>
          <w:i/>
          <w:color w:val="000000"/>
          <w:sz w:val="20"/>
          <w:lang w:val="en-US" w:eastAsia="en-US" w:bidi="ar-SA"/>
        </w:rPr>
        <w:t>Emtwo Properties Inc. v. Cineplex (Western Canada) Inc.</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2009 BCSC 1592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Emtwo Properties Inc</w:t>
      </w:r>
      <w:r>
        <w:rPr>
          <w:rFonts w:ascii="arial" w:eastAsia="arial" w:hAnsi="arial" w:cs="arial"/>
          <w:color w:val="000000"/>
          <w:sz w:val="20"/>
          <w:lang w:val="en-US" w:eastAsia="en-US" w:bidi="ar-SA"/>
        </w:rPr>
        <w:t>.],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will discuss each of the factors argued by counsel.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Are the issues to be severed intertwined with 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defendants propose that the issue of "liability of the defendants, including whether any breach of an applicable standard of care by one or more of the defendants could foreseeably have resulted in the transmission or contraction of E. Coli", be heard in the first trial. At the hearing, and in the application materials, it was made clear that despite the words "could foreseeably have resulted", the focus of the question was whether "if there was any wrongdoing by one or more of the defendants, that wrongdoing </w:t>
      </w:r>
      <w:r>
        <w:rPr>
          <w:rFonts w:ascii="arial" w:eastAsia="arial" w:hAnsi="arial" w:cs="arial"/>
          <w:color w:val="000000"/>
          <w:sz w:val="20"/>
          <w:u w:val="single"/>
          <w:lang w:val="en-US" w:eastAsia="en-US" w:bidi="ar-SA"/>
        </w:rPr>
        <w:t>could have been the cause of the transmission or contraction of E. Coli"</w:t>
      </w:r>
      <w:r>
        <w:rPr>
          <w:rFonts w:ascii="arial" w:eastAsia="arial" w:hAnsi="arial" w:cs="arial"/>
          <w:color w:val="000000"/>
          <w:sz w:val="20"/>
          <w:lang w:val="en-US" w:eastAsia="en-US" w:bidi="ar-SA"/>
        </w:rPr>
        <w:t xml:space="preserve">. The issue of whether an alleged breach of an applicable standard of care by one of more of the defendants </w:t>
      </w:r>
      <w:r>
        <w:rPr>
          <w:rFonts w:ascii="arial" w:eastAsia="arial" w:hAnsi="arial" w:cs="arial"/>
          <w:color w:val="000000"/>
          <w:sz w:val="20"/>
          <w:u w:val="single"/>
          <w:lang w:val="en-US" w:eastAsia="en-US" w:bidi="ar-SA"/>
        </w:rPr>
        <w:t>did in fact result in the transmission or contraction of E. Coli</w:t>
      </w:r>
      <w:r>
        <w:rPr>
          <w:rFonts w:ascii="arial" w:eastAsia="arial" w:hAnsi="arial" w:cs="arial"/>
          <w:color w:val="000000"/>
          <w:sz w:val="20"/>
          <w:lang w:val="en-US" w:eastAsia="en-US" w:bidi="ar-SA"/>
        </w:rPr>
        <w:t xml:space="preserve"> to the plaintiffs would be tried in the second trial. This would involve the quantification of those injuries caused and any issues associated with the E. Coli infection (e.g. if a particular injury was caused by the E. Coli infection or was a result of some independent medical condition, or in the case of Svangtun whether she in fact had an E. Coli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Defendants' counsel submits that with this formulation, the issues of liability and damages are not interwoven and require little or no overlapping expert evidence. Counsel submits that there will be infectious disease experts called at each trial, but these expert witnesses will be giving evidence on different aspects of the case. The infectious disease expert at the first trial would testify as to whether an alleged failure led to a foreseeable risk of transmission of E. Coli, and the same expert at the second trial would testify as to whether that risk in fact caused the plaintiffs to contract E. Coli. I am not convinced that the issues are not intertwined, as they would be based to some extent on the same factual matrix.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Counsel for the defendants submits that to the extent there is any overlap, any prejudice can be overcome by having the same judge hear both trials, or through orders regarding findings of fact. I do not find this to be a practical solution to what is a complex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Plaintiffs' counsel submits that factual and expert evidence on damages and causation, standard of care and causation, and damages and standard of care overlap, and the issues are intertwined.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With respect to damages and causation, plaintiffs' counsel submits that evidence of the plaintiffs' symptoms and the timing of them are relevant to whether the plaintiffs did in fact contract E. Coli from the petting farm, and to what damages the plaintiffs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With respect to standard of care and causation, plaintiffs' counsel submits that evidence on the risks of transmission between animals and humans will overlap with the evidence proving the risks to which the plaintiffs were exposed. He says there will be epidemiological evidence and evidence of environmental investigations done after the incidents that are relevant to both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He also points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and notes that an occupier owes a duty to take care that in all the circumstances of the case is reasonable. This would involve a consideration of what in fact caused each of the plaintiffs' injuries. He further points to the claims in strict liability and submits that these will include consideration of evidence relevant to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respect to damages and standard of care, plaintiffs' counsel submits that the same evidence which will be led to establish the gravity and effects of the injuries suffered by the plaintiffs, will also be relevant to establish the standard of care required to avoid those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Finally, plaintiffs' counsel objects to the proposed severance as he submits that the causation issue proposed for the first trial is not one that would need to be separately determined if a full trial were held. He submits it combines elements of remoteness and legal causation but not factual causation. As it does not refer to the plaintiffs, it would result in an abstract finding that is not dispositive of the causation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agree with plaintiffs' counsel that there is likely to be overlap of lay and expert witnesses with respect to all of the issues he has identified and that the issues are intertwined. I also find that with multiple defendants, the multiple alleged different bases of liability, issues of apportionment between the defendants if there is liability, and the different times at which the plaintiffs attended the petting farm, this is not a simple liability case. This is unlike the motor vehicle accident cases cited to me by defendants' counsel where severance was granted, but where the liability issues were distinct from the damages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am concerned with the particular severance proposed by the defendants. In my view it complicates the causation issue to be tried and enhances rather than decreases the likelihood of intertwining and duplicative testimony. For example, for the plaintiff, an expert witness may testify that an alleged failure to take a certain step increased the amount of E. Coli in the animal bedding and therefore increased the risk of transmission. The plaintiffs would argue that this failure foreseeably could have resulted in a transmission of E. Coli. Such a finding would not end the liability inquiry. The same or another expert would then have to return to the second trial to testify whether, given the facts already found, and all the other facts of this case including the actions of the plaintiffs, the increased amount of E. Coli likely caused the particular plaintiff to contract E. Coli.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appreciate that the defendants made this new proposal to try to address the plaintiffs' concerns regarding duplicative testimony and intertwining of evidence. During the hearing, plaintiffs' counsel advised that if the Court was to consider severance, the plaintiffs' position is that it should be on the basis of a "liability only" trial and not the new proposal of the defendants. However, it is still the plaintiffs' position that on either formulation of the severance issues, there is overlap and intertwining of issues. I agree there is overlap and intertwining of issues on either formulation for the reasons I have set out above.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Could the issues to be tried first be determinative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Defendants' counsel submits that a trial on the severed issues may be dispositive of the actions. If the Court finds any one of: there is no duty of care owed; or, no breach of the standard of care; or, that a breach of the standard could not have led to a foreseeable risk of transmission of E. Coli; the litigation will be at an end for some or all of the defendants. Defendants' counsel also submits that a determination of some of the liability issues will make resolution of the plaintiffs' claims more likely as there would be less issues in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Plaintiff's counsel submits that severance should not be ordered simply because possible success on liability would avoid the remainder of the trial. If that were sufficient to order severance, an argument could be made for it in every action: </w:t>
      </w:r>
      <w:r>
        <w:rPr>
          <w:rFonts w:ascii="arial" w:eastAsia="arial" w:hAnsi="arial" w:cs="arial"/>
          <w:i/>
          <w:color w:val="000000"/>
          <w:sz w:val="20"/>
          <w:lang w:val="en-US" w:eastAsia="en-US" w:bidi="ar-SA"/>
        </w:rPr>
        <w:t>Emtwo Properties Inc.</w:t>
      </w:r>
      <w:r>
        <w:rPr>
          <w:rFonts w:ascii="arial" w:eastAsia="arial" w:hAnsi="arial" w:cs="arial"/>
          <w:color w:val="000000"/>
          <w:sz w:val="20"/>
          <w:lang w:val="en-US" w:eastAsia="en-US" w:bidi="ar-SA"/>
        </w:rPr>
        <w:t>, at para. 24. He also says that a finding against the defendants on the proposed severance would not determine liability, as whether a breach in fact caused the plaintiffs to contract an E. Coli infection would still be in issue. He therefore says it would not make resolution more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agree with plaintiffs' counsel that a finding against the defendants on the proposed severance issues would not be dispositive, and therefore is unlikely to significantly make resolution more likely. It is possible a "liability only" trial would make resolution more likely. The fact that the action may be dismissed against some defendants at the end of a severed trial is not by itself a sufficient reason to order severance.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severance likely to result in a significant savings of time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Presently, the November 2018 trial is set for 25 days for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Defendants' counsel submits there will be significant savings in time and cost with a severed trial. The defendants' estimate is that the severed issues they propose could be heard in 17 days. If a severed trial is dispositive for some or all of the parties (if there is a finding in favour of the defendants on liability) those defendants will be saved between 8 and 23 days of trial. In addition, the parties would, at least initially, only need to retain experts for the liability portion of the trial and not for the purely damages issues. Defendants' counsel submits that there is little or no overlap of liability and damages evidence, but I have already found that there would be overlap.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Plaintiffs' counsel estimates a trial on all issues will take 40 to 45 days. He estimates the first trial on the proposed severance to be between 24.5 and 30 days, and the second trial to be between 25 and 33 days, for a total of between 49.5 and 63 days. Thus, he submits that severance would actually increase trial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Plaintiffs' counsel submits that severance will cause the plaintiffs to incur the extra costs of two trials. He submits that if the issues are severed, lay witnesses and expert witnesses will have to testify at both trials, and the trials may be years apart. Some witness may reside out of Vancouver. The plaintiffs and their families will have to prepare and attend trial twice. Rather than decrease costs, the costs to the plaintiffs will increase. Plaintiffs' counsel also raises the possibility of further delays from unforeseen circumstances such as a witness or party or lawyer becoming unavailable, or from a possible appeal of liability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Given that I have found there will be overlap in evidence that would be called in a severed trial, the defendants have not demonstrated that there will be a significant savings in time and expense if issues are severed.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there a compelling reason to justify severance other than time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Defendants' counsel submits that if severance is not granted, the November 2018 trial will have to be adjourned, and the delay results in prejudice to the defendants. The defendants refer to the already lengthy time since the events of this action, and note the object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as set out in Rule 1-3 -- the just, speedy and inexpensive determination of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alleged incidents took place in the summer of 2009, and over eight-and-a-half years have now passed. Defendants' counsel submits that Svangtun's injuries cannot be determined for at least another three years, and it will not be until some time after that -- possibly as late as another four years -- that this matter will come to trial. With the passage of time, witnesses' memories fade and there is a risk witnesses will no longer be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Defendants' counsel referred to cases where severance was granted when the quantum of injuries could not be determined for some period of time in the future, and where there was less passage of time than in the present case: </w:t>
      </w:r>
      <w:r>
        <w:rPr>
          <w:rFonts w:ascii="arial" w:eastAsia="arial" w:hAnsi="arial" w:cs="arial"/>
          <w:i/>
          <w:color w:val="000000"/>
          <w:sz w:val="20"/>
          <w:lang w:val="en-US" w:eastAsia="en-US" w:bidi="ar-SA"/>
        </w:rPr>
        <w:t>Fagervik (Guardian ad litem of) v. Dzaman</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[1996] B.C.W.L.D. 2721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Dazham v. Nachar</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2012 BCSC 1389</w:t>
        </w:r>
      </w:hyperlink>
      <w:r>
        <w:rPr>
          <w:rFonts w:ascii="arial" w:eastAsia="arial" w:hAnsi="arial" w:cs="arial"/>
          <w:color w:val="000000"/>
          <w:sz w:val="20"/>
          <w:lang w:val="en-US" w:eastAsia="en-US" w:bidi="ar-SA"/>
        </w:rPr>
        <w:t xml:space="preserve">, both motor vehicle cases; and </w:t>
      </w:r>
      <w:r>
        <w:rPr>
          <w:rFonts w:ascii="arial" w:eastAsia="arial" w:hAnsi="arial" w:cs="arial"/>
          <w:i/>
          <w:color w:val="000000"/>
          <w:sz w:val="20"/>
          <w:lang w:val="en-US" w:eastAsia="en-US" w:bidi="ar-SA"/>
        </w:rPr>
        <w:t>Cleugh v. Jones</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2001 BCSC 1880</w:t>
        </w:r>
      </w:hyperlink>
      <w:r>
        <w:rPr>
          <w:rFonts w:ascii="arial" w:eastAsia="arial" w:hAnsi="arial" w:cs="arial"/>
          <w:color w:val="000000"/>
          <w:sz w:val="20"/>
          <w:lang w:val="en-US" w:eastAsia="en-US" w:bidi="ar-SA"/>
        </w:rPr>
        <w:t>, a medical-malpractice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Plaintiffs' counsel submits that a neuropsychological assessment of Svangtun can be undertaken in time for an early 2020 trial date. Further, the extent of the Nadalin brothers' injuries are expected to be known by the time of an early 2020 trial. He says a full trial can proceed a little more than one year later than currently scheduled. He submits there is no substantial prejudice flowing from such an adjournment that outweighs the benefits of having the trial heard on all issues in early 2020. Further, the parties through their representative witnesses have been examined for discovery and their memories are recorded in the transcripts.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first issue is whether non-severance (which will result in an adjournment of the November 2018 trial) will result in a delay of about one-and-a-half years past the November 2018 trial date, or three to four years. I read Dr. Cohen's opinion and Dr. Joschko's opinion as being consistent to the extent they both opine that due to the developmental changes in adolescence, it is generally preferable to assess children later rather than earlier. It may be possible to have Svangtun assessed a year from now, but that would be the very earliest date. It may also be that her development is such that an accurate assessment cannot be done until she is at least 15 years old or later. I am therefore not convinced that a year from now Svangtun's injuries will be able to be assessed. It may be as late as another three years before a reasonably accurate assessment can be made. Whether it is another one-and-a-half years to trial or another three or four years to trial, in the circumstances of this case, the delay is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has already been eight-and-a-half years from the alleged incidents. I agree with defendants' counsel that there is a general prejudice in lengthy delays to trial. While no one can accurately predict a witness's future availability, memories do generally fade over time, and there is a stress in having unresolved litigation. Some of these risks are abated by having examination for discovery evidence, but not all. The PNE issued a notice to proceed so that the limitation period would commence and matters would come to trial in a timely manner. A further delay, be it to early 2020 or a later date, is therefore a factor that weighs in favour of 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Considering all of the above, the factor that favours severance is the ability to have some of the liability issues tried this year. It is already eight-and-a-half years since the alleged incidents and there is prejudice with the passage of time. This is not a specific prejudice, but the general prejudice of memories fading, the possibility of witness unavailability, and the stress of litigation. The passage of time since the incidents is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Against this, is the factor that the issues of standard of care, causation and damages are intertwined. Evidence given on one issue may be relevant to other issues, and some witnesses will likely need to give evidence at both proposed trials. Even though the defendants have attempted to avoid the intertwining of issues and duplication of evidence and witnesses with their proposal for severance, I find it is unlikely to have that result; severance in this manner will complicate the causation issue. Further, a finding against the defendants on all of the severed issues proposed would not be determinative of the liability issues, as it would still be a live issue whether any breach of the standard of care by one of them in fact caused the plaintiffs to contract an E. Coli infection. I do not find that there will be any substantial savings in time or cost with a severed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Weighing these factors, the defendants have not demonstrated that there is an exceptional or compelling reason for severance. While the passage of time is significant, it is outweighed by the complication, duplication of evidence, and difficulties that would result from intertwined issues with a severed trial. The defendants' applications for severance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Unfortunately, as all three of the actions are ordered to be tried at the same time, dismissing the severance applications means that assessment of the Nadalin brothers' claims will also be delayed, possibly until Svangtun's injuries can be assessed. Counsel did not indicate to me if they thought it would be possible to have the Nadalin trial proceed on all issues at an earlier date without the Svangtun trial being heard, and I make no comment on that possible scenario.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the parties have indicated that I do not need to consider the adjournment applications if I do not sever issues, I adjourn those applications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parties did not address costs in this application. If the parties cannot agree, I will accept written submissions through the registry, no longer than two pages, within two weeks of the date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B.J. NORELL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7"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2" w:history="1">
        <w:r>
          <w:rPr>
            <w:rFonts w:ascii="arial" w:eastAsia="arial" w:hAnsi="arial" w:cs="arial"/>
            <w:b/>
            <w:bCs/>
            <w:i/>
            <w:color w:val="0077CC"/>
            <w:kern w:val="32"/>
            <w:sz w:val="28"/>
            <w:szCs w:val="32"/>
            <w:u w:val="single"/>
            <w:shd w:val="clear" w:color="auto" w:fill="FFFFFF"/>
            <w:lang w:val="en-US" w:eastAsia="en-US" w:bidi="ar-SA"/>
          </w:rPr>
          <w:t>Taylor v. Liong, [2007] B.C.J. No. 330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Cullen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27 - 28 and 30 - 31; April 4, 10 - 13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18 - 21; and September 11,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B992886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330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231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7 W.W.R. 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70 B.C.L.R. (4th) 284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347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Harris Clark Anais Taylor, Plaintiff, and Linda A. Kua Liong and Timothy Garth Liong,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8"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7" w:name="Keywords_14"/>
      <w:bookmarkEnd w:id="97"/>
      <w:r>
        <w:rPr>
          <w:rFonts w:ascii="arial" w:eastAsia="arial" w:hAnsi="arial" w:cs="arial"/>
          <w:b/>
          <w:color w:val="000000"/>
          <w:sz w:val="20"/>
          <w:lang w:val="en-US" w:eastAsia="en-US" w:bidi="ar-SA"/>
        </w:rPr>
        <w:t>Civil evidence — Opinion evidence — Expert evidence — Criteria for admissibility — In this action for damages for injuries sustained in a motor vehicle accident, both parties were permitted to introduce expert evidence surrounding the possibility that the plaintiff's MS symptoms were triggered or exacerbated by the trauma — Although there was evidence of considerable opposition to the theory, it was not incapable of being considered by a trier of fact.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In this action for damages for injuries sustained in a motor vehicle accident, both parties were permitted to introduce expert evidence surrounding the possibility that the plaintiff's MS symptoms were triggered or exacerbated by the trauma — Although there was evidence of considerable opposition to the theory, it was not incapable of being considered by a trier of fact.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8" w:name="Case Summary_13"/>
            <w:bookmarkEnd w:id="9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sought damages for injuries suffered in a motor vehicle accident -- Following the accident she began to experience symptoms which led to a diagnosis of multiple sclerosis and she contended that the accident materially contributed to the onset or exacerbation of her symptoms of that illness -- Both parties attacked the admissibility of the other's expert evidence, claiming it did not meet the reliability threshold -- The plaintiff argued her expert's evidence was based on biological plausibility, and its correctness ought to be left to the trier of fact -- HELD: The evidence of the expert witnesses from both parties was to be admitted, save for that of Dr. Lehrer, for the plaintiff -- It was important to remember that the only means of gaining access to an understanding of the ultimate issue was through the impugned evidence -- Admitting the evidence did not cast any onus or burden on the defendants to disprove the plaintiff's position -- The witness Dr. Lehrer's theory did not meet the test of threshold reliability and the evidence in support of it was not admissible; his opinion simply did not ascend to any level of certainty -- However, Dr. Poser's theory provided a biological mechanism to tie together those studies said to associate trauma and MS onset or exacerbation -- Although there was evidence of considerable opposition to this theory, it was not incapable of being considered by a trier of fact.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9" w:name="Counsel_14"/>
      <w:bookmarkEnd w:id="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9"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R.D. Nairne, R.S. Watts.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R.K. Hartshorne, K.G. Mehl.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0" w:name="Judgment_14"/>
      <w:bookmarkEnd w:id="100"/>
      <w:r>
        <w:pict>
          <v:line id="_x0000_s1100" style="position:absolute;z-index:25177600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February 21, 2007.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1" w:name="CULLEN J."/>
            <w:bookmarkEnd w:id="101"/>
            <w:r>
              <w:rPr>
                <w:rFonts w:ascii="arial" w:eastAsia="arial" w:hAnsi="arial" w:cs="arial"/>
                <w:b/>
                <w:color w:val="000000"/>
                <w:sz w:val="30"/>
                <w:lang w:val="en-US" w:eastAsia="en-US" w:bidi="ar-SA"/>
              </w:rPr>
              <w:t>CULLEN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 AND OVERVIEW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case, the plaintiff, Harris Clark Anais Taylor claims damages for injury caused to her in a motor vehicle accident which took place on May 22, 1998. Following the accident, during the summer of 1998 she began experiencing symptoms which eventually, in September of 1998, led to an examination for and diagnosis of multiple sclerosis ("MS"). It is the plaintiff's contention that the accident materially contributed to the onset or exacerbation of the symptoms of her illness. It is not the plaintiff's contention that the accident caused the MS except in the sense of triggering the onset of symptoms for a condition which the plaintiff contends, and the defendants dispute, was asymptomatic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is a debilitating disease that attacks the central nervous system and can cause significant and long term disability. It can precipitate insidiously or acutely. There is at present no cure for the disease and while much has been discovered about it by academics, researchers, and medical practitioners, much remains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Taylor seeks to prove that her condition was triggered by the accident by calling expert witnesses to attest to the existence of a causal connection between trauma, including mild head trauma or whiplash injury such as might be experienced in the motor vehicle accident in which she was involved, and the onset or exacerbation of MS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have objected to the evidence which the plaintiff proposes to call on the footing that it fails to meet the criteria for the admissibility of expert opinion evidence established by the Supreme Court of Canada in </w:t>
      </w:r>
      <w:r>
        <w:rPr>
          <w:rFonts w:ascii="arial" w:eastAsia="arial" w:hAnsi="arial" w:cs="arial"/>
          <w:b/>
          <w:i/>
          <w:color w:val="000000"/>
          <w:sz w:val="20"/>
          <w:lang w:val="en-US" w:eastAsia="en-US" w:bidi="ar-SA"/>
        </w:rPr>
        <w:t>R. v. Mohan</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Mohan</w:t>
      </w:r>
      <w:r>
        <w:rPr>
          <w:rFonts w:ascii="arial" w:eastAsia="arial" w:hAnsi="arial" w:cs="arial"/>
          <w:color w:val="000000"/>
          <w:sz w:val="20"/>
          <w:lang w:val="en-US" w:eastAsia="en-US" w:bidi="ar-SA"/>
        </w:rPr>
        <w:t>"] and other related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similarly objects to the admissibility of expert evidence proposed to be called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impugned evidence of the plaintiff comes through the reports and testimony of Dr. Charles Poser, Dr. Gerald Lehrer, and Dr. Lorne Kastrukoff. The impugned evidence tendered by the defendants comes through the reports and evidence of Dr. Douglas Goodin, Dr. George Ebers, and Dr. William Sibley.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its core, the parties attack on one another's respective expert's evidence is that it does not meet the threshold of reliability and its admission would distort the fact finding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 of 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Axons are the neurons or nerve fibres in the central nervous system ("CNS") which extended from the nerve cell and conduct messages throughout the CNS and to the peripheral nervous system by electrical impulses. Myelin is an electrically insulating sheath that surrounds axons. There are spaces along the axons not covered by myelin, and these are called nodes of ranvier. What is known about MS is that it is a disease that attacks and destroys Myelin. Under normal conditions, the electrical impulses comprising the messages travel at speeds of approximately 100 metres per second by jumping along the axon from one node of ranvier to the next. When the myelin sheath is destroyed by the disease, the electrical impulses are slowed by being forced to travel along the axon and there can be a corresponding impairment of the physical abilities of the individual experiencing the condition. The process of myelin destruction is called demyelination. The process of demyelination leaves plaques or lesions along the axon.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are portions of the CNS that are largely composed of bundles of myelinated axons which are comprised of almost 80% lipids (fats) and are known as the white matter of the brain. These portions of the brain are found in the inner layer of the cortex, the optic nerves, the central and lower areas of the brain (notably the brain stem), and surrounding the central shaft of grey matter in the spinal cord. About 95% of all MS lesions occur in the white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portions of the brain known as the grey matter consist of nerve cell bodies and astroglia consisting of about 80%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Multiple sclerosis is believed to be an autoimmune disease. There are various autoimmune diseases. An autoimmune disease refers to a body's immune system failing to recognize its own constituents and attacking them as they would attack a foreign invader. In rheumatoid arthritis for example, which is an autoimmune disease, the immune system will attack the body's joint's causing pain and inflammation.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immune system is a separate system within the body which has evolved to identify and attack foreign invaders such as viruses which might otherwise cause illness. The immune system operates at a cellular and molecular level and involves various constituent elements with various functions. Each cell in the body has a marker on its surface which identifies the cell as belonging in the body. The markers are molecules called major histocompatibility complex (MHC). In blood cells, human leukocyte antigens (HLA) help identify cells as belonging to the self or as foreign.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event that foreign invaders enter the body, the immune system reacts by activating certain cells including B Cells, T Cells, and macrophages which respond to the threat represented by the foreign bodies.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 Cells are a type of white blood cell originating in bone marrow. B Cells are turned into plasma cells which multiply and form a cloned army of cells which produce proteins called antibodies. The antibodies respond to antigens which are molecules identifying the foreign invaders as appropriate targets for the antibodies. The antibodies then bind to the antigen and, working with blood proteins called the complement system, destroy the antigen or organism.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 Cells are also a type of white blood cell which are modified when presented with a specific antigen (by other, presenter cells ) to produce a cloned army of cells which attack the offending substances by either secreting cytokines which tell other cells to attack the offending substances or by attacking directly themselves. Cytokines are small protein molecules released by cells to communicate with and direct the activity of other cells in the vicinity. They help the immune system to function by activating cells and directing the processes of inflammation, tissue breakdown and cell death. A subset of cytokines called interleukins or lymphokines act as messengers between cells. They are largely secreted and received by cells called leukocytes to stimulate a variety of activities depending on what is required by the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Macrophages are versatile. They can engulf (eat) foreign substances, dead cells, or other debris, and can also act as antigen presenters to B Cells and T Cells to engage their immune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An autoimmune reaction refers to some abnormality in the process by which the body's immune system becomes activated, and involves immune cells harming the body's own central nervous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generally accepted that in North America, approximately one out of one thousand people are diagnosed with multiple sclerosis and a further one out of one thousand people are undiagnosed despite having the condition. Women were historically at risk at a rate of 2 to 1, compared to men. Surprisingly and somewhat alarmingly, that ratio has changed dramatically (by an increase in incidence among women, rather than a decrease among men) in the past 50 years. This strongly suggests environmental factors in the initiation of the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Magnetic resonance imaging ("MRI") is a non-invasive method used to render images of pathological or other physiological alterations of living tissues. MRI scans can be used to detect lesions in the myelin that covers axons. Gadolinium compounds can be injected into the body before scanning to enhance the MRI images.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Medical practitioners and scientists draw a distinction between biological symptoms (lesions that can be seen on MRI scans but cause no physical consequence) and clinical symptoms (in which the development of lesions manifest ascertainable physical consequences). Scientists estimate that for every one clinical symptom, there are five biological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one of his medical legal reports dated April 9, 2001, Dr. Sibley explained the mechanics of the disease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is characterized by the appearance of patches of inflammation associated with demyelination (loss of fatty insulation of nerve fibres) in the white matter of the brain, brain stem, optic nerve and spinal cord. These patches, also called plaques or simply lesions, often occur in crops ... and they cause the common symptoms of the disease (visual loss, double vision, numbness and/or weakness of the limbs). They have become much easier to detect and monitor since the advent of the magnetic resonance imaging (MRI) scan in about 1985.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Serial MRI studies during the early years of the disease indicate that the average patient gets two to six new patches of MS ... in the brain each year, but clinical symptoms are much less common.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believed to be a strong genetic influence on the development of MS as studies have shown a relatively high correlation among family members grading upwards from half siblings to identical twins.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Environmental factors are also believed to be involved but those factors are as yet largely unidentified by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to the triggers of the disease, epidemiological studies implicate viral infections as potential triggers and it is presently generally accepted that approximately 25% of multiple sclerosis onset and exacerbation is triggered by viral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is no general acceptance of what other triggers may be responsible for the remaining 75% of MS onset or exacerbation. Interestingly, it appears that vaccinations do not precipitate MS attacks despite introducing antigens into the body which provoke an immune response. On the current state of knowledge it appears that vaccinations have a salutary effect on MS exacerbation.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Biological symptoms (the lesions that form in the myelin that covers the axons) are believed to start developing between the ages of about 5 and 15 in genetically susceptible people. The condition may have no consequences unless an onset is precipitated by some environmental factor. There is evidence that an alteration or disturbance of the blood brain barrier is implicated in the context of the formation of lesions in the course of the disease, although there is presently controversy whether the alteration or disturbance is a cause or effect of the lesion formation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blood brain barrier ("BBB") refers to the protection afforded the brain and spinal cord (the CNS) by endothelial cells that are tightly bound together in what are referred to as tight junctions. The BBB prevents the easy passage of certain substances and cells into the CNS unless they are transported across by specific transport systems. The CNS endothelial cells are distinctive from other cells throughout the body which are not tightly joined and allow easy passage of substances or white blood cells to the surrounding tissues. Not all areas of the brain are covered by the BBB. The area postrema which is a sensory area for toxins located on the brain stem is not subject to the BBB, for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relationship between trauma and 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idea that trauma could trigger the onset or exacerbation of MS symptoms is not a novel theory in the sense of being 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McAlpine, D., "The Problem of Disseminated Sclerosis" (1946) Brain 69: 233 - 250 at 241, Dr. McAlpine, one of the then leading experts on MS,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number of observers, notably Allison (1931) and Von Hoesslin (1934) have made surveys in this disease with the purpose of discovering any facts which might throw light on its causation. The results of such surveys, in the main, confirm the occasional role of trauma, pregnancy and other factors precipitating the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went on to assert at p. 245: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excluding those cases in which the disease itself was responsible for the alleged trauma, there remain a few cases of disseminated sclerosis in which there can be little doubt of the close relationship between peripheral trauma and the appearance of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McAlpine, D., and Compston, N., "Some Aspects of the Natural History of Disseminated Sclerosis" (1952) Quarterly Journal of Medicine, New Series XXI. No. 82, Dr. McAlpine and Dr. Nigel Compston, another leading expert in the field, wrote at p. 152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31 patients, out of total of 146 who suffered injury more than 3 months before the onset of their disease, the site of their initial lesion was related to the site of the injury (21.2%). Even allowing for the greater likelihood that injury, especially when apparently related to the first symptom, will be recalled in patients suffering from disseminated sclerosis, it seems probable that injury does sometimes precipitate the onset of the disease, and may determine the site of the initial lesion.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Brain, R., and Wilkinson, M., "The Association of Cervical Spondylosis and Disseminated Sclerosis" (1957) Brain 80: 456 - 478 [the "</w:t>
      </w:r>
      <w:r>
        <w:rPr>
          <w:rFonts w:ascii="arial" w:eastAsia="arial" w:hAnsi="arial" w:cs="arial"/>
          <w:b/>
          <w:i/>
          <w:color w:val="000000"/>
          <w:sz w:val="20"/>
          <w:lang w:val="en-US" w:eastAsia="en-US" w:bidi="ar-SA"/>
        </w:rPr>
        <w:t>Brain and Wilkinson Study</w:t>
      </w:r>
      <w:r>
        <w:rPr>
          <w:rFonts w:ascii="arial" w:eastAsia="arial" w:hAnsi="arial" w:cs="arial"/>
          <w:color w:val="000000"/>
          <w:sz w:val="20"/>
          <w:lang w:val="en-US" w:eastAsia="en-US" w:bidi="ar-SA"/>
        </w:rPr>
        <w:t>"], the authors noted at p. 477: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five of our series of cases trauma in the neck appears to have either precipitated the first symptoms of, or substantially exacerbated, the disseminated sclerosis and the co-existence of the two disorders has tended to bring about a deterioration more rapid than would have been expected, had either been present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Oppenheimer, D.R., "The Cervical Cord in Multiple Sclerosis" (1978) Neuropathology and Applied Neurobiology 4: 151 - 162 [the "</w:t>
      </w:r>
      <w:r>
        <w:rPr>
          <w:rFonts w:ascii="arial" w:eastAsia="arial" w:hAnsi="arial" w:cs="arial"/>
          <w:b/>
          <w:i/>
          <w:color w:val="000000"/>
          <w:sz w:val="20"/>
          <w:lang w:val="en-US" w:eastAsia="en-US" w:bidi="ar-SA"/>
        </w:rPr>
        <w:t>1978 Oppenheimer Study</w:t>
      </w:r>
      <w:r>
        <w:rPr>
          <w:rFonts w:ascii="arial" w:eastAsia="arial" w:hAnsi="arial" w:cs="arial"/>
          <w:color w:val="000000"/>
          <w:sz w:val="20"/>
          <w:lang w:val="en-US" w:eastAsia="en-US" w:bidi="ar-SA"/>
        </w:rPr>
        <w:t>"], the author, D.R. Oppenheimer of the Department of Neuropathology, Radcliffe Infirmary, Oxford, found a greater proportion of lesions in the cervical spine in 18 cases, distributed in such a way and forming a pattern of a sort, which he advanced as supporting the theory that they were caused by mechanical stresses.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 leading text, Matthews, W.B. et al., McAlpine's Multiple Sclerosis, 2nd ed. (New York: Churchill, 1992), the state of acceptance of the association between trauma and exacerbation of the symptoms was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hypothesis can be constructed linking onset or relapse of multiple sclerosis up to six weeks after concussive head injury but thereafter with rapidly diminishing probability. Minor injury to the spinal cord could be held similarly responsible. The hypothesis is based on the unproven primary role of breach of the blood brain barrier in the pathogenesis of the plaque.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Breach of the BBB is the mechanism which is at the heart of Dr. Poser's opinion that there is a causative link between trauma to the head or spinal cord and onset or exacerbation of symptoms of 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two articles: Poser, C.M., "Pathogenesis of multiple sclerosis" (1986) Acta Neuropathol (Berl) 71: 1 - 10, ["</w:t>
      </w:r>
      <w:r>
        <w:rPr>
          <w:rFonts w:ascii="arial" w:eastAsia="arial" w:hAnsi="arial" w:cs="arial"/>
          <w:b/>
          <w:i/>
          <w:color w:val="000000"/>
          <w:sz w:val="20"/>
          <w:lang w:val="en-US" w:eastAsia="en-US" w:bidi="ar-SA"/>
        </w:rPr>
        <w:t>Poser 1986</w:t>
      </w:r>
      <w:r>
        <w:rPr>
          <w:rFonts w:ascii="arial" w:eastAsia="arial" w:hAnsi="arial" w:cs="arial"/>
          <w:color w:val="000000"/>
          <w:sz w:val="20"/>
          <w:lang w:val="en-US" w:eastAsia="en-US" w:bidi="ar-SA"/>
        </w:rPr>
        <w:t>"] and Poser, C.M., "The role of trauma in the pathogenesis of multiple sclerosis: a review" (1996) Clinical Neurology and Neurosurgery 96: 103 - 110 (updated version of 1987 article) ["</w:t>
      </w:r>
      <w:r>
        <w:rPr>
          <w:rFonts w:ascii="arial" w:eastAsia="arial" w:hAnsi="arial" w:cs="arial"/>
          <w:b/>
          <w:i/>
          <w:color w:val="000000"/>
          <w:sz w:val="20"/>
          <w:lang w:val="en-US" w:eastAsia="en-US" w:bidi="ar-SA"/>
        </w:rPr>
        <w:t>Poser 1994</w:t>
      </w:r>
      <w:r>
        <w:rPr>
          <w:rFonts w:ascii="arial" w:eastAsia="arial" w:hAnsi="arial" w:cs="arial"/>
          <w:color w:val="000000"/>
          <w:sz w:val="20"/>
          <w:lang w:val="en-US" w:eastAsia="en-US" w:bidi="ar-SA"/>
        </w:rPr>
        <w:t>"], Dr. Poser advanced the contention that an alteration in the BBB is an obligatory step in the pathogenesis of the MS lesion and that minor concussive injury to the head, neck or upper back may result in such an alteration. He suggested the logical inference could be drawn that trauma could facilitate the conditions precedent to the formation of new lesions or the enlargement and activation of old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Poser 1986</w:t>
      </w:r>
      <w:r>
        <w:rPr>
          <w:rFonts w:ascii="arial" w:eastAsia="arial" w:hAnsi="arial" w:cs="arial"/>
          <w:color w:val="000000"/>
          <w:sz w:val="20"/>
          <w:lang w:val="en-US" w:eastAsia="en-US" w:bidi="ar-SA"/>
        </w:rPr>
        <w:t>, Dr. Poser postulated: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available data lead to the following hypothesis: multiple sclerosis is a disease which requires the following factors for the production of demylinating lesions of the central nervous system:</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genetically determined susceptibility;</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environmental, probably viral, probably immune mediated initiatory event producing a symptomless systemic illness;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subsequent alteration of the blood brain barrier resulting from diverse mechanisms including trauma or a second, immune mediated event; and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myelinoclastic plaque-forming mechanism which is operative only in the central nervous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Poser 1994</w:t>
      </w:r>
      <w:r>
        <w:rPr>
          <w:rFonts w:ascii="arial" w:eastAsia="arial" w:hAnsi="arial" w:cs="arial"/>
          <w:color w:val="000000"/>
          <w:sz w:val="20"/>
          <w:lang w:val="en-US" w:eastAsia="en-US" w:bidi="ar-SA"/>
        </w:rPr>
        <w:t>, Dr. Poser averred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age of risk of clinical MS, trauma to the nervous system is by far the most common facilitator. In our automobile-oriented culture, motor vehicle accidents are the most common type of trauma, and among those the so-called rear-end collision is the most frequent. Because in so many instances, in particular in the United States, these automobile accidents result in law suits, the significance of trauma in the pathogenesis of MS has become a matter of controversy, with experts arguing either for or against the role of trauma in either producing exacerbations of an already diagnosed condition, or resulting in the appearance of classical manifestations of an hither to asymptomatic disease. This controversy has veiled the importance of this factor in our understanding of the pathogenesis of MS. Certainly, the courtroom is not the proper venue for discovering the scientific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both of his articles, Dr. Poser questioned the value of epidemiological studies in affirming or discounting a causative association between trauma and the onset or exacerbation of symptoms. In his </w:t>
      </w:r>
      <w:r>
        <w:rPr>
          <w:rFonts w:ascii="arial" w:eastAsia="arial" w:hAnsi="arial" w:cs="arial"/>
          <w:b/>
          <w:i/>
          <w:color w:val="000000"/>
          <w:sz w:val="20"/>
          <w:lang w:val="en-US" w:eastAsia="en-US" w:bidi="ar-SA"/>
        </w:rPr>
        <w:t>Poser 1986</w:t>
      </w:r>
      <w:r>
        <w:rPr>
          <w:rFonts w:ascii="arial" w:eastAsia="arial" w:hAnsi="arial" w:cs="arial"/>
          <w:color w:val="000000"/>
          <w:sz w:val="20"/>
          <w:lang w:val="en-US" w:eastAsia="en-US" w:bidi="ar-SA"/>
        </w:rPr>
        <w:t xml:space="preserve">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most relevant in understanding why epidemiological studies of the relationship between trauma and MS are unlikely to be fruitful. (Bamford et al 1981). MS patients represent an extremely heterogenous group suffering from an unpredictable and highly variable illness. In clinical practice, the role of trauma must be evaluated with great circumspection: it is most unlikely that an injury to a limb, to the chest, or to the abdomen has the same effect with regard to producing changes in the permeability of the BBB as an injury to the brain or spinal cord. It is also important to consider a reasonable time relationship between the trauma and the symptoms that follow. No simple rule can be given and all cases must be judged individually.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Poser 1994</w:t>
      </w:r>
      <w:r>
        <w:rPr>
          <w:rFonts w:ascii="arial" w:eastAsia="arial" w:hAnsi="arial" w:cs="arial"/>
          <w:color w:val="000000"/>
          <w:sz w:val="20"/>
          <w:lang w:val="en-US" w:eastAsia="en-US" w:bidi="ar-SA"/>
        </w:rPr>
        <w:t>, Dr. Poser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it is clear that dependence upon the "scientific evidence" of epidemiology and biostatistics in these contexts, ignores the fact that such studies can at best only be estimates within a cohort and not generalizable. They assume that MS patients are not only genetically and immunologically identical, but that their disease has reached the same extent of clinical and pathological involvement, and a similar degree of activity at the time of trauma. The reliance on such studies to establish or deny causal relationships is a disavowal of our clinicopathologic tradition. It denigrates the work of the experimentalists and sweeps aside the experience of clinicians and neuropathologists.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1999, the therapeutics and technology assessment sub-committee of the American Academy of Neurology published a "special article": Goodin, D.S., Ebers, G.C., et al., "The relationship of MS to physical trauma and psychological stress" (1999) Neurology 52: 1737 - 1745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was written by a panel of experts, which was chaired by Dr. Goodin and included Dr. Ebers and Dr. Sibley as well as Drs. Johnson, Rodrigues, and Wolinsky. Dr. Poser was a member of the panel for some time, but resigned before the article was published because he was not permitted to write a dissenting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did not report on any new study, but rather was a review of existing studies and articles with a view to resolving what had, to that point, become a matter of contention within the medical community: whether there was an association between trauma and psychological stress and either MS onset or exacerbation. The article concluded with respect to physical trauma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basis of strong and generally consistent class 2 evidence, any posited association of trauma, especially head trauma, with more than a small effect on either MS onset or MS exacerbation is excluded. Moreover, the preponderance of the class 2 evidence supports no association between physical trauma and either MS onset or MS exacerbation.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Class 2 evidence refers to a classification of scientific studies broken down according to their strength. A definition taken from the Practice Guideline for Clinical Practice in 2002 published in a report of the sub-committee of the academy of neurology and the MS Council for Clinical Practice Guidelines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Class 2 - evidence provided by a prospective study of a narrow spectrum of persons at risk for having the condition or by a retrospective study of a broad spectrum of persons with the condition compared to a broad spectrum of controls. The study measures the prognostic accuracy of the risk factor using an acceptable independent gold standard for case definition. The risk factor is measured in an evaluation that is masked to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Dr. Goodin, who chaired the subcommittee which published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testified that the subcommittee was formed to conduct an assessment of the issue in response to a person who "felt that this (the association between trauma and MS onset or exacerbation) was being misused in the courtroom."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Dr. Goodin explained that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came to its final form through a 9 step process: First, a review of the relevant literature was done. Second, a document was prepared by the panel of experts and submitted to the full subcommittee for review. Third, the full subcommittee reviewed the document, and provided feedback to the panel of experts. Fourth, the panel of experts modified the document based on the feedback received. Fifth, the document was resubmitted to the subcommittee for further assessment. Sixth, the document was sent to a further 50 or 60 members of the academy interested in MS such that their input could be obtained. Seventh, that input was considered and the document was again reviewed by the subcommittee. Final approval of the subcommittee was provided at that stage. Eighth, the document was sent to the board of Directors of the academy. Finally, the document was submitted to Neurology, which is a peer reviewed journal, for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Subsequently, in 2003, the National MS Society published its position on the relationship between trauma and MS referencing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and two epidemiological studies: Sibley, W.A., Bamford, C.R., et al., "A prospective study of physical trauma and multiple sclerosis" (1991) Journal of Neurology, Neurosurgery and Psychiatry 54: 584 - 589 [the "</w:t>
      </w:r>
      <w:r>
        <w:rPr>
          <w:rFonts w:ascii="arial" w:eastAsia="arial" w:hAnsi="arial" w:cs="arial"/>
          <w:b/>
          <w:i/>
          <w:color w:val="000000"/>
          <w:sz w:val="20"/>
          <w:lang w:val="en-US" w:eastAsia="en-US" w:bidi="ar-SA"/>
        </w:rPr>
        <w:t>Sibley Study</w:t>
      </w:r>
      <w:r>
        <w:rPr>
          <w:rFonts w:ascii="arial" w:eastAsia="arial" w:hAnsi="arial" w:cs="arial"/>
          <w:color w:val="000000"/>
          <w:sz w:val="20"/>
          <w:lang w:val="en-US" w:eastAsia="en-US" w:bidi="ar-SA"/>
        </w:rPr>
        <w:t>"] and Siva, A. et al., "Trauma and multiple sclerosis: A population-based cohort study from Olmsted County, Minnesota" (1993) Neurology 43: 1878 - 1882 [the "</w:t>
      </w:r>
      <w:r>
        <w:rPr>
          <w:rFonts w:ascii="arial" w:eastAsia="arial" w:hAnsi="arial" w:cs="arial"/>
          <w:b/>
          <w:i/>
          <w:color w:val="000000"/>
          <w:sz w:val="20"/>
          <w:lang w:val="en-US" w:eastAsia="en-US" w:bidi="ar-SA"/>
        </w:rPr>
        <w:t>Siva Study</w:t>
      </w:r>
      <w:r>
        <w:rPr>
          <w:rFonts w:ascii="arial" w:eastAsia="arial" w:hAnsi="arial" w:cs="arial"/>
          <w:color w:val="000000"/>
          <w:sz w:val="20"/>
          <w:lang w:val="en-US" w:eastAsia="en-US" w:bidi="ar-SA"/>
        </w:rPr>
        <w:t>"]. The MS publication, in the National MS Society Information Sourcebook,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studies showed that there are more traumatic events among people with MS than in the healthy control group. Many traumas were caused by MS symptoms such as in-coordination, impaired balance, or abnormalities with gait or vision. These events, however, were not precipitating factors in the onset or exacerbation of the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 similar approach to the issue has been taken in recent editions of the major text concerning multiple sclerosis. In Compston, A., et al., McAlpine's Multiple Sclerosis, 3rd ed. (New York: Churchill, 1998), after quoting the passage from the second edition which endorsed a causal connection between trauma and onset or exacerbation (see para. 33 above) the authors conclude at p. 100: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view now is that a complete reading of the literature provides no direct evidence in support of the hypothesis that trauma influences the expression or natural history of multiple sclerosis.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Compston, A., et al., McAlpine's Multiple Sclerosis, 4th ed. (New York: Churchill, 2005), the same view was expressed somewhat more comprehensively at p. 259: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present view is that a complete reading of the literature provides no epidemiological evidence in support of a relationship between trauma and the cause of multiple sclerosis. Trauma does not precipitate latent multiple sclerosis. Nor does it change the activity, course and prognosis in patients with established multiple sclerosis. That position is reached using the following logic:</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frequencies of trauma and disease activity in multiple sclerosis make it certain that these will occasionally occur together by chance.</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Epidemiological studies do not show an association between trauma and disease activity or the course of multiple sclerosis.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Colocalization of lesions due to multiple sclerosis and cervical spondylitus, or in patients undergoing direct brain needling, does not establish causality.</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Opening of the blood brain barrier is necessary but not sufficient for establishing the cascade of events that culminates in the pathological features of multiple sclerosis.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Approached from the rigorous attitude of medical science in assessing evidence, there is no evidence for a causal relationship between trauma and multiple sclerosis. </w:t>
      </w:r>
      <w:r>
        <w:rPr>
          <w:rFonts w:ascii="arial" w:eastAsia="arial" w:hAnsi="arial" w:cs="arial"/>
          <w:color w:val="000000"/>
          <w:sz w:val="20"/>
          <w:u w:val="single"/>
          <w:lang w:val="en-US" w:eastAsia="en-US" w:bidi="ar-SA"/>
        </w:rPr>
        <w:t>That position is not materially altered if the same questions are asked from the perspective of civil law on a balance of probabilities.</w:t>
      </w:r>
      <w:r>
        <w:rPr>
          <w:rFonts w:ascii="arial" w:eastAsia="arial" w:hAnsi="arial" w:cs="arial"/>
          <w:color w:val="000000"/>
          <w:sz w:val="20"/>
          <w:lang w:val="en-US" w:eastAsia="en-US" w:bidi="ar-SA"/>
        </w:rPr>
        <w:t xml:space="preserve">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another leading textbook, Kasper, D., et al., Harrison's Principles of Internal Medicine, 16th ed. (New York: McGraw-Hill, 2005), the authors make the following assertion at p. 2462: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relationship of multiple sclerosis to trauma and stress: the existing evidence does not support any association of trauma with either multiple sclerosis onset or exacerbation. Similarly, a relationship between stress and either onset or exacerbation of multiple sclerosis has not been established, although this area is not easily studied because of difficulties in quantifying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Since the publication of McAlpine's 4th ed. and Harrison's 16th ed. in 2005, the results of an additional epidemiological study have been published and are cited by the defendants as support for the position that there is no association between trauma and onset or exacerbation of MS symptoms. The study, Goldacre, M.J., et al., "Risk of multiple sclerosis after head injury: record linkage study" (2006) Journal of Neurology, Neurosurgery, and Psychiatry 77: 351 - 353 [the "</w:t>
      </w:r>
      <w:r>
        <w:rPr>
          <w:rFonts w:ascii="arial" w:eastAsia="arial" w:hAnsi="arial" w:cs="arial"/>
          <w:b/>
          <w:i/>
          <w:color w:val="000000"/>
          <w:sz w:val="20"/>
          <w:lang w:val="en-US" w:eastAsia="en-US" w:bidi="ar-SA"/>
        </w:rPr>
        <w:t>Goldacre Study</w:t>
      </w:r>
      <w:r>
        <w:rPr>
          <w:rFonts w:ascii="arial" w:eastAsia="arial" w:hAnsi="arial" w:cs="arial"/>
          <w:color w:val="000000"/>
          <w:sz w:val="20"/>
          <w:lang w:val="en-US" w:eastAsia="en-US" w:bidi="ar-SA"/>
        </w:rPr>
        <w:t>"], focussed upon hospital records from the Oxford National Health Service Region Hospitals from January 1, 1963, to March 31, 1999, involving some 110,993 patients admitted to hospitals with head injuries, and some 534,600 patients used as a reference cohort. The study reported that head injury patients at 6 and 11 month periods following the injury appeared slightly less prone to onset or exacerbation of MS symptoms than the reference patients. There was no appreciable difference reported based on the apparent severity of the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the parties' positions on trauma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Thus in broad outline, the plaintiff's position is that trauma can cause opening or disruption of the BBB, which can in turn cause MS onset or exacerbation. The reliability of the inference that opening or disruption of the BBB causes MS onset or exacerbation depends upon the reliability of a number of studies that are said to show a correlation between types of physical stress and multiple sclerosis lesions. These studies include clinical experience, experimental studies performed on animals involving analogous processes, and an analysis of the results of MRI studies and autopsies of multiple sclerosis sufferers.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equally broad outline, the defendant's position is that there is no positive association between trauma and MS onset or exacerbation. The defendants' experts assert that the evidence that a breakdown of the BBB plays a causal role in the formation of MS lesions, including the evidence from the studies relied on by the plaintiff, is weak. Furthermore, say the defendants, the 3 epidemiological studies (</w:t>
      </w:r>
      <w:r>
        <w:rPr>
          <w:rFonts w:ascii="arial" w:eastAsia="arial" w:hAnsi="arial" w:cs="arial"/>
          <w:b/>
          <w:i/>
          <w:color w:val="000000"/>
          <w:sz w:val="20"/>
          <w:lang w:val="en-US" w:eastAsia="en-US" w:bidi="ar-SA"/>
        </w:rPr>
        <w:t>Sibley Study</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Siva Study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Goldacre Study</w:t>
      </w:r>
      <w:r>
        <w:rPr>
          <w:rFonts w:ascii="arial" w:eastAsia="arial" w:hAnsi="arial" w:cs="arial"/>
          <w:color w:val="000000"/>
          <w:sz w:val="20"/>
          <w:lang w:val="en-US" w:eastAsia="en-US" w:bidi="ar-SA"/>
        </w:rPr>
        <w:t>) found no evidence of a positive association between trauma and MS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GENERAL LEGAL PRINCIPLES APPLICABLE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legal issue to be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worth noting that the issue before me is one of admissibility of the impugned evidence and not one of its ultimate reliability or sufficiency.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that sense, this case is a step removed from the appellate decision of the court in </w:t>
      </w:r>
      <w:r>
        <w:rPr>
          <w:rFonts w:ascii="arial" w:eastAsia="arial" w:hAnsi="arial" w:cs="arial"/>
          <w:b/>
          <w:i/>
          <w:color w:val="000000"/>
          <w:sz w:val="20"/>
          <w:lang w:val="en-US" w:eastAsia="en-US" w:bidi="ar-SA"/>
        </w:rPr>
        <w:t>Dingley v. The Chief Constable of Strathclyde Police</w:t>
      </w:r>
      <w:r>
        <w:rPr>
          <w:rFonts w:ascii="arial" w:eastAsia="arial" w:hAnsi="arial" w:cs="arial"/>
          <w:color w:val="000000"/>
          <w:sz w:val="20"/>
          <w:lang w:val="en-US" w:eastAsia="en-US" w:bidi="ar-SA"/>
        </w:rPr>
        <w:t>, [1998] Scot J. No. 103 (I.H.C.S.) ["</w:t>
      </w:r>
      <w:r>
        <w:rPr>
          <w:rFonts w:ascii="arial" w:eastAsia="arial" w:hAnsi="arial" w:cs="arial"/>
          <w:b/>
          <w:i/>
          <w:color w:val="000000"/>
          <w:sz w:val="20"/>
          <w:lang w:val="en-US" w:eastAsia="en-US" w:bidi="ar-SA"/>
        </w:rPr>
        <w:t>Dingley</w:t>
      </w:r>
      <w:r>
        <w:rPr>
          <w:rFonts w:ascii="arial" w:eastAsia="arial" w:hAnsi="arial" w:cs="arial"/>
          <w:color w:val="000000"/>
          <w:sz w:val="20"/>
          <w:lang w:val="en-US" w:eastAsia="en-US" w:bidi="ar-SA"/>
        </w:rPr>
        <w:t xml:space="preserve">"] relied on by the defendants. In that case, the issue before the court, consisting of Lord Rodger, Lord Prosser and Lord Caplan, was not </w:t>
      </w:r>
      <w:r>
        <w:rPr>
          <w:rFonts w:ascii="arial" w:eastAsia="arial" w:hAnsi="arial" w:cs="arial"/>
          <w:color w:val="000000"/>
          <w:sz w:val="20"/>
          <w:u w:val="single"/>
          <w:lang w:val="en-US" w:eastAsia="en-US" w:bidi="ar-SA"/>
        </w:rPr>
        <w:t>admissibility</w:t>
      </w:r>
      <w:r>
        <w:rPr>
          <w:rFonts w:ascii="arial" w:eastAsia="arial" w:hAnsi="arial" w:cs="arial"/>
          <w:color w:val="000000"/>
          <w:sz w:val="20"/>
          <w:lang w:val="en-US" w:eastAsia="en-US" w:bidi="ar-SA"/>
        </w:rPr>
        <w:t xml:space="preserve"> of evidence (significantly parallel to the evidence in this case) that trauma could, and in that case did, cause onset or exacerbation of MS symptoms, it was the </w:t>
      </w:r>
      <w:r>
        <w:rPr>
          <w:rFonts w:ascii="arial" w:eastAsia="arial" w:hAnsi="arial" w:cs="arial"/>
          <w:color w:val="000000"/>
          <w:sz w:val="20"/>
          <w:u w:val="single"/>
          <w:lang w:val="en-US" w:eastAsia="en-US" w:bidi="ar-SA"/>
        </w:rPr>
        <w:t>sufficiency</w:t>
      </w:r>
      <w:r>
        <w:rPr>
          <w:rFonts w:ascii="arial" w:eastAsia="arial" w:hAnsi="arial" w:cs="arial"/>
          <w:color w:val="000000"/>
          <w:sz w:val="20"/>
          <w:lang w:val="en-US" w:eastAsia="en-US" w:bidi="ar-SA"/>
        </w:rPr>
        <w:t xml:space="preserve"> of the evidence to prove the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coming to his conclusion that the evidence relied on by the pursuer (plaintiff) in </w:t>
      </w:r>
      <w:r>
        <w:rPr>
          <w:rFonts w:ascii="arial" w:eastAsia="arial" w:hAnsi="arial" w:cs="arial"/>
          <w:b/>
          <w:i/>
          <w:color w:val="000000"/>
          <w:sz w:val="20"/>
          <w:lang w:val="en-US" w:eastAsia="en-US" w:bidi="ar-SA"/>
        </w:rPr>
        <w:t>Dingley</w:t>
      </w:r>
      <w:r>
        <w:rPr>
          <w:rFonts w:ascii="arial" w:eastAsia="arial" w:hAnsi="arial" w:cs="arial"/>
          <w:color w:val="000000"/>
          <w:sz w:val="20"/>
          <w:lang w:val="en-US" w:eastAsia="en-US" w:bidi="ar-SA"/>
        </w:rPr>
        <w:t xml:space="preserve"> fell short of proving on a balance of probabilities that trauma could cause the onset of symptomatic, MS Lord Rodger, the Lord President, observed in his comprehensive reasons at p. 551: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present, despite many years of research, the cause of the onset of symptomatic MS has not been scientifically established. That being so, to succeed in his claim for damages against the defender, the pursuer requires to establish two things on the balance of probabilities: first, that the onset of symptomatic MS can be triggered by an injury of the type which the pursuer suffered in the accident; secondly, that not only could the pursuer's injury have triggered the onset of his condition, but it actually did so. So far as the first of those matters is concerned, I agree with the Lord Ordinary (in the court below appealed from) when he says that he was solely concerned with the evidence which the parties led before him: his task was to decide the case on that basis, rather than settle the scientific debate that divides the medical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evidence considered by the court in </w:t>
      </w:r>
      <w:r>
        <w:rPr>
          <w:rFonts w:ascii="arial" w:eastAsia="arial" w:hAnsi="arial" w:cs="arial"/>
          <w:b/>
          <w:i/>
          <w:color w:val="000000"/>
          <w:sz w:val="20"/>
          <w:lang w:val="en-US" w:eastAsia="en-US" w:bidi="ar-SA"/>
        </w:rPr>
        <w:t>Dingley</w:t>
      </w:r>
      <w:r>
        <w:rPr>
          <w:rFonts w:ascii="arial" w:eastAsia="arial" w:hAnsi="arial" w:cs="arial"/>
          <w:color w:val="000000"/>
          <w:sz w:val="20"/>
          <w:lang w:val="en-US" w:eastAsia="en-US" w:bidi="ar-SA"/>
        </w:rPr>
        <w:t xml:space="preserve"> was adduced before the trial court in 1995. That was before the "debate that divides the medical world" was conditioned by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the published position of the National MS Society in 2003, the approach to the issue taken in McAlpine's 4th ed. published in 2005, and the similar approach taken in Harrison's 16th ed., also published in 2005. Moreover, the court in </w:t>
      </w:r>
      <w:r>
        <w:rPr>
          <w:rFonts w:ascii="arial" w:eastAsia="arial" w:hAnsi="arial" w:cs="arial"/>
          <w:b/>
          <w:i/>
          <w:color w:val="000000"/>
          <w:sz w:val="20"/>
          <w:lang w:val="en-US" w:eastAsia="en-US" w:bidi="ar-SA"/>
        </w:rPr>
        <w:t>Dingley</w:t>
      </w:r>
      <w:r>
        <w:rPr>
          <w:rFonts w:ascii="arial" w:eastAsia="arial" w:hAnsi="arial" w:cs="arial"/>
          <w:color w:val="000000"/>
          <w:sz w:val="20"/>
          <w:lang w:val="en-US" w:eastAsia="en-US" w:bidi="ar-SA"/>
        </w:rPr>
        <w:t xml:space="preserve"> did not have before it the results of the </w:t>
      </w:r>
      <w:r>
        <w:rPr>
          <w:rFonts w:ascii="arial" w:eastAsia="arial" w:hAnsi="arial" w:cs="arial"/>
          <w:b/>
          <w:i/>
          <w:color w:val="000000"/>
          <w:sz w:val="20"/>
          <w:lang w:val="en-US" w:eastAsia="en-US" w:bidi="ar-SA"/>
        </w:rPr>
        <w:t>Goldacre Study</w:t>
      </w:r>
      <w:r>
        <w:rPr>
          <w:rFonts w:ascii="arial" w:eastAsia="arial" w:hAnsi="arial" w:cs="arial"/>
          <w:color w:val="000000"/>
          <w:sz w:val="20"/>
          <w:lang w:val="en-US" w:eastAsia="en-US" w:bidi="ar-SA"/>
        </w:rPr>
        <w:t xml:space="preserve"> published in 2006, or studies published in 1998 and 2000 said to challenge the significance of the role of the breakdown of the blood brain barrier in the pathogenesis of MS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Nevertheless, Lord Rodger's adoption of the Lord Ordinary's comments are apposite in the present case. What I am concerned with is whether the expert evidence tendered in this case meets the criteria of admissibility. The question before me is not whether the theory that trauma can cause onset or exacerbation of MS symptoms is correct or incorrect. Nor is the question before me whether the plaintiff in this case suffered trauma causing onset or exacerbation of MS symptoms. The question at this stage of the proceedings is simply whether the evidence called on this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meets the legal requirements of admissibility and can be considered as evidence relevant to a determination of those ultimate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legal test for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basis for admission of expert opinion evidence is set forth in </w:t>
      </w:r>
      <w:r>
        <w:rPr>
          <w:rFonts w:ascii="arial" w:eastAsia="arial" w:hAnsi="arial" w:cs="arial"/>
          <w:b/>
          <w:i/>
          <w:color w:val="000000"/>
          <w:sz w:val="20"/>
          <w:lang w:val="en-US" w:eastAsia="en-US" w:bidi="ar-SA"/>
        </w:rPr>
        <w:t>Mohan</w:t>
      </w:r>
      <w:r>
        <w:rPr>
          <w:rFonts w:ascii="arial" w:eastAsia="arial" w:hAnsi="arial" w:cs="arial"/>
          <w:color w:val="000000"/>
          <w:sz w:val="20"/>
          <w:lang w:val="en-US" w:eastAsia="en-US" w:bidi="ar-SA"/>
        </w:rPr>
        <w:t>,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Admission of expert evidence depends on the application of the following criteria:</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relevance;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necessity in assisting the trier of fact;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any exclusionary rule;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properly qualified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the present case, both parties resist the admission of the evidence of one another's experts on the basis of its relevance. In </w:t>
      </w:r>
      <w:r>
        <w:rPr>
          <w:rFonts w:ascii="arial" w:eastAsia="arial" w:hAnsi="arial" w:cs="arial"/>
          <w:b/>
          <w:i/>
          <w:color w:val="000000"/>
          <w:sz w:val="20"/>
          <w:lang w:val="en-US" w:eastAsia="en-US" w:bidi="ar-SA"/>
        </w:rPr>
        <w:t>Mohan</w:t>
      </w:r>
      <w:r>
        <w:rPr>
          <w:rFonts w:ascii="arial" w:eastAsia="arial" w:hAnsi="arial" w:cs="arial"/>
          <w:color w:val="000000"/>
          <w:sz w:val="20"/>
          <w:lang w:val="en-US" w:eastAsia="en-US" w:bidi="ar-SA"/>
        </w:rPr>
        <w:t>, the court noted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Relevance is a threshold requirement for the admission of expert evidence as with all other evidence. Relevance is a matter to be decided by a judge as question of law. Although prima facie admissible if so related to a fact in issue that it tends to establish it, that does not end the inquiry. This merely determines the logical relevance of the evidence. Other considerations enter into the decision as to admissibility. This further inquiry may be described as a cost benefit analysis, that is "whether its value is worth what it costs." See McCormick on Evidence (3rd ed. 1984), at p. 544. Cost in this context is not used in its traditional economic sense but rather in terms of its impact on the trial process. Evidence that is otherwise logically relevant may be excluded on this basis, if its probative value is overborne by its prejudicial effect, if it involves an inordinate amount of time which is not commensurate with its value or if it is misleading in the sense that its effect on the trier of fact, particularly a jury, is out of proportion to its reliability. While frequently considered as an aspect of legal relevance, the exclusion of logically relevant evidence on these grounds is more properly regarded as a general exclusionary rule (see </w:t>
      </w:r>
      <w:r>
        <w:rPr>
          <w:rFonts w:ascii="arial" w:eastAsia="arial" w:hAnsi="arial" w:cs="arial"/>
          <w:i/>
          <w:color w:val="000000"/>
          <w:sz w:val="20"/>
          <w:lang w:val="en-US" w:eastAsia="en-US" w:bidi="ar-SA"/>
        </w:rPr>
        <w:t>Morris v. The Queen</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[1983] 2 S.C.R. 190</w:t>
        </w:r>
      </w:hyperlink>
      <w:r>
        <w:rPr>
          <w:rFonts w:ascii="arial" w:eastAsia="arial" w:hAnsi="arial" w:cs="arial"/>
          <w:color w:val="000000"/>
          <w:sz w:val="20"/>
          <w:lang w:val="en-US" w:eastAsia="en-US" w:bidi="ar-SA"/>
        </w:rPr>
        <w:t>). Whether it is treated as an aspect of relevance or an exclusionary rule, the effect is the same. The reliability versus effect factor has special significance in assessing the admissibility of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determining relevance in the sense referred to in para. 18 of </w:t>
      </w:r>
      <w:r>
        <w:rPr>
          <w:rFonts w:ascii="arial" w:eastAsia="arial" w:hAnsi="arial" w:cs="arial"/>
          <w:b/>
          <w:i/>
          <w:color w:val="000000"/>
          <w:sz w:val="20"/>
          <w:lang w:val="en-US" w:eastAsia="en-US" w:bidi="ar-SA"/>
        </w:rPr>
        <w:t>Mohan</w:t>
      </w:r>
      <w:r>
        <w:rPr>
          <w:rFonts w:ascii="arial" w:eastAsia="arial" w:hAnsi="arial" w:cs="arial"/>
          <w:color w:val="000000"/>
          <w:sz w:val="20"/>
          <w:lang w:val="en-US" w:eastAsia="en-US" w:bidi="ar-SA"/>
        </w:rPr>
        <w:t xml:space="preserve">, the "novelty" of the evidence under consideration is an issue for determination. In para. 19 of </w:t>
      </w:r>
      <w:r>
        <w:rPr>
          <w:rFonts w:ascii="arial" w:eastAsia="arial" w:hAnsi="arial" w:cs="arial"/>
          <w:b/>
          <w:i/>
          <w:color w:val="000000"/>
          <w:sz w:val="20"/>
          <w:lang w:val="en-US" w:eastAsia="en-US" w:bidi="ar-SA"/>
        </w:rPr>
        <w:t>Mohan</w:t>
      </w:r>
      <w:r>
        <w:rPr>
          <w:rFonts w:ascii="arial" w:eastAsia="arial" w:hAnsi="arial" w:cs="arial"/>
          <w:color w:val="000000"/>
          <w:sz w:val="20"/>
          <w:lang w:val="en-US" w:eastAsia="en-US" w:bidi="ar-SA"/>
        </w:rPr>
        <w:t xml:space="preserve"> the Court averted to this aspect of relevance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La Forest J. stated in </w:t>
      </w:r>
      <w:r>
        <w:rPr>
          <w:rFonts w:ascii="arial" w:eastAsia="arial" w:hAnsi="arial" w:cs="arial"/>
          <w:i/>
          <w:color w:val="000000"/>
          <w:sz w:val="20"/>
          <w:lang w:val="en-US" w:eastAsia="en-US" w:bidi="ar-SA"/>
        </w:rPr>
        <w:t>R. v. Béland</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[1987] 2 S.C.R. 398</w:t>
        </w:r>
      </w:hyperlink>
      <w:r>
        <w:rPr>
          <w:rFonts w:ascii="arial" w:eastAsia="arial" w:hAnsi="arial" w:cs="arial"/>
          <w:color w:val="000000"/>
          <w:sz w:val="20"/>
          <w:lang w:val="en-US" w:eastAsia="en-US" w:bidi="ar-SA"/>
        </w:rPr>
        <w:t xml:space="preserve">, at p. 434, with respect to the evidence of the results of a polygraph tendered by the accused, such evidence should not be admitted by reason of "human fallibility in assessing the proper weight to be given to evidence cloaked under the mystique of science". The application of this principle can be seen in cases such as </w:t>
      </w:r>
      <w:r>
        <w:rPr>
          <w:rFonts w:ascii="arial" w:eastAsia="arial" w:hAnsi="arial" w:cs="arial"/>
          <w:i/>
          <w:color w:val="000000"/>
          <w:sz w:val="20"/>
          <w:lang w:val="en-US" w:eastAsia="en-US" w:bidi="ar-SA"/>
        </w:rPr>
        <w:t>R. v. Melaragni</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(1992), 73 C.C.C. (3d) 348</w:t>
        </w:r>
      </w:hyperlink>
      <w:r>
        <w:rPr>
          <w:rFonts w:ascii="arial" w:eastAsia="arial" w:hAnsi="arial" w:cs="arial"/>
          <w:color w:val="000000"/>
          <w:sz w:val="20"/>
          <w:lang w:val="en-US" w:eastAsia="en-US" w:bidi="ar-SA"/>
        </w:rPr>
        <w:t>, in which Moldaver J. applied a threshold test of reliability to what he described, at p. 353, as "a new scientific technique or body of scientific knowledge". Moldaver J. also mentioned two other factors, inter alia, which should be considered in such circumstances (at p. 353):</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evidence likely to assist the jury in its fact-finding mission, or is it likely to confuse and confound the jury?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jury likely to be overwhelmed by the "mystic infallibility" of the evidence, or will the jury be able to keep an open mind and objectively assess the worth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It appears that the novelty of the scientific theory is not determinative of the admissibility of evidence tendered in support of it. Rather, the novelty of the scientific technique or body of knowledge is a measure of its reliability which must be balanced against its effect on the mind of the trier of fact. That point was made by Dillon J. in </w:t>
      </w:r>
      <w:r>
        <w:rPr>
          <w:rFonts w:ascii="arial" w:eastAsia="arial" w:hAnsi="arial" w:cs="arial"/>
          <w:b/>
          <w:i/>
          <w:color w:val="000000"/>
          <w:sz w:val="20"/>
          <w:lang w:val="en-US" w:eastAsia="en-US" w:bidi="ar-SA"/>
        </w:rPr>
        <w:t>Wolfin v. Shaw</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(1998) 43 B.C.L.R. (3d) 190</w:t>
        </w:r>
      </w:hyperlink>
      <w:r>
        <w:rPr>
          <w:rFonts w:ascii="arial" w:eastAsia="arial" w:hAnsi="arial" w:cs="arial"/>
          <w:color w:val="000000"/>
          <w:sz w:val="20"/>
          <w:lang w:val="en-US" w:eastAsia="en-US" w:bidi="ar-SA"/>
        </w:rPr>
        <w:t xml:space="preserve"> at para. 17 (S.C.) ["Wolfin"] where she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'Novel' refers to scientific evidence that has not been generally accepted as effective in medicine or that deviates from accepted standards. This sounds very reminiscent of the general acceptance test which was used in the United States before 1993 to determine admissibility (</w:t>
      </w:r>
      <w:r>
        <w:rPr>
          <w:rFonts w:ascii="arial" w:eastAsia="arial" w:hAnsi="arial" w:cs="arial"/>
          <w:i/>
          <w:color w:val="000000"/>
          <w:sz w:val="20"/>
          <w:lang w:val="en-US" w:eastAsia="en-US" w:bidi="ar-SA"/>
        </w:rPr>
        <w:t>Frye v. United States</w:t>
      </w:r>
      <w:r>
        <w:rPr>
          <w:rFonts w:ascii="arial" w:eastAsia="arial" w:hAnsi="arial" w:cs="arial"/>
          <w:color w:val="000000"/>
          <w:sz w:val="20"/>
          <w:lang w:val="en-US" w:eastAsia="en-US" w:bidi="ar-SA"/>
        </w:rPr>
        <w:t xml:space="preserve"> (1923) 293 Fed. 1013) but which was rejected by the U.S. Supreme Court in </w:t>
      </w:r>
      <w:r>
        <w:rPr>
          <w:rFonts w:ascii="arial" w:eastAsia="arial" w:hAnsi="arial" w:cs="arial"/>
          <w:i/>
          <w:color w:val="000000"/>
          <w:sz w:val="20"/>
          <w:lang w:val="en-US" w:eastAsia="en-US" w:bidi="ar-SA"/>
        </w:rPr>
        <w:t>Daubert v. Merrell Dow Pharmaceuticals, Inc.</w:t>
      </w:r>
      <w:r>
        <w:rPr>
          <w:rFonts w:ascii="arial" w:eastAsia="arial" w:hAnsi="arial" w:cs="arial"/>
          <w:color w:val="000000"/>
          <w:sz w:val="20"/>
          <w:lang w:val="en-US" w:eastAsia="en-US" w:bidi="ar-SA"/>
        </w:rPr>
        <w:t xml:space="preserve">, (1993) 113 S. Ct. 2786 in favour of a reliability and relevance test. The general acceptance test has never been accepted in Canada but has been used pre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as one of the factors to consider in the assessment of relevance and helpfulness in the determination of admissibility (see </w:t>
      </w:r>
      <w:r>
        <w:rPr>
          <w:rFonts w:ascii="arial" w:eastAsia="arial" w:hAnsi="arial" w:cs="arial"/>
          <w:i/>
          <w:color w:val="000000"/>
          <w:sz w:val="20"/>
          <w:lang w:val="en-US" w:eastAsia="en-US" w:bidi="ar-SA"/>
        </w:rPr>
        <w:t>R. v. Johnston</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(1992) 69 C.C.C. (3d) 395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Grant v. Dube</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(1992) 73 B.C.L.R. (2d) 288</w:t>
        </w:r>
      </w:hyperlink>
      <w:r>
        <w:rPr>
          <w:rFonts w:ascii="arial" w:eastAsia="arial" w:hAnsi="arial" w:cs="arial"/>
          <w:color w:val="000000"/>
          <w:sz w:val="20"/>
          <w:lang w:val="en-US" w:eastAsia="en-US" w:bidi="ar-SA"/>
        </w:rPr>
        <w:t xml:space="preserve">). It is still used as an indicator of reliability post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J.E.T.</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[1994] O.J. No. 3067</w:t>
        </w:r>
      </w:hyperlink>
      <w:r>
        <w:rPr>
          <w:rFonts w:ascii="arial" w:eastAsia="arial" w:hAnsi="arial" w:cs="arial"/>
          <w:color w:val="000000"/>
          <w:sz w:val="20"/>
          <w:lang w:val="en-US" w:eastAsia="en-US" w:bidi="ar-SA"/>
        </w:rPr>
        <w:t xml:space="preserve"> (Ontario Court of Justice (General Division) November 30, 1994); </w:t>
      </w:r>
      <w:r>
        <w:rPr>
          <w:rFonts w:ascii="arial" w:eastAsia="arial" w:hAnsi="arial" w:cs="arial"/>
          <w:i/>
          <w:color w:val="000000"/>
          <w:sz w:val="20"/>
          <w:lang w:val="en-US" w:eastAsia="en-US" w:bidi="ar-SA"/>
        </w:rPr>
        <w:t>Petro-Canada v. Canada-Newfoundland Offshore Petroleum Board</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[1995] N.J. No. 258</w:t>
        </w:r>
      </w:hyperlink>
      <w:r>
        <w:rPr>
          <w:rFonts w:ascii="arial" w:eastAsia="arial" w:hAnsi="arial" w:cs="arial"/>
          <w:color w:val="000000"/>
          <w:sz w:val="20"/>
          <w:lang w:val="en-US" w:eastAsia="en-US" w:bidi="ar-SA"/>
        </w:rPr>
        <w:t>). Consideration of whether the PET scan is 'novel' is undertaken here not to determine admissibility but to decide whether a stricter scrutiny of the evidence through a threshold test of reliability should apply, usually within a voir dire. In this sense, the concept of 'novel' is used to distinguish evidence that has gained certain acceptability from that which has not. The object of the voir dire is to prevent the trial becoming a "medical or scientific convention with an exchange of highly speculative points of view" (</w:t>
      </w:r>
      <w:r>
        <w:rPr>
          <w:rFonts w:ascii="arial" w:eastAsia="arial" w:hAnsi="arial" w:cs="arial"/>
          <w:i/>
          <w:color w:val="000000"/>
          <w:sz w:val="20"/>
          <w:lang w:val="en-US" w:eastAsia="en-US" w:bidi="ar-SA"/>
        </w:rPr>
        <w:t>R. v. J.E.T.</w:t>
      </w:r>
      <w:r>
        <w:rPr>
          <w:rFonts w:ascii="arial" w:eastAsia="arial" w:hAnsi="arial" w:cs="arial"/>
          <w:color w:val="000000"/>
          <w:sz w:val="20"/>
          <w:lang w:val="en-US" w:eastAsia="en-US" w:bidi="ar-SA"/>
        </w:rPr>
        <w:t>, supra. at para.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Dillon J. went on to discuss reliability in the context of admissibility. She wrote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Upon review of the lists of factors to consider in such cases as R. v. </w:t>
      </w:r>
      <w:r>
        <w:rPr>
          <w:rFonts w:ascii="arial" w:eastAsia="arial" w:hAnsi="arial" w:cs="arial"/>
          <w:i/>
          <w:color w:val="000000"/>
          <w:sz w:val="20"/>
          <w:lang w:val="en-US" w:eastAsia="en-US" w:bidi="ar-SA"/>
        </w:rPr>
        <w:t>Johnston, supra,</w:t>
      </w:r>
      <w:r>
        <w:rPr>
          <w:rFonts w:ascii="arial" w:eastAsia="arial" w:hAnsi="arial" w:cs="arial"/>
          <w:color w:val="000000"/>
          <w:sz w:val="20"/>
          <w:lang w:val="en-US" w:eastAsia="en-US" w:bidi="ar-SA"/>
        </w:rPr>
        <w:t xml:space="preserve"> and after consideration of the scientific foundation analysis found in </w:t>
      </w:r>
      <w:r>
        <w:rPr>
          <w:rFonts w:ascii="arial" w:eastAsia="arial" w:hAnsi="arial" w:cs="arial"/>
          <w:i/>
          <w:color w:val="000000"/>
          <w:sz w:val="20"/>
          <w:lang w:val="en-US" w:eastAsia="en-US" w:bidi="ar-SA"/>
        </w:rPr>
        <w:t>R. v. Musson</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[1995] O.J. No. 3847</w:t>
        </w:r>
      </w:hyperlink>
      <w:r>
        <w:rPr>
          <w:rFonts w:ascii="arial" w:eastAsia="arial" w:hAnsi="arial" w:cs="arial"/>
          <w:color w:val="000000"/>
          <w:sz w:val="20"/>
          <w:lang w:val="en-US" w:eastAsia="en-US" w:bidi="ar-SA"/>
        </w:rPr>
        <w:t xml:space="preserve"> (Ontario Court of Justice (General Division) and </w:t>
      </w:r>
      <w:r>
        <w:rPr>
          <w:rFonts w:ascii="arial" w:eastAsia="arial" w:hAnsi="arial" w:cs="arial"/>
          <w:i/>
          <w:color w:val="000000"/>
          <w:sz w:val="20"/>
          <w:lang w:val="en-US" w:eastAsia="en-US" w:bidi="ar-SA"/>
        </w:rPr>
        <w:t>R. v. Blanchard</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[1996] N.J. No. 319</w:t>
        </w:r>
      </w:hyperlink>
      <w:r>
        <w:rPr>
          <w:rFonts w:ascii="arial" w:eastAsia="arial" w:hAnsi="arial" w:cs="arial"/>
          <w:color w:val="000000"/>
          <w:sz w:val="20"/>
          <w:lang w:val="en-US" w:eastAsia="en-US" w:bidi="ar-SA"/>
        </w:rPr>
        <w:t xml:space="preserve"> (Newfoundland Court of Appeal), I agree with Limpert that the concept of reliability asks 'what is the degree of uncertainty in this evidence'? Assessment of uncertainty does not mean that conflicting opinions will render evidence inadmissible when the matter is one of recent study experiment or understanding or that a percentage of error in results will necessarily render an opinion inadmissible (see </w:t>
      </w:r>
      <w:r>
        <w:rPr>
          <w:rFonts w:ascii="arial" w:eastAsia="arial" w:hAnsi="arial" w:cs="arial"/>
          <w:i/>
          <w:color w:val="000000"/>
          <w:sz w:val="20"/>
          <w:lang w:val="en-US" w:eastAsia="en-US" w:bidi="ar-SA"/>
        </w:rPr>
        <w:t>R. v. J.E.T., supra</w:t>
      </w:r>
      <w:r>
        <w:rPr>
          <w:rFonts w:ascii="arial" w:eastAsia="arial" w:hAnsi="arial" w:cs="arial"/>
          <w:color w:val="000000"/>
          <w:sz w:val="20"/>
          <w:lang w:val="en-US" w:eastAsia="en-US" w:bidi="ar-SA"/>
        </w:rPr>
        <w:t xml:space="preserve"> at para. 76). </w:t>
      </w:r>
      <w:r>
        <w:rPr>
          <w:rFonts w:ascii="arial" w:eastAsia="arial" w:hAnsi="arial" w:cs="arial"/>
          <w:color w:val="000000"/>
          <w:sz w:val="20"/>
          <w:u w:val="single"/>
          <w:lang w:val="en-US" w:eastAsia="en-US" w:bidi="ar-SA"/>
        </w:rPr>
        <w:t>The question in each case is whether the degree of uncertainty is unacceptable given the likely effect upon the trial process and the trier of fact. The level of acceptable uncertainty may depend upon the purpose for which the evidence is tendered and the use made of the evidence by other experts</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Chan v. Erin Mills Town Centre Corp.</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[2005] O.J. No. 5027</w:t>
        </w:r>
      </w:hyperlink>
      <w:r>
        <w:rPr>
          <w:rFonts w:ascii="arial" w:eastAsia="arial" w:hAnsi="arial" w:cs="arial"/>
          <w:color w:val="000000"/>
          <w:sz w:val="20"/>
          <w:lang w:val="en-US" w:eastAsia="en-US" w:bidi="ar-SA"/>
        </w:rPr>
        <w:t xml:space="preserve"> (Ont. S.C.J.) Lax J. addressed the issue of determining reliability at the stage of determining admissibility in para. 27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R. v. Terceira</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(1998), 38 O.R. (3d) 175</w:t>
        </w:r>
      </w:hyperlink>
      <w:r>
        <w:rPr>
          <w:rFonts w:ascii="arial" w:eastAsia="arial" w:hAnsi="arial" w:cs="arial"/>
          <w:color w:val="000000"/>
          <w:sz w:val="20"/>
          <w:lang w:val="en-US" w:eastAsia="en-US" w:bidi="ar-SA"/>
        </w:rPr>
        <w:t xml:space="preserve"> (C.A.), aff'd </w:t>
      </w:r>
      <w:hyperlink r:id="rId296" w:history="1">
        <w:r>
          <w:rPr>
            <w:rFonts w:ascii="arial" w:eastAsia="arial" w:hAnsi="arial" w:cs="arial"/>
            <w:i/>
            <w:color w:val="0077CC"/>
            <w:sz w:val="20"/>
            <w:u w:val="single"/>
            <w:shd w:val="clear" w:color="auto" w:fill="FFFFFF"/>
            <w:lang w:val="en-US" w:eastAsia="en-US" w:bidi="ar-SA"/>
          </w:rPr>
          <w:t>[1999] 3 S.C.R. 866</w:t>
        </w:r>
      </w:hyperlink>
      <w:r>
        <w:rPr>
          <w:rFonts w:ascii="arial" w:eastAsia="arial" w:hAnsi="arial" w:cs="arial"/>
          <w:color w:val="000000"/>
          <w:sz w:val="20"/>
          <w:lang w:val="en-US" w:eastAsia="en-US" w:bidi="ar-SA"/>
        </w:rPr>
        <w:t>, Finlayson J.A. also sounded a cautionary note. He emphasized that in determining threshold reliability, the trial judge must not decide ultimate reliability, which is the function of the trier of fact. Rather, he or she must restrict the inquiry to determining whether the proposed novel scientific technique or theory has a foundation in science. The threshold is met when the trial judge having reviewed the evidence feels that it is sufficiently reliable to be put to the jury for its review. Finlayson J.A. stated, at page 21, that the process of arriving at this point is a flexible one: " ... it would be unwise to define the threshold test of reliability with the precision advanced by the scientific community. Rather, the threshold test of reliability must remain capable of adaptation to changing circumstances and realities."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Lax J. observed in para. 31 of her reasons that reliability was rarely a bar to admission in a civil case tried by a judge alone: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find a civil case tried by judge alone, where novel scientific evidence was excluded because it failed to meet a threshold test of reliability. The reason may be that the metaphor of the judge as gatekeeper loses much of its symbolic force when it is the judge who is the trier of fact. This is not to say that a trial judge is excused from scrutinizing evidence as improperly admitted evidence can surely have an impact on a trial, but the likelihood of a judge being overwhelmed by the "mystic infallibility" of the evidence and misusing the evidence to distort the fact-finding process, is far more remote. The dangers that the principles are designed to avoid begin to fall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Madam Justice Lax was considering evidence of a relationship between trauma and post-polio syndrome in the case before her. The parties' respective experts agreed as to the relationship, but differed as to their explanations of the onset of symptoms in the particular case. She admitted the evidence of the different explanations holding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None of the dangers that inform the cost/benefits analysis in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are present here. Trial efficiency is not engaged as I have heard the evidence. There is little potential that I will be misled or overwhelmed by the evidence. There is little risk that the fact-finding function of the trial will be distorted. The evidence has little if any prejudicial effect on the trial process or on my role as the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 v. J.-L.J.</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[2000] 2 S.C.R. 600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 v. J.-L.J.</w:t>
      </w:r>
      <w:r>
        <w:rPr>
          <w:rFonts w:ascii="arial" w:eastAsia="arial" w:hAnsi="arial" w:cs="arial"/>
          <w:color w:val="000000"/>
          <w:sz w:val="20"/>
          <w:lang w:val="en-US" w:eastAsia="en-US" w:bidi="ar-SA"/>
        </w:rPr>
        <w:t xml:space="preserve">"] the Supreme Court applied the </w:t>
      </w:r>
      <w:r>
        <w:rPr>
          <w:rFonts w:ascii="arial" w:eastAsia="arial" w:hAnsi="arial" w:cs="arial"/>
          <w:b/>
          <w:i/>
          <w:color w:val="000000"/>
          <w:sz w:val="20"/>
          <w:lang w:val="en-US" w:eastAsia="en-US" w:bidi="ar-SA"/>
        </w:rPr>
        <w:t>Mohan</w:t>
      </w:r>
      <w:r>
        <w:rPr>
          <w:rFonts w:ascii="arial" w:eastAsia="arial" w:hAnsi="arial" w:cs="arial"/>
          <w:color w:val="000000"/>
          <w:sz w:val="20"/>
          <w:lang w:val="en-US" w:eastAsia="en-US" w:bidi="ar-SA"/>
        </w:rPr>
        <w:t xml:space="preserve"> criteria to uphold the decision of a judge sitting without a jury excluding defence expert evidence relating to an accused's general disposition to commit the offence charged on the basis that it relied on an exact science. The accused was charged with sexual assault on young males. The evidence in question consisted of the results of a penile plisythmograph showing low or no arousal to images of boys or sex with boys and related psychiatric evidence that the accused was not probably a member of a group of persons likely to commit the offences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giving judgment for the court, Binnie J. described the issue confronting a trial judge considering admissibility of expert evidence thus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Expert witnesses have an essential role to play in the criminal courts. However, the dramatic growth in the frequency with which they have been called upon in recent years has led to ongoing debate about suitable controls on their participation, precautions to exclude "junk science", and the need to preserve and protect the role of the trier of fact -- the judge or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Binnie J. identified the following as factors conditioning the admissibility of expert evidence: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tendency to appear virtually infallible to a jury;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prospect of trials becoming contests of experts with the triers of fact being the referees;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suggestion that our jury system is inadequate to accomplish its task without expert evidence;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to draw a line properly between the role of the court and the role of the expert (even in judge alone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Referring to </w:t>
      </w:r>
      <w:r>
        <w:rPr>
          <w:rFonts w:ascii="arial" w:eastAsia="arial" w:hAnsi="arial" w:cs="arial"/>
          <w:b/>
          <w:i/>
          <w:color w:val="000000"/>
          <w:sz w:val="20"/>
          <w:lang w:val="en-US" w:eastAsia="en-US" w:bidi="ar-SA"/>
        </w:rPr>
        <w:t>Mohan</w:t>
      </w:r>
      <w:r>
        <w:rPr>
          <w:rFonts w:ascii="arial" w:eastAsia="arial" w:hAnsi="arial" w:cs="arial"/>
          <w:color w:val="000000"/>
          <w:sz w:val="20"/>
          <w:lang w:val="en-US" w:eastAsia="en-US" w:bidi="ar-SA"/>
        </w:rPr>
        <w:t xml:space="preserve"> at 38, Binnie J. said in </w:t>
      </w:r>
      <w:r>
        <w:rPr>
          <w:rFonts w:ascii="arial" w:eastAsia="arial" w:hAnsi="arial" w:cs="arial"/>
          <w:b/>
          <w:i/>
          <w:color w:val="000000"/>
          <w:sz w:val="20"/>
          <w:lang w:val="en-US" w:eastAsia="en-US" w:bidi="ar-SA"/>
        </w:rPr>
        <w:t>J.-L.J.</w:t>
      </w:r>
      <w:r>
        <w:rPr>
          <w:rFonts w:ascii="arial" w:eastAsia="arial" w:hAnsi="arial" w:cs="arial"/>
          <w:color w:val="000000"/>
          <w:sz w:val="20"/>
          <w:lang w:val="en-US" w:eastAsia="en-US" w:bidi="ar-SA"/>
        </w:rPr>
        <w:t xml:space="preserve"> at para. 28 that expert evidence based on inexact science should be rejected as unreliable and unnecessary in the sense that it is not required to clarify "a matter otherwise inaccessible".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J.-L.J.</w:t>
      </w:r>
      <w:r>
        <w:rPr>
          <w:rFonts w:ascii="arial" w:eastAsia="arial" w:hAnsi="arial" w:cs="arial"/>
          <w:color w:val="000000"/>
          <w:sz w:val="20"/>
          <w:lang w:val="en-US" w:eastAsia="en-US" w:bidi="ar-SA"/>
        </w:rPr>
        <w:t xml:space="preserve"> at para. 28., Binnie J. emphasised the importance of the role of the trial judge: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Supreme Court of Canada] has emphasized that the trial judge should take seriously the role of "gatekeeper". The admissibility of the expert evidence should be scrutinized at the time it is proffered, and not allowed too easy an entry on the basis that all of the frailties could go at the end of the day to weight rather than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Binnie J. confirmed, at para. 30, that the subject matter of the enquiry as to admissibility "must be such that ordinary people are unlikely to form a correct judgment about it if unassisted by persons with special knowledge". He went on at para. 33 to say that evidence based on novel science may be accepted: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Mohan kept the door open to novel science, rejecting the "general acceptance" test formulated in the United States in </w:t>
      </w:r>
      <w:r>
        <w:rPr>
          <w:rFonts w:ascii="arial" w:eastAsia="arial" w:hAnsi="arial" w:cs="arial"/>
          <w:i/>
          <w:color w:val="000000"/>
          <w:sz w:val="20"/>
          <w:lang w:val="en-US" w:eastAsia="en-US" w:bidi="ar-SA"/>
        </w:rPr>
        <w:t>Frye v. United States</w:t>
      </w:r>
      <w:r>
        <w:rPr>
          <w:rFonts w:ascii="arial" w:eastAsia="arial" w:hAnsi="arial" w:cs="arial"/>
          <w:color w:val="000000"/>
          <w:sz w:val="20"/>
          <w:lang w:val="en-US" w:eastAsia="en-US" w:bidi="ar-SA"/>
        </w:rPr>
        <w:t xml:space="preserve">, 293 F. 1013 (D.C. Cir. 1923), and moving in parallel with its replacement, the "reliable foundation" test more recently laid down by the U.S. Supreme Court in </w:t>
      </w:r>
      <w:r>
        <w:rPr>
          <w:rFonts w:ascii="arial" w:eastAsia="arial" w:hAnsi="arial" w:cs="arial"/>
          <w:b/>
          <w:i/>
          <w:color w:val="000000"/>
          <w:sz w:val="20"/>
          <w:lang w:val="en-US" w:eastAsia="en-US" w:bidi="ar-SA"/>
        </w:rPr>
        <w:t>Daubert v. Merrell Dow Pharmaceuticals, Inc.</w:t>
      </w:r>
      <w:r>
        <w:rPr>
          <w:rFonts w:ascii="arial" w:eastAsia="arial" w:hAnsi="arial" w:cs="arial"/>
          <w:color w:val="000000"/>
          <w:sz w:val="20"/>
          <w:lang w:val="en-US" w:eastAsia="en-US" w:bidi="ar-SA"/>
        </w:rPr>
        <w:t>, 509 U.S. 579 (1993) ["</w:t>
      </w:r>
      <w:r>
        <w:rPr>
          <w:rFonts w:ascii="arial" w:eastAsia="arial" w:hAnsi="arial" w:cs="arial"/>
          <w:b/>
          <w:i/>
          <w:color w:val="000000"/>
          <w:sz w:val="20"/>
          <w:lang w:val="en-US" w:eastAsia="en-US" w:bidi="ar-SA"/>
        </w:rPr>
        <w:t>Daubert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At para. 33, Binnie J. described the factors listed in </w:t>
      </w:r>
      <w:r>
        <w:rPr>
          <w:rFonts w:ascii="arial" w:eastAsia="arial" w:hAnsi="arial" w:cs="arial"/>
          <w:b/>
          <w:i/>
          <w:color w:val="000000"/>
          <w:sz w:val="20"/>
          <w:lang w:val="en-US" w:eastAsia="en-US" w:bidi="ar-SA"/>
        </w:rPr>
        <w:t>Daubert</w:t>
      </w:r>
      <w:r>
        <w:rPr>
          <w:rFonts w:ascii="arial" w:eastAsia="arial" w:hAnsi="arial" w:cs="arial"/>
          <w:color w:val="000000"/>
          <w:sz w:val="20"/>
          <w:lang w:val="en-US" w:eastAsia="en-US" w:bidi="ar-SA"/>
        </w:rPr>
        <w:t xml:space="preserve"> at 593-94 as helpful in evaluating the soundness of novel science:</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theory or technique can be and has been tested;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theory has been subjected to peer view and publication;</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known or potential rate of error for the existence of standards; and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theory or technique has been generally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At para 35, Binnie J. quoted from </w:t>
      </w:r>
      <w:r>
        <w:rPr>
          <w:rFonts w:ascii="arial" w:eastAsia="arial" w:hAnsi="arial" w:cs="arial"/>
          <w:b/>
          <w:i/>
          <w:color w:val="000000"/>
          <w:sz w:val="20"/>
          <w:lang w:val="en-US" w:eastAsia="en-US" w:bidi="ar-SA"/>
        </w:rPr>
        <w:t>Mohan</w:t>
      </w:r>
      <w:r>
        <w:rPr>
          <w:rFonts w:ascii="arial" w:eastAsia="arial" w:hAnsi="arial" w:cs="arial"/>
          <w:color w:val="000000"/>
          <w:sz w:val="20"/>
          <w:lang w:val="en-US" w:eastAsia="en-US" w:bidi="ar-SA"/>
        </w:rPr>
        <w:t xml:space="preserve"> at para. 25 to underline the special scrutiny to which novel science should be subjected: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therefore, it appears from the foregoing that expert evidence which advances a novel scientific theory or technique is subjected to special scrutiny to determine whether it meets a basic threshold of reliability and whether it is essential in the sense that the trier of fact will be unable to come to a satisfactory conclusion without the assistance of the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FOUNDATION OF THE PLAINTIFF'S EXPERT'S THEORY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theory that trauma plays a causal role in the onset or exacerbation of MS symptoms is supported by Drs. Poser, Lehrer and Kastrukoff. The theory of causation is based on: the biological plausibility of the theory; clinical experience; animal studies; the </w:t>
      </w:r>
      <w:r>
        <w:rPr>
          <w:rFonts w:ascii="arial" w:eastAsia="arial" w:hAnsi="arial" w:cs="arial"/>
          <w:b/>
          <w:i/>
          <w:color w:val="000000"/>
          <w:sz w:val="20"/>
          <w:lang w:val="en-US" w:eastAsia="en-US" w:bidi="ar-SA"/>
        </w:rPr>
        <w:t>1978 Oppenhiemer Study</w:t>
      </w:r>
      <w:r>
        <w:rPr>
          <w:rFonts w:ascii="arial" w:eastAsia="arial" w:hAnsi="arial" w:cs="arial"/>
          <w:color w:val="000000"/>
          <w:sz w:val="20"/>
          <w:lang w:val="en-US" w:eastAsia="en-US" w:bidi="ar-SA"/>
        </w:rPr>
        <w:t>; MRI studies of the cervical spine of MS sufferers; and autopsies purporting to show a correlation between physical trauma caused by the insertion of a needle-like instrument into the brain and the development of fresh lesions, Gonsette, R., Andre-Balisaux, G. and Delmotte, P., "La permeabilite des vaisseaux cerebraux - Damyelinisation experimentale provoque par des substances agrissant sur la barriere homato-emcophaliqua" [the "</w:t>
      </w:r>
      <w:r>
        <w:rPr>
          <w:rFonts w:ascii="arial" w:eastAsia="arial" w:hAnsi="arial" w:cs="arial"/>
          <w:b/>
          <w:i/>
          <w:color w:val="000000"/>
          <w:sz w:val="20"/>
          <w:lang w:val="en-US" w:eastAsia="en-US" w:bidi="ar-SA"/>
        </w:rPr>
        <w:t>Gonsette Study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defendants' evidence in opposition to the plaintiff's, and in resistance to its admission, involves identifying asserted weaknesses and inconsistencies in the foundations supporting the plaintiff's theory. The defendants also rely on the </w:t>
      </w:r>
      <w:r>
        <w:rPr>
          <w:rFonts w:ascii="arial" w:eastAsia="arial" w:hAnsi="arial" w:cs="arial"/>
          <w:b/>
          <w:i/>
          <w:color w:val="000000"/>
          <w:sz w:val="20"/>
          <w:lang w:val="en-US" w:eastAsia="en-US" w:bidi="ar-SA"/>
        </w:rPr>
        <w:t>Sibley Study</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Siva Study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Goldacre Study</w:t>
      </w:r>
      <w:r>
        <w:rPr>
          <w:rFonts w:ascii="arial" w:eastAsia="arial" w:hAnsi="arial" w:cs="arial"/>
          <w:color w:val="000000"/>
          <w:sz w:val="20"/>
          <w:lang w:val="en-US" w:eastAsia="en-US" w:bidi="ar-SA"/>
        </w:rPr>
        <w:t>, which purport to reveal no positive association between trauma and the onset or exacerbation of MS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Although scrutiny of the reliability of a particular scientific theory or technique must encompass all the evidence for and against it, in the context of this case there is benefit in considering separately the fundamental question of whether, given what is known about MS, and what is unknown, the theory under consideration makes any sense, or is simply an exercise in "building castles in the air". In other words, is the theory created from ignorance of or wilful blindness to the known natural processes it purports to explain, or is it based on an explanation of them which, however controversial it may be, is rooted in plausibility.</w:t>
      </w:r>
      <w:r>
        <w:rPr>
          <w:rFonts w:ascii="arial" w:eastAsia="arial" w:hAnsi="arial" w:cs="arial"/>
          <w:sz w:val="20"/>
          <w:lang w:val="en-US" w:eastAsia="en-US" w:bidi="ar-SA"/>
        </w:rPr>
        <w:cr/>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Biological Plausibility - 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To a significant extent, the plaintiff's contention that her experts' evidence is admissible rests on the foundation of its biological plausibility. It is the plaintiff's position that insofar as the theory describes a mechanism that is capable of acceptance scientifically, its correctness, or whether it surmounts the burden of proof of a balance of probabilities, should be left to the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his written submissions, counsel for the plaintiff put it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Poser's theory concerning how trauma might exacerbate MS is admitted to be biologically plausible. Only the correctness of his theory is seriously challenged by the defendants. That is an issue for the trial, not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on the other hand contend that a biologically plausible theory equates to no more than a theoretically possible hypothesis or theory which does not reach the threshold of admissibility in law. The defendants say that identifying a theory as biologically plausible means only that in the scientific context it reaches a starting point for further investigation. The defendants submit that MRI technology has been used to show that the onset of the pathological process of demyelination occurs before the breakdown of the BBB, and that this substantially weakens the biological plausibility of Dr. Poser's theory. The defendants also say that MS lesions show no predilection for the parts of the brain not protected by the BBB and that provides additional evidence counter to the plausibility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plausibility of trauma as a contributing cause of MS onset or exacerbation appears in part to be based on the fact that little is known definitively about MS, including whether it is one disease, or a constellation of diseases; what the triggers of it are, or even whether it is an autoimmune disease (although evidence in support of this is 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Trauma and stress have historically been regarded as viable causes for MS in part because there is no reason in theory preventing them from being so and because there clearly are environmental factors at play in the onset or exacerbation of the disease.</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Poser's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Based on his clinical experience, Dr. Poser estimated less than 5% of patients have symptoms triggered by trauma. He based his analysis of the frequency on three criteria:</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diagnosis of MS must be clear;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have been trauma to the head, neck or upper back;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onset of MS symptoms must have been within 3.5 months of the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Poser chose 3.5 months as the average period for the BBB to be open following a trauma to the head, neck or upper back. He based his selection of the 3.5 month criteria on a study by Kermode, A.G., et al., "Breakdown of the Blood-Brain Barrier precedes symptoms and other MRI signs of new lesions in Multiple Sclerosis" (1990) Brain 113: 1477 - 1489.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Poser's theory originally viewed a breakdown in the BBB as the first step in the pathogenesis of MS lesions, but over time he accepted, on the basis of more evidence, that it is not the first step, but is, nevertheless, an obligatory step or event in the process.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breakdown of the BBB is obligatory. You have to have it to have a plaque form, but the reverse is not true, that you can have a breakdown of the BBB without forming plaques.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Breaks in the BBB associated to MS lesions can be seen on MRI's, which show an accumulation of water in areas of demyelination. Myelin is hydrophobic. When it is gone, the area left behind becomes hydrophilic and accumulates water which is shown on MRI's as white spots. Water can only come in if there is a breakdown in the BBB according to Dr. Poser. In Dr. Poser's theory, relatively minor trauma can produce sufficient changes in the BBB to lead to a "cascade of events" resulting in plaque 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are two studies which cast some light upon the plausibility of Dr. Poser's theory insofar as it rests on the premise that the breakdown of the BBB is an obligatory step in the pathogenesis of MS symptom onset or exacerbation: Filippi, M., et al., "Magnetization Transfer Changes in the Normal Appearing White Matter Precede the Appearance of Enhancing Lesions in Patients with Multiple Sclerosis" (1998) Ann Neurol. 43: 809 - 814 [the "</w:t>
      </w:r>
      <w:r>
        <w:rPr>
          <w:rFonts w:ascii="arial" w:eastAsia="arial" w:hAnsi="arial" w:cs="arial"/>
          <w:b/>
          <w:i/>
          <w:color w:val="000000"/>
          <w:sz w:val="20"/>
          <w:lang w:val="en-US" w:eastAsia="en-US" w:bidi="ar-SA"/>
        </w:rPr>
        <w:t>Filippi Study</w:t>
      </w:r>
      <w:r>
        <w:rPr>
          <w:rFonts w:ascii="arial" w:eastAsia="arial" w:hAnsi="arial" w:cs="arial"/>
          <w:color w:val="000000"/>
          <w:sz w:val="20"/>
          <w:lang w:val="en-US" w:eastAsia="en-US" w:bidi="ar-SA"/>
        </w:rPr>
        <w:t>"] and Werring, D.J., et al., "The pathogenesis of lesions and normal-appearing white matter changes in multiple sclerosis "(2000) Brain 123: 1667 - 1676 [the "</w:t>
      </w:r>
      <w:r>
        <w:rPr>
          <w:rFonts w:ascii="arial" w:eastAsia="arial" w:hAnsi="arial" w:cs="arial"/>
          <w:b/>
          <w:i/>
          <w:color w:val="000000"/>
          <w:sz w:val="20"/>
          <w:lang w:val="en-US" w:eastAsia="en-US" w:bidi="ar-SA"/>
        </w:rPr>
        <w:t>Werring Study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These two studies raise the prospect that there is a pathological process in MS lesion formation which occurs before a breakdown of the BBB can be detected on MRI scans. While the studies do not preclude earlier non-detectible disruptions of the BBB, the </w:t>
      </w:r>
      <w:r>
        <w:rPr>
          <w:rFonts w:ascii="arial" w:eastAsia="arial" w:hAnsi="arial" w:cs="arial"/>
          <w:b/>
          <w:i/>
          <w:color w:val="000000"/>
          <w:sz w:val="20"/>
          <w:lang w:val="en-US" w:eastAsia="en-US" w:bidi="ar-SA"/>
        </w:rPr>
        <w:t>Filippi Study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Werring Study</w:t>
      </w:r>
      <w:r>
        <w:rPr>
          <w:rFonts w:ascii="arial" w:eastAsia="arial" w:hAnsi="arial" w:cs="arial"/>
          <w:color w:val="000000"/>
          <w:sz w:val="20"/>
          <w:lang w:val="en-US" w:eastAsia="en-US" w:bidi="ar-SA"/>
        </w:rPr>
        <w:t xml:space="preserve"> are consistent with the position that disruptions to the BBB detectible on Gadolinium enhanced MRI scans are the product of inflammation from the process of lesion formation rather than an initiating or contributing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Poser's response to that prospect in his evidence in chief was that he no longer believed that the breakdown of the BBB was the first event and accepted "that there is first of all inflammation that precedes it, and that maybe there are other immune phenomena." He maintained, however, that the alteration of the BBB is obligatory to have plaque formation. He also agreed that the T-cell is capable of going through the BBB without a disruption, but "the pathogenesis of the plaque involves much more than just a T-cell ... there is a passage of water, of complement, of all kinds of cytokines and ... antimyelin antibodies." He further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point related to the non-affected white matter is again ... as I mentioned, there is no question that the blood vessels are involved, you get an inflammatory reaction but as ... again as has been demonstrated, the blood brain barrier alteration is not sufficient either to be shown on MRI, you don't see it on T-2 MRI, and secondly, they showed very elegantly that the Myelin in the immediate vicinity of the blood vessel is not affected, so it doesn't change ... or it does not really destroy anything or counter anything that I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his cross-examination, Dr. Poser testified on the issue in part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HARTSHORNE: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I'm referring to something that Dr. Goodin has - is - has said and he's actually filing a rebuttal to Dr. Lehrer, but I think it applies as well to your theory, and what he does is he's taking, under Number 3 on that page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sorry, where are we?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HARTSHORNE:</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 My Lord, Exhibit 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HARTSHORNE:</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Tab 4, Page 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Thank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HARTSHORNE: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what he's got is a proposition which I think is the same as what you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Trauma to the central nervous system (CNS) can cause CNS injury and disrupt the blood-brain barrier. Moreover, BBB disruption is an obligatory step in the pathogenesis of a new MS lesion.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That's something you agree with;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So this is what Dr. Goodin says about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Certainly trauma, especially severe trauma, can injure the CNS and disrupt the BBB and also certainly the BBB is often disrupted in MS attacks. This, however, doesn't prove or even particularly suggest that the two are connected. Moreover, whether BBB disruption is either the first step or an obligatory step is less clear. As I noted in my earlier report, there is now consistent evidence to suggest that in the months prior to the occurrence of an area of new gadolinium enhancement, a marker of BBB disruption, the MRI demonstrates changes in what is called the magnetic transfer ratio (MTR). Thus the BBB disruption is preceded by other focal changes in the brain and BBB disruption would seem to be a late event in the evolution of an MS lesion.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Also contrary to what Dr. Lehrer asserts, activated lymphocytes can cross into the brain through a non-disrupted BBB so that its breakdown is not an obligatory step. We know this from other evidence. Thus, patients in the secondary progressive phase of MS often continue to develop new symptoms despite not having evidence of BBB disruption.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Now, what - what do you say about Dr. Goodin's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he's wrong.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What part is wrong?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he refers to the studies that have been done on the so-called non-affected white matter, which is where the magnetic transfer ratio shows, as I've already testified in direct examination, that there is an alteration of blood-brain barrier, but not sufficient to have an effect on the brain parenchyma. I mentioned that and I also mentioned the very nice studies by Gay and Esiri at Oxford which showed that in these areas there is in fact infiltration of the - of the wall of the blood vessel, which is where the blood-brain barrier is, but the surrounding myelin is intact. And I believe that is what Dr. Goodin refers to.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Furthermore, these changes that you see on the MR transfer, again they may precede the formation of a plaque, but they don't form a plaque, and the whole point I have made is that in order for a plaque to be formed, there must be a significant alteration of the blood-brain barrier, and I want to stress significant, because these changes that you see by MR transfer are not seen by the usual MRI, they are not gadolinium-positive, so that you can be sure that indeed at that stage there is in fact an alteration of the blood-brain barrier.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also question the matter of the T cells circulating through the brain; they do indeed - or at least T cells, when they're activated, are able to go through the blood-brain barrier without any alterations of the blood brain barrier. This in fact is what the complication has been when you use monoclonal antibodies, because they do inhibit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I think that the argument that is this - the first step or the second step or the third step is irrelevant. What I have said is that it's an obligatory step at some point during the pathogenesis of the plaque, there must be an alteration of the blood-brain barrier.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final argument I want to make is that progression in multiple sclerosis is not, repeat not, necessarily associated with the formation of new plaques. Glial scarring - in fact the term, as I'm sure you know, the term multiple sclerosis means "multi scars". They're very good evidence of pathological examination that many times the glialic scar actually is larger than the area of demyelination.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second point is that it's been known since Charcot, in fact, and certainly a very, very long time, that you also have changes in the neurons so that progression in part - and in fact most people now believe that the progression part of multiple sclerosis has nothing to do with the original disturbance of the immune system, but it's purely degenerative and in actuality probably involves more the neurons and axons than the myelin.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with all this - and again let me express I have a great deal of respect for Dr. Goodin, but I do disagree with him. And these are some of the reasons I disagree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I'm going to show you another two studies which I'm sure you're familiar with. The Filippi study, which is under G in the documents you've got, you're familiar with this study, Dr. Poser, aren't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Not only that, but I'm very familiar with</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Filippi.</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The - looking at the headnote, there the conclusion says at the very last line: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These results suggest that changes in the NAWM, which is the normal appearing white matter, of patients with MS occur before lesions become evident on conventional MRI scans.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Hartshorne, with all due respect, I just told you exactly what they're saying 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understand that, Dr. Poser. I'm - I'm putting these in because the evidence has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Okay. I'm sorry I interrupted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Part-way down on the right-hand side of the page, it says: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MS, lesions seen to enhance on magnetic resonance imaging (MRI) scans, after gadolinium-DTPA injection represent areas with a damaged blood-brain barrier and intense inflammation. At present, this abnormality is considered the first step of MS lesion formation that is visible with MRI. By using magnetization transfer imaging (MTI), there is, however, evidence that tissue changes may occur in MS lesions and in the normal appearing white matter, independently from enhancement.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You're familiar with that, Dr. Poser?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of course I agree with that, but let me point out that with magnetic transfer, it is not possible to know if the involvement is just with the blood vessel or also involves the surrounding tissue. That's the problem, and this is why I say - I fully agree with what they say here, but I don't think it really addresses the problem of the obligatory change in the blood-brain barrier. The gadolinium enhancement absolutely requires an alteration of the blood-brain barrier.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HARTSHORNE: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wonder if we can have that study marked, My Lord.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That'll be Exhibit 2, Tab 39.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REGISTRAR: Exhibit 2, Tab 29, My Lord.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HARTSHORNE: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is under Tab Number H, Dr. Poser.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the Werring study?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on the right-hand side of the summary it says: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These findings indicate that new focal lesions associated with frank BBB leakage are preceded by subtle progressive alterations in tissue integrity beyond the resolution of conventional MRI. The increases in ADC in anatomically matched contralateral regions after lesions have appeared supports the concept that structural damage and lesions causes damage or dysfunction in connected areas of NAWM.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you're familiar with that result, their findings, Dr. Poser?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but again I agree with all of this. There's no problem.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I've just - I just answered to your previous question applies to this exact, because it's the same situation.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Lehrer's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Lehrer's opinion of the theory linking trauma to MS onset or exacerbation was expressed in his expert report of April 4, 2005. That opinion was stated to be "based in part on the concepts outlined by Dr. Poser". In his report he described MS as a condition characterized by "a triad of inflammation, demyelination and gliosis (scarring)." He identified pro-inflammatory TH-1 cytokines involved in the attack part of the immune reaction process as being "central to MS pathogenesis." It was his view, expressed in his report, that experimental trauma to animals yielded evidence that trauma will release inflammatory cytokines into an injured brain and that those cytokines are known as triggers of MS exacerbation in humans. He hypothesised a 2 - 6 week delay in the onset of lesion and symptom development after a triggering event based on the need for "a cascade of events" involving among other things the cloning of an army of cells to be directed in the attack against myelin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Lehrer's theory expressed in his report was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trauma of an accident, even if mild, also results in a biphasic disruption of the blood brain barrier (BBB), a fully recognized obligatory early step in the pathogenesis of an MS lesion.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his evidence, Dr. Lehrer described what he meant by a biphasic disruption of the BBB, explaining that "within minutes of the trauma there is a breach of the BBB", and then that breach closes within several minutes to an hour. Then, according to Dr. Lehrer, several days later there is a second BBB breach "which is more long lasting after a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his report, Dr. Lehrer described the process in which trauma induced MS onset or exacerbation develops as having four stages: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alteration of the BBB and concomitant release of the cytokines known to be involved in the triggering of MS exacerbations;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access of components of the immune system, particularly cellular (T-cells) which do not normally enter the brain in large numbers;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release of central nervous system proteins (in MS myelin components which are antigenic) and lymphokines which enter the circulatory system and stimulate the immune system cascade,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triggering of an immune system cascade which ultimately;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leads to the formation of new lesions or the enlargement and activation of old ones. In such situations, trauma acts as a facilitator of the now well established immunopathogenic mechanism of lesion 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Also in his report, Dr. Lehrer asserted that animal studies involving central nervous system trauma have corroborated that the same cytokines (also called lymphokines) are released "into the CNS space immediately after impact and there is a breach of the BBB during the first hour after impact." He asserted the BBB is then re-established.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his evidence he testified that the precise relationship between alteration of the BBB and concomitant release of cytokines "is not clear at the moment, but it has been well documented that both of these events do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Lehrer was questioned about Dr. Goodin's expert report in which, after referencing the Filippi and Werring studies, Dr. Goodin suggested they produced evidence that "changes occur within the CNS which precede and predict the location of the subsequent BBB disruption during an MS attack, suggesting the breakdown of the BBB is a secondary event ... and, if so, the logical steps in biological plausibility would unravel."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response, Dr. Lehrer testified that lymphokines act inside and outside the BBB and trauma may release them on the brain side without any breach of the BBB. He opined that he did not think anyone could answer that question "at this point". He went on to testify that he no longer holds that a breakdown of the BBB "is an obligatory step in the pathogenesis of the new lesion."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He testified that the early breakdown in the BBB is "a little too early to have the cytokine release, so that may be ... a totally different kind of breakdown and we're not sure what that signifies ...". He explained it takes time for the release of the cytokines which "would take longer than the early blood brain barrier breakdown." He suggested therefore that "probably" the second breakdown of the BBB is more significant, but the release of cytokines comes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Lehrer theorized that "it is possible" that during the early break in the BBB that some T-cells may be getting in that normally would not, that may be activated once inside the brain. He testified "we have these certain facts, but we're not sure of how they're connected in animal experiments", referring to the early and late breakdown of the BBB and the release of lymphokines and cytokines.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Lehrer identified as another possible trigger of an MS exacerbation a circumstance where antigen presenting cells "mimicking components of the CNS, especially components of myelin" stimulate a reaction from "T-cells already sensitized by their previous exposure to their mimicking protein from an invader." He made it clear that it was not known what precise circumstance triggers an MS attack, but asserted that "trauma sets up conditions that are known to trigger." His present theory of how those conditions are "set up" is at variance from his report and at variance from Dr. Poser's opinion in that Dr. Lehrer would exclude breach of the BBB as a link in the chain of causation, relying instead on animal studies showing that trauma tends to release lymphokines or cytokines within the brain "on the other side of the BBB." Dr. Lehrer also agreed that activated lymphocytes can cross into the brain through a non-disruptive BBB so its breakdown is not an obligatory step."</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Kastrukoff's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Kastrukoff presented three reports in evidence: the first dated July 24, 2001; the second undated; and the third dated July 15, 2002. Dr. Kastrukoff did not address directly the basis for the theory that trauma can cause MS symptom onset or exacerbation. In his third report he noted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point out that MS is a demyelinating disease of the central nervous system which is an immune mediated disease. There is a genetic predisposition to developing it, with likely environmental factors contributing to its development. In this case, it is my opinion that the trauma played a role in triggering the first symptoms of the disease. Although the literature is divided on the role of trauma in MS, there is evidence in the literature to support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his evidence in chief, Dr. Kastrukoff testified his own clinical experience led him to that conclusion.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I've been seeing MS patients now for I guess over thirty years and I've seen a number of patients now that have had symptoms of MS that are developed for the first time after a traumatic event and that information along with the information that is available in the literature is what contributed to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He went on to testify: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literature out there, it's very difficult to be absolutely sure that you can make statements about linking trauma and/or psychological stress to MS. I don't think anyone can at this point.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said that, I think there is evidence that would allow one in clinical practice to make a decision. Part of that comes from a number of anecdotal reports that have been listed in the literature. It comes from a number of clinical series. It comes from a number of epidemiological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his evidence Dr. Kastrukoff made it clear that he relied heavily on Dr. Poser's theory and the evidence he "mustered" in support of it. He estimated that about 3% - 4% of his patients who had suffered trauma went on to experience a relapse or change in the disease.</w:t>
      </w:r>
      <w:r>
        <w:rPr>
          <w:rFonts w:ascii="arial" w:eastAsia="arial" w:hAnsi="arial" w:cs="arial"/>
          <w:sz w:val="20"/>
          <w:lang w:val="en-US" w:eastAsia="en-US" w:bidi="ar-SA"/>
        </w:rPr>
        <w:cr/>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Biological Plausibility - 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defendants, while accepting some biological plausibility to the plaintiff's theory, challenge its strength and the plaintiff's reliance on it as a basis for admissibility of the evidence said to support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particular, the defendants concede that in the special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the authors conducted their analysis of the role of trauma in onset or exacerbation of MS symptoms with biological plausibility as a starting point. The defendants contend, however, that the special articles analysis based on the available evidence caused them to reject a role for trauma in the demyelination process despite the biological plausibility of the theory. The defendants say, in effect, that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undermines the significance of any biological plausibility, quoting from McAlpine's Multiple Sclerosis 4th ed. at 258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American Academy of Neurology has issued an analysis of the relationship between Multiple Sclerosis and physical trauma or psychological stress through its therapeutics and technology assessment sub-committee ... The survey is particularly useful as a source of published material on case-control, cohort and uncontrolled studies, as well as expert opinion and anecdotal evidence. The panel accepted that a hypothesis linking trauma to disease activity in multiple sclerosis could reasonably be proposed based on changes in the blood brain barrier as the necessary basis for debating the epidemiological evidence. Taking the liberal position of a one-year interval between trauma and any neurological consequences, and confining their scrutiny to injuries of the head and spine, the committee considered that the best available studies provide strong evidence from case control or cohort studies excluding anything more than a modest effect of trauma on exacerbations of pre-existing multiple sclerosis in the three months after trauma. In fact, the evidence was considerably more supportive of no effect than even this modest relationship. Despite low statistical power, the resoundingly negative result of the population based Mayo Clinic series is seen as particularly strong evidence against a causal relationship. The evidence against an effect of stress, based on the available studies, is seen as marginally less damning even though the mechanistic hypothesis linking stress to disease activity and multiple sclerosis is even less plausible than for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defendants rely on the published and peer reviewed </w:t>
      </w:r>
      <w:r>
        <w:rPr>
          <w:rFonts w:ascii="arial" w:eastAsia="arial" w:hAnsi="arial" w:cs="arial"/>
          <w:b/>
          <w:i/>
          <w:color w:val="000000"/>
          <w:sz w:val="20"/>
          <w:lang w:val="en-US" w:eastAsia="en-US" w:bidi="ar-SA"/>
        </w:rPr>
        <w:t>Filippi Study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Werring Study</w:t>
      </w:r>
      <w:r>
        <w:rPr>
          <w:rFonts w:ascii="arial" w:eastAsia="arial" w:hAnsi="arial" w:cs="arial"/>
          <w:color w:val="000000"/>
          <w:sz w:val="20"/>
          <w:lang w:val="en-US" w:eastAsia="en-US" w:bidi="ar-SA"/>
        </w:rPr>
        <w:t xml:space="preserve"> that say that there is a pathological process in plaque formation which occurs before the breakdown of the BBB. This is detectible in gadolinium MRI scans as evidence consistent with a view that a breakdown of the BBB is a result of the plaque formation not a cause. The defendants also rely on the fact that the BBB is neither impermeable where it exists, nor a complete barrier for the entire CNS. These studies, the defendants contend, make the mechanism of BBB breakdown appear less viable as a cause of plaque formation than the plaintiff's theory presupposes, and creates an aura of doubt about its biological plausibility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the more specific issue of the effect of mild trauma, the defendants question the cogency of the evidence that any trauma, particularly mild trauma can cause a disruption of the BBB. The defendants also raise the inconsistencies between Dr. Poser's and Dr. Lehrer's theories of the role and effect of trauma in MS onset or exacerbation as relevant to the issue of the biological plausibility of the plaintiff's theory.</w:t>
      </w:r>
      <w:r>
        <w:rPr>
          <w:rFonts w:ascii="arial" w:eastAsia="arial" w:hAnsi="arial" w:cs="arial"/>
          <w:sz w:val="20"/>
          <w:lang w:val="en-US" w:eastAsia="en-US" w:bidi="ar-SA"/>
        </w:rPr>
        <w:cr/>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Ebers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Ebers wrote two medical legal reports relied on by the defendants, the first dated April 8, 2005, and the second January 6, 2006. He also wrote a report which was entitled Rebuttal to Slide Presentation, Sent Six Slides to a Page from Dr. Poser, dated March 13, 2000. In an attachment to his first medical legal report titled "General Comments on MS and Trauma", Dr. Ebers asserted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lengthy history of debate about analysis or opinion attempting to relate both triggering and worsening of MS to trauma. There is no particular biological credibility to these findings and there is significant publication bias dealing with this topic. Advocates of the idea that trauma aggravates MS have repeatedly raised this issue in the courts, but have largely failed to pursue the hypothesis outside it. If this had happened it would bring their ideas and any data into the necessary realm of peer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his conclusion to the attachment, Dr. Ebers asserted: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notion that trauma is related to MS has no credible, experimental or clinical support. It remains an insufficiently tested hypothesis which is but one in a sea of rival theories. To date it must be viewed as unsupported by the evidence insufficient as it may be to completely exclude an association. However, there is more evidence on this than there has been for many other postulated factors in causation which have not endured as viable.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Taking the stance that this proof is required encourages a standard which is scientifically unacceptable and very often unattainable. It opens up the course of endless litigation often frivolous alleging all manner of causation for diseases of uncertain cause with the primary emphasis on recompense. It is not that trauma has been completely exculpated, it is just that there is not a good scientific basis for it and even if one believed that there was such prior to any data, the available evidence which has come to light is against any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his evidence, Dr. Ebers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think that it's been a theory and there was a time when I think that it had some - some currency and credibility. I think a number of studies have addressed the question. All the systematic studies, Sibley, Kurland, Siva, Goldacre, have been negative. And so at this point the amount of effort that's been expended is sufficient to deter anyone else from going at this and I think that, you know, unless someone has a particular axe to grind on this one, I'd be awfully surprised if a serious investigator will revisit this question given the available data.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Now, that's always subject to change. If somebody can come up with some other reason why it should be reopened, then I think, you know we should - we should all be prepared to listen to it, but unless something comes up which particularly and specifically raises this - this issue again, I - I'd be awfully surprised, as I said, to see it studied much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Ebers testified in support of his contention that demanding "disproof" of a theory is going too far, by explaining it was his understanding "from talking to colleagues and so forth" that plaintiffs' witnesses in the courtroom "tried to shift the emphasis from establishing proof that there is a causal relationship ... to the other which is to attack the existing studies, say they're inadequate and then demand proof that the relationship does not work." Dr. Ebers conceded that it was for the court to decide what a reasonable standard of proof is but the court "if it wishes to have to take that tack needs to consider that very, very carefully, because it opens up a lot of things the court may not want to initiate."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He emphasized that although trauma has not been completely exculpated as a cause, the fact that studies are not being done in the medical community to address the issue has to be taken seriously and is strong evidence of the prevailing view that there is no scientific foundation for the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characterizing the academy's position, Dr. Ebers testified that in reviewing the evidence, the academy felt that the evidence "was much more strongly in favour of there being no relationship."</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Goodin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Goodin wrote three medical legal reports relied on by the defendants. The first two reports were dated March 11, 2005, and the third was dated May 4,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One of the March 11 reports offered Dr. Goodin's opinion as to whether the plaintiff's MS symptoms following her motor vehicle accident were caused by that accident; the other report generally addressed the issue whether trauma could cause MS onset or exacerbation. In that latter report, Dr. Goodin opined that "the current scientific evidence does not support the proposition that physical trauma either causes or exacerbates multiple sclerosis." He added that the scientific literature actually supports the contrary position (i.e. that MS is neither exacerbated nor caused by traumatic injury) and pointed out that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written by the subcommittee which he chaired, represents the current position of the AAN.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Goodin's report acknowledges that since physical trauma can cause or exacerbate certain medical conditions such as "epileptic seizures, headaches, or focal neurological deficits in previously asymptomatic individuals", it is unsurprising that it has been posited as a causal factor in 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dealing with the biological plausibility of the theory, Dr. Goodin asserted: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medicine, the validity of any proposed causal relationship must be weighed in large part by the plausibility of the connection between the two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Goodin offered a succinct description of the proposed theory thus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of MS, one possible connection between MS and trauma that has been proposed is through a breakdown of a structure which has been referred to as the blood brain barrier (BBB). The BBB is a physical barrier that prevents certain substances (including possibly white blood cells) from getting into the CNS. A breakdown of the BBB is known to be an early event in the development of an MS lesion, and in addition such a breakdown is known to be a possible consequence of traumatic injury to the brain or spinal cord. The plausible connection between MS and trauma that has been suggested by others is that the disruptive BBB from trauma allows entry of the white blood cells into the brain which then provokes an autoimmune response by those white blood cells against certain tissues within the CNS. (i.e. the onset or exacerbation of 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his report, Dr. Goodin identified "other clinical observations which suggest that trauma is not related to MS onset even if a causal relationship between [trauma and] MS onset is considered biologically plausible."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As noted in paragraph 9 above, most MS lesions occur in the white matter of the brain. Dr. Goodin confirmed this, but explained that direct head injury generally injures the grey matter of a cerebral cortex, not the white matter. Dr. Goodin also referred to the greater female incidence of MS compared with the greater likelihood of men to sustain traumatic injury, making an association "hard to explain". However, on this latter point, the plaintiff's witnesses point out that since the theory did not posit that trauma caused the disease, merely the symptoms, the male/female ratio was not a relevant consideration as the issue related to those who already had the disease regardless of gender.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Goodin went on to identify several factors conditioning the viability of the theory: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the biological plausibility outlined above seems to explain the onset of MS better than it does a subsequent attack, especially in the circumstances where activated white blood cells already sensitised to the CNS tissue after MS onset are capable of crossing easily into the CNS through an intact BBB. Second, in experimental allergic encephalomyelitis (the animal model of MS) the inflammatory lesions (in some circumstances) have been demonstrated to occur selectively in regions where the BBB is intact rather than in others where the BBB is disrupted. Third, there is evidence that changes occur within the CNS which perceive and predict the location of a subsequent BBB disruption during an MS attack (the </w:t>
      </w:r>
      <w:r>
        <w:rPr>
          <w:rFonts w:ascii="arial" w:eastAsia="arial" w:hAnsi="arial" w:cs="arial"/>
          <w:b/>
          <w:i/>
          <w:color w:val="000000"/>
          <w:sz w:val="20"/>
          <w:lang w:val="en-US" w:eastAsia="en-US" w:bidi="ar-SA"/>
        </w:rPr>
        <w:t>Filippi Study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Werring Study</w:t>
      </w:r>
      <w:r>
        <w:rPr>
          <w:rFonts w:ascii="arial" w:eastAsia="arial" w:hAnsi="arial" w:cs="arial"/>
          <w:color w:val="000000"/>
          <w:sz w:val="20"/>
          <w:lang w:val="en-US" w:eastAsia="en-US" w:bidi="ar-SA"/>
        </w:rPr>
        <w:t>) [which] suggest that the breakdown of the BBB is a secondary event in the development of an MS lesion and if so, the logical steps in biological plausibility outlined above would unravel.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It was Dr. Goodin's view in light of these factors, that strong epidemiological evidence would be required to establish a causal connection. It was his view that an approximately three month period between trauma and onset would need to be established to support the theory, and that it would be necessary to establish the kind and degree of trauma said to be implicated as "the biological plausibility is most convincing for the more serious traumatic injuries, in which the BBB can unquestionably be disrupted."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After reviewing studies supporting the association and studies purporting demonstrate the absence of any association, Dr. Goodin's conclusions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therefore, on the basis of generally consistent and convincing evidence it seems unlikely that trauma, especially head trauma or minor cervical whiplash injury can precipitate either the onset or the exacerbation of MS. Moreover, even if in theory such an association did exist in a few select cases, the percentage of such cases must be extremely small and because the frequency of minor traumatic injury is so common in the general population, it would never be possible to establish this relationship with any degree of medical probability in any individual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his third report, dated May 4, 2005, Dr. Goodin provided a response to Dr. Lehrer's theory as propounded in his materials. It appears that Dr. Goodin's response presaged Dr. Lehrer's change in opinion so far as his theory of the primacy of the breakdown of the BBB is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that regard, Dr. Goodin identified Dr. Lehrer's theory as being that trauma to the CNS can cause CNS injury and disrupt the BBB, and that the BBB disruption is an obligatory step in the pathogenesis of a new MS lesion. In response, Dr. Goodin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Certainly, trauma, especially severe trauma, can injure the CNS and disrupt the BBB, and the (sic) also certainly, the BBB is often disrupted in MS attacks. This, however, doesn't prove (or even particularly suggest) that the two are connected. Moreover, whether BBB disruption is either the first step or an obligatory' step is less clear. As I noted in my earlier report, there is now consistent evidence to suggest that, in the months prior to the occurrence of an area of new gadolinium enhancement (a marker of BBB disruption), the MRI demonstrates changes in what is called the magnetic transfer ratio (MTR). Thus, the BBB disruption is preceded by other focal changes in the brain and BBB disruption would seem to be a late event in the evolution of an MS lesion. Also, contrary to what Dr. Lehrer asserts, activated lymphocytes can cross into the brain through a non-disrupted BBB, so that its breakdown is not an obligatory step. We know this also from other evidence. Thus, patients in the secondary progressive phase of MS often continue to develop new symptoms, despite not having evidence of BBB disruption.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produced by the subcommittee chaired by Dr. Goodin on the issue of biological plausibility, the authors noted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the scientific evidence is considered, however, it is important to address a few questions that are relevant to a consistent evaluation of the studies involved. The first question regards the biological plausibility of the proposed causal relationship between the trauma and the onset of MS or an attack. Clearly in the absence of such biological plausibility, any epidemiologic evidence of an association, in order to be convincing, would need to be overwhelming. One possibility, which has been proposed frequently in the literature, relates to the idea that a breakdown of the blood brain barrier (BBB) is an early and seminal event in the development of an MS lesion. Physical trauma (even minor trauma) might injure the brain or spinal cord so as to disrupt the BBB and allow immune-competent cells from the periphery to gain access to the CNS and thereby gain exposure to CNS antigens. Indeed, such disruptions of the BBB are well known to occur following trauma, especially severe trauma. There is also ample evidence from MRI and elsewhere that the BBB is disrupted during the acute phase of an MS attack. ... In this circumstance, it is certainly plausible that the peripheral immune system might become activated against certain CNS myelin antigens such as myelin basic protein, proteolipid protein, myelin oligodendrocyte glycoprotein, or myelin associated glycoprotein and thereby initiate an MS attack. In fact, there is substantial evidence, in other contexts, that trauma can result in demyelinating lesions in the CNS ... [W]hether the demyelination in this circumstance is the result of an immune-mediated attack similar to that seen in MS however, is less clear. As a consequence of considerations such as those, it seems reasonable to conclude that a causal relationship between trauma and either the onset or the exacerbation of MS is biologically plausible.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Dr. Goodin acknowledged that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accepted the biological plausibility of the theory while pointing out features of the model that require explanation. In his evidence, he acknowledged that if the theory is that trauma can cause onset or exacerbation of clinical symptoms, the juxtaposition between the higher prevalence of the disease in woman and the higher incidents of trauma in men, is not a relevant consideration in the viability of the theory. He also acknowledged that the significantly higher incidents of lesions in the white matter of the brain as opposed to the grey matter of the cerebral cortex where most of the direct trauma occurs, may simply be due to the white matter reacting differently to trauma than the grey matter, testifying "it's certainly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Dr. Goodin also testified that he regarded the </w:t>
      </w:r>
      <w:r>
        <w:rPr>
          <w:rFonts w:ascii="arial" w:eastAsia="arial" w:hAnsi="arial" w:cs="arial"/>
          <w:b/>
          <w:i/>
          <w:color w:val="000000"/>
          <w:sz w:val="20"/>
          <w:lang w:val="en-US" w:eastAsia="en-US" w:bidi="ar-SA"/>
        </w:rPr>
        <w:t>Filippi Study</w:t>
      </w:r>
      <w:r>
        <w:rPr>
          <w:rFonts w:ascii="arial" w:eastAsia="arial" w:hAnsi="arial" w:cs="arial"/>
          <w:color w:val="000000"/>
          <w:sz w:val="20"/>
          <w:lang w:val="en-US" w:eastAsia="en-US" w:bidi="ar-SA"/>
        </w:rPr>
        <w:t xml:space="preserve"> among others as offering "an incredibly important observation" because it provides evidence that prior to the breakdown of the BBB (that is measurable by gadolinium enhanced MRI's) "there are focal changes in the brain which are occurring which predict where the lesion is going to happen three months down the line." He testified that if that is so, then "the opening of the BBB is not the first step, and that is crucial."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Dr. Goodin acknowledged that the authors of the </w:t>
      </w:r>
      <w:r>
        <w:rPr>
          <w:rFonts w:ascii="arial" w:eastAsia="arial" w:hAnsi="arial" w:cs="arial"/>
          <w:b/>
          <w:i/>
          <w:color w:val="000000"/>
          <w:sz w:val="20"/>
          <w:lang w:val="en-US" w:eastAsia="en-US" w:bidi="ar-SA"/>
        </w:rPr>
        <w:t>Filippi Study</w:t>
      </w:r>
      <w:r>
        <w:rPr>
          <w:rFonts w:ascii="arial" w:eastAsia="arial" w:hAnsi="arial" w:cs="arial"/>
          <w:color w:val="000000"/>
          <w:sz w:val="20"/>
          <w:lang w:val="en-US" w:eastAsia="en-US" w:bidi="ar-SA"/>
        </w:rPr>
        <w:t xml:space="preserve"> regarded it as a preliminary study, the results of which had to be treated with some discussion and further study. It was, he agreed, a study that involved only 10 people and needed to be confirmed with "larger sample sizes and longer follow-up periods." He also agreed that the study offered "several pathological substrates that may contribute to our observations" including the suggestion that "the absence of visible enhancement does not exclude the possibility of very subtle changes in the BBB permeability resulting in increased water content through oedema." He agreed that this meant it could be that what was observed in the </w:t>
      </w:r>
      <w:r>
        <w:rPr>
          <w:rFonts w:ascii="arial" w:eastAsia="arial" w:hAnsi="arial" w:cs="arial"/>
          <w:b/>
          <w:i/>
          <w:color w:val="000000"/>
          <w:sz w:val="20"/>
          <w:lang w:val="en-US" w:eastAsia="en-US" w:bidi="ar-SA"/>
        </w:rPr>
        <w:t>Filippi Study</w:t>
      </w:r>
      <w:r>
        <w:rPr>
          <w:rFonts w:ascii="arial" w:eastAsia="arial" w:hAnsi="arial" w:cs="arial"/>
          <w:color w:val="000000"/>
          <w:sz w:val="20"/>
          <w:lang w:val="en-US" w:eastAsia="en-US" w:bidi="ar-SA"/>
        </w:rPr>
        <w:t xml:space="preserve"> all began with permeability of the BBB which was not detectable. Dr. Goodin was also asked about the </w:t>
      </w:r>
      <w:r>
        <w:rPr>
          <w:rFonts w:ascii="arial" w:eastAsia="arial" w:hAnsi="arial" w:cs="arial"/>
          <w:b/>
          <w:i/>
          <w:color w:val="000000"/>
          <w:sz w:val="20"/>
          <w:lang w:val="en-US" w:eastAsia="en-US" w:bidi="ar-SA"/>
        </w:rPr>
        <w:t>Werring Study</w:t>
      </w:r>
      <w:r>
        <w:rPr>
          <w:rFonts w:ascii="arial" w:eastAsia="arial" w:hAnsi="arial" w:cs="arial"/>
          <w:color w:val="000000"/>
          <w:sz w:val="20"/>
          <w:lang w:val="en-US" w:eastAsia="en-US" w:bidi="ar-SA"/>
        </w:rPr>
        <w:t xml:space="preserve"> which followed up on the </w:t>
      </w:r>
      <w:r>
        <w:rPr>
          <w:rFonts w:ascii="arial" w:eastAsia="arial" w:hAnsi="arial" w:cs="arial"/>
          <w:b/>
          <w:i/>
          <w:color w:val="000000"/>
          <w:sz w:val="20"/>
          <w:lang w:val="en-US" w:eastAsia="en-US" w:bidi="ar-SA"/>
        </w:rPr>
        <w:t>Filippi Study</w:t>
      </w:r>
      <w:r>
        <w:rPr>
          <w:rFonts w:ascii="arial" w:eastAsia="arial" w:hAnsi="arial" w:cs="arial"/>
          <w:color w:val="000000"/>
          <w:sz w:val="20"/>
          <w:lang w:val="en-US" w:eastAsia="en-US" w:bidi="ar-SA"/>
        </w:rPr>
        <w:t>, making some similar findings leading to the following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longitudinal study provides new information about the pathogenesis of multiple sclerosis lesions and NAWM changes. It suggests that focal inflammatory BBB leakage, indicated by contrast enhancement, is not necessarily the initiating event in multiple sclerosis plaque formation but may be preceded, and perhaps triggered by subtle progressive alterations in tissue integrity beyond the resolution of conventional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limitation on the </w:t>
      </w:r>
      <w:r>
        <w:rPr>
          <w:rFonts w:ascii="arial" w:eastAsia="arial" w:hAnsi="arial" w:cs="arial"/>
          <w:b/>
          <w:i/>
          <w:color w:val="000000"/>
          <w:sz w:val="20"/>
          <w:lang w:val="en-US" w:eastAsia="en-US" w:bidi="ar-SA"/>
        </w:rPr>
        <w:t>Werring Study</w:t>
      </w:r>
      <w:r>
        <w:rPr>
          <w:rFonts w:ascii="arial" w:eastAsia="arial" w:hAnsi="arial" w:cs="arial"/>
          <w:color w:val="000000"/>
          <w:sz w:val="20"/>
          <w:lang w:val="en-US" w:eastAsia="en-US" w:bidi="ar-SA"/>
        </w:rPr>
        <w:t xml:space="preserve"> was the relatively small "patient cohort" although there was good "spatial resolution" meaning that there was good coverage of the brain which enhanced the value of the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Werring Study</w:t>
      </w:r>
      <w:r>
        <w:rPr>
          <w:rFonts w:ascii="arial" w:eastAsia="arial" w:hAnsi="arial" w:cs="arial"/>
          <w:color w:val="000000"/>
          <w:sz w:val="20"/>
          <w:lang w:val="en-US" w:eastAsia="en-US" w:bidi="ar-SA"/>
        </w:rPr>
        <w:t xml:space="preserve"> the authors reported and commented on the results of other studies into pre-lesion changes in normal appearing white matter (NAWM)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data should be interpreted in the light of data obtained with other MRI techniques. Filippi and colleagues have reported a reduction in the magnetization transfer ratio (MTR), a marker of macro molecular integrity, up to three months prior to lesion appearance on enhanced stands in ten patients studied monthly for three months (Filippi et al. 1998). A similar study using MT imaging for up to twelve monthly stands obtained comparable results, with NAWM changes preceding lesion appearance by at least several months (Goodkin et al. 1998). Another group has reported a gradual reduction in MTR preceding lesion appearance by months to years (Pike et al. 1998). These changes have not been observed in other studies, however; Silver and colleagues used more frequent (weekly) studies for three months in three multiple sclerosis patients and found no evidence of MTR reduction up to seven weeks prior to lesion on GD enhanced scans (Silver et al. 1997). In serial studies over nine to twelve months, Dousset and colleagues also detected no MTR changes in prelesion NAWM. (Dousset et al. 1998). The reason for the discrepancy between these MTR studies is unclear, but one possibility is that there are heterogeneous mechanisms of evolution such that, in some lesions and in some patients there is a pathological process occurring prior to detectible BBB breakdown, while in others, opening of the BBB (with GD enhancement) is indeed the earliest event. An alternative possibility is that the difference between the methods and the MRI protocols is important, highlighting the need for a standardized MTR imaging protocol (Berry et al.,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When giving evidence regarding Dr. Lehrer's theory, Dr. Goodin said that the logical structure of the theory was flawed because it based the conclusion that a concussive head injury can lead to an MS attack on the observation that both MS attacks and concussive head injuries are associated with the release of many of the same cytokines. Dr. Goodin testified that simply because two events exhibit similar characteristics, that does not mean that the one event caused the other. If such were the case, testified Dr. Goodin, "you could equally well say that concussive head injury can be caused by MS attacks."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Sibley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Dr. Sibley was, of course, the author of the </w:t>
      </w:r>
      <w:r>
        <w:rPr>
          <w:rFonts w:ascii="arial" w:eastAsia="arial" w:hAnsi="arial" w:cs="arial"/>
          <w:b/>
          <w:i/>
          <w:color w:val="000000"/>
          <w:sz w:val="20"/>
          <w:lang w:val="en-US" w:eastAsia="en-US" w:bidi="ar-SA"/>
        </w:rPr>
        <w:t>Sibley Study</w:t>
      </w:r>
      <w:r>
        <w:rPr>
          <w:rFonts w:ascii="arial" w:eastAsia="arial" w:hAnsi="arial" w:cs="arial"/>
          <w:color w:val="000000"/>
          <w:sz w:val="20"/>
          <w:lang w:val="en-US" w:eastAsia="en-US" w:bidi="ar-SA"/>
        </w:rPr>
        <w:t xml:space="preserve"> and was on the sub-committee of the academy which conducted the comprehensive review of most of the reports in the medical literature concerning trauma and MS leading to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He wrote eight medical legal reports in support of the defendants' position. Those reports were written between April 9, 2001, and March 13, 2006. Although he dealt with various aspects of the theory associating trauma with MS onset or exacerbation, he did not deal directly with the issue of its biological plausibility.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Sibley did however attach to his final report of March 13, 2006, an editorial which he wrote and which was published in 1993: Sibley, A., "Physical trauma and multiple sclerosis" (1993) Neurology 43: 1871 - 1874. In that editorial he addressed the asserted biological plausibility of the theory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BBB breakdown is the first MRI evidence of a new lesion, the actual cause of this vascular change is more likely determined by a complex immuno-chemical cascade initiated some time before. These preceding events probably include viral infection, clonal expansion of sensitized T-lymphocytes, release of interferon Y, from such T-cells and tumour necrosis factor and other cytokines from activated macrophages and expression of class II histocompatability antigens on venous endothelium and target cell surfaces. The idea that new MS lesions are predetermined by prior immunologic events seems to be confirmed because the beneficial effect of interferon D in reducing new attacks is delayed for several weeks after the beginning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his evidence, Dr. Sibley objected to the plausibility of the theory on the basis that if trauma was involved, because trauma is so wide spread MS would be more common in soldiers in combat, or in contact sports. He conceded however that these objections really only would be cogent if the theory is that trauma causes MS rather than just being related to onset or exacerbation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Although accepting that beyond what the studies show, there is no way to prove trauma is not a cause of exacerbation or onset of symptoms, Dr. Sibley pointed out that it is "very difficult to prove a negative."</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Clinical Experience and the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Both the plaintiff and defendant witnesses testified of their clinical experience with the subject of trauma and MS and with respect to a variety of studies undertaken over the years in the ongoing quest to reveal the causes, effects, and fundamental nature of the disease. The parties' respective witnesses differed as to the meaning and value of the studies and as to the meaning and value of clinical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clinical experience relied on by the plaintiff's witnesses consisted in part of Dr. Poser testifying that he estimated that trauma triggers the symptoms of MS in less than 5% of patients. He based that figure on a rough estimate arising from his own clinical experience spanning approximately 50 years of practice and involving 5,000 or 6,000 patients with MS. The patients to whom he attributed the relationship reported onset or exacerbation of symptoms within three months of a relevant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Lehrer, for his part, testified that he saw about 1,500 MS patients and he estimated that four or five had their MS exacerbated by trauma. He said these patients had been referred to him as patients with MS exacerbated by trauma, but for his own patients it was not something he paid attention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his evidence, Dr. Kastrukoff described trauma contributing to MS exacerbation as a rare kind of problem "probably around three to four percent of undiagnosed patients and the same for patients seen in the MS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witnesses for the defendants regarded anecdotal evidence as simply a starting point for an investigation into an association rather than evidence of the association itself. They did not regard their clinical experience as revealing a foundation for establishing an association.</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In his evidence, Dr. Poser acknowledged that the main areas of evidentiary support for his theory linking trauma to MS exacerbation, apart from the plausibility of the theory and clinical experience, included an autopsy study performed on 18 MS patients by David Oppenheimer, several MRI studies, a number of animal studies showing a causal link between trauma and disruption of the BBB, and the </w:t>
      </w:r>
      <w:r>
        <w:rPr>
          <w:rFonts w:ascii="arial" w:eastAsia="arial" w:hAnsi="arial" w:cs="arial"/>
          <w:b/>
          <w:i/>
          <w:color w:val="000000"/>
          <w:sz w:val="20"/>
          <w:lang w:val="en-US" w:eastAsia="en-US" w:bidi="ar-SA"/>
        </w:rPr>
        <w:t>Gonsette Study</w:t>
      </w:r>
      <w:r>
        <w:rPr>
          <w:rFonts w:ascii="arial" w:eastAsia="arial" w:hAnsi="arial" w:cs="arial"/>
          <w:color w:val="000000"/>
          <w:sz w:val="20"/>
          <w:lang w:val="en-US" w:eastAsia="en-US" w:bidi="ar-SA"/>
        </w:rPr>
        <w:t xml:space="preserve"> showing an apparent association of lesions to the insertion of a trocar - a knitting needle shaped instrument - into the brain to relieve against uncontrollable cerebral tremors. Dr. Poser asserted that the patients in the </w:t>
      </w:r>
      <w:r>
        <w:rPr>
          <w:rFonts w:ascii="arial" w:eastAsia="arial" w:hAnsi="arial" w:cs="arial"/>
          <w:b/>
          <w:i/>
          <w:color w:val="000000"/>
          <w:sz w:val="20"/>
          <w:lang w:val="en-US" w:eastAsia="en-US" w:bidi="ar-SA"/>
        </w:rPr>
        <w:t>Gonsette Study</w:t>
      </w:r>
      <w:r>
        <w:rPr>
          <w:rFonts w:ascii="arial" w:eastAsia="arial" w:hAnsi="arial" w:cs="arial"/>
          <w:color w:val="000000"/>
          <w:sz w:val="20"/>
          <w:lang w:val="en-US" w:eastAsia="en-US" w:bidi="ar-SA"/>
        </w:rPr>
        <w:t xml:space="preserve"> died and were autopsied within a short time of the procedure, in one case within days and the other within three weeks. The autopsy revealed the presence of what he described as fresh MS lesions along the path of the trocar.</w:t>
      </w:r>
      <w:r>
        <w:rPr>
          <w:rFonts w:ascii="arial" w:eastAsia="arial" w:hAnsi="arial" w:cs="arial"/>
          <w:sz w:val="20"/>
          <w:lang w:val="en-US" w:eastAsia="en-US" w:bidi="ar-SA"/>
        </w:rPr>
        <w:cr/>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w:t>
      </w:r>
      <w:r>
        <w:rPr>
          <w:rFonts w:ascii="arial" w:eastAsia="arial" w:hAnsi="arial" w:cs="arial"/>
          <w:b/>
          <w:i/>
          <w:color w:val="000000"/>
          <w:sz w:val="20"/>
          <w:lang w:val="en-US" w:eastAsia="en-US" w:bidi="ar-SA"/>
        </w:rPr>
        <w:t>Oppenheimer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1978 Oppenheimer Study</w:t>
      </w:r>
      <w:r>
        <w:rPr>
          <w:rFonts w:ascii="arial" w:eastAsia="arial" w:hAnsi="arial" w:cs="arial"/>
          <w:color w:val="000000"/>
          <w:sz w:val="20"/>
          <w:lang w:val="en-US" w:eastAsia="en-US" w:bidi="ar-SA"/>
        </w:rPr>
        <w:t xml:space="preserve"> on the cervical cord and a later MRI study, Kidd, D. et al., "Spinal Cord MRI using multi-array coils and fast spin echo. Findings and multiple sclerosis" (1993) Neurology 43: 2632 - 2637 [the "</w:t>
      </w:r>
      <w:r>
        <w:rPr>
          <w:rFonts w:ascii="arial" w:eastAsia="arial" w:hAnsi="arial" w:cs="arial"/>
          <w:b/>
          <w:i/>
          <w:color w:val="000000"/>
          <w:sz w:val="20"/>
          <w:lang w:val="en-US" w:eastAsia="en-US" w:bidi="ar-SA"/>
        </w:rPr>
        <w:t>Kidd Study</w:t>
      </w:r>
      <w:r>
        <w:rPr>
          <w:rFonts w:ascii="arial" w:eastAsia="arial" w:hAnsi="arial" w:cs="arial"/>
          <w:color w:val="000000"/>
          <w:sz w:val="20"/>
          <w:lang w:val="en-US" w:eastAsia="en-US" w:bidi="ar-SA"/>
        </w:rPr>
        <w:t>"], were a focus of debate between the plaintiff's experts and the defendants' experts as to their utility and meaning.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summary of the </w:t>
      </w:r>
      <w:r>
        <w:rPr>
          <w:rFonts w:ascii="arial" w:eastAsia="arial" w:hAnsi="arial" w:cs="arial"/>
          <w:b/>
          <w:i/>
          <w:color w:val="000000"/>
          <w:sz w:val="20"/>
          <w:lang w:val="en-US" w:eastAsia="en-US" w:bidi="ar-SA"/>
        </w:rPr>
        <w:t>1978 Oppenheimer Study</w:t>
      </w:r>
      <w:r>
        <w:rPr>
          <w:rFonts w:ascii="arial" w:eastAsia="arial" w:hAnsi="arial" w:cs="arial"/>
          <w:color w:val="000000"/>
          <w:sz w:val="20"/>
          <w:lang w:val="en-US" w:eastAsia="en-US" w:bidi="ar-SA"/>
        </w:rPr>
        <w:t xml:space="preserv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spinal cords were examined in 18 cases of multiple sclerosis, with special attention to the cervical enlargement. It was found that (1) lesions in the cervical cord are about twice as common as at lower levels; (2) in this region there is a striking preponderance of fan-shaped lesions in the lateral columns. It is argued that both these findings are explicable on the theory that mechanical stresses play a part in determining the site of lesions; that such stresses are commonly transmitted to the cord via the denticulate ligaments during flexion of the spine; and that many of the lesions are attributable to vascular leakages due to tension in the denticulate ligaments. It is concluded that in patients with MS, neck flexion is dangerous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1978 Oppenheimer Study</w:t>
      </w:r>
      <w:r>
        <w:rPr>
          <w:rFonts w:ascii="arial" w:eastAsia="arial" w:hAnsi="arial" w:cs="arial"/>
          <w:color w:val="000000"/>
          <w:sz w:val="20"/>
          <w:lang w:val="en-US" w:eastAsia="en-US" w:bidi="ar-SA"/>
        </w:rPr>
        <w:t xml:space="preserve"> distinguished the earlier 1957 </w:t>
      </w:r>
      <w:r>
        <w:rPr>
          <w:rFonts w:ascii="arial" w:eastAsia="arial" w:hAnsi="arial" w:cs="arial"/>
          <w:b/>
          <w:i/>
          <w:color w:val="000000"/>
          <w:sz w:val="20"/>
          <w:lang w:val="en-US" w:eastAsia="en-US" w:bidi="ar-SA"/>
        </w:rPr>
        <w:t>Brain and Wilkinson Study</w:t>
      </w:r>
      <w:r>
        <w:rPr>
          <w:rFonts w:ascii="arial" w:eastAsia="arial" w:hAnsi="arial" w:cs="arial"/>
          <w:color w:val="000000"/>
          <w:sz w:val="20"/>
          <w:lang w:val="en-US" w:eastAsia="en-US" w:bidi="ar-SA"/>
        </w:rPr>
        <w:t xml:space="preserve"> findings linking cervical spondylosis to lesion formation suggesting that if spondylosis "plays a part in determining the situation of plaques in the cervical cord, it is probably not by direct compression but ... by the tethering effect on the dura of fibrous adhesions between it and the posterior longitudinal ligament."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Kidd Study</w:t>
      </w:r>
      <w:r>
        <w:rPr>
          <w:rFonts w:ascii="arial" w:eastAsia="arial" w:hAnsi="arial" w:cs="arial"/>
          <w:color w:val="000000"/>
          <w:sz w:val="20"/>
          <w:lang w:val="en-US" w:eastAsia="en-US" w:bidi="ar-SA"/>
        </w:rPr>
        <w:t>, in which MRI's were used to detect lesions in the brain and spinal cord of 88 patients, MRI abnormalities were found more frequently in the cervical cord than the thoracic or lumbar: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Spinal cord demyelination may develop at sites of cord compression (for example with cervical spondylosis). However, although the present study revealed that both MS lesions and degenerative changes occurred with higher frequencies in the midcervical range, the cord lesions were usually not at the actual level of compression. Furthermore, there was no excess of disc protrusion or osteophyte formation in the MS patients compared with healthy controls. These data suggest the lack of a direct causal relationship between the degenerative changes and the site of MS lesions but would be consistent with the hypothesis that the distribution of both is influenced by a common factor such as a mechanical effect, since the midcervical cord is particularly 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plaintiff relies on the </w:t>
      </w:r>
      <w:r>
        <w:rPr>
          <w:rFonts w:ascii="arial" w:eastAsia="arial" w:hAnsi="arial" w:cs="arial"/>
          <w:b/>
          <w:i/>
          <w:color w:val="000000"/>
          <w:sz w:val="20"/>
          <w:lang w:val="en-US" w:eastAsia="en-US" w:bidi="ar-SA"/>
        </w:rPr>
        <w:t>1978 Oppenheimer Study</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Kidd Study</w:t>
      </w:r>
      <w:r>
        <w:rPr>
          <w:rFonts w:ascii="arial" w:eastAsia="arial" w:hAnsi="arial" w:cs="arial"/>
          <w:color w:val="000000"/>
          <w:sz w:val="20"/>
          <w:lang w:val="en-US" w:eastAsia="en-US" w:bidi="ar-SA"/>
        </w:rPr>
        <w:t xml:space="preserve"> as supporting the view that physical trauma, or something analogous having a "mechanical effect" such as spondylosis or something related to the "particular mobility" of the cervical cord is indirect evidence in support of the theory. The defendants on the other hand, while agreeing that the prospect of some mechanical effect is postulated through the </w:t>
      </w:r>
      <w:r>
        <w:rPr>
          <w:rFonts w:ascii="arial" w:eastAsia="arial" w:hAnsi="arial" w:cs="arial"/>
          <w:b/>
          <w:i/>
          <w:color w:val="000000"/>
          <w:sz w:val="20"/>
          <w:lang w:val="en-US" w:eastAsia="en-US" w:bidi="ar-SA"/>
        </w:rPr>
        <w:t>1978 Oppenheimer Study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Kidd Study</w:t>
      </w:r>
      <w:r>
        <w:rPr>
          <w:rFonts w:ascii="arial" w:eastAsia="arial" w:hAnsi="arial" w:cs="arial"/>
          <w:color w:val="000000"/>
          <w:sz w:val="20"/>
          <w:lang w:val="en-US" w:eastAsia="en-US" w:bidi="ar-SA"/>
        </w:rPr>
        <w:t>, submit that the studies are not "able to say anything more than this, and to do so would be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Dr. Ebers in his evidence testified that the </w:t>
      </w:r>
      <w:r>
        <w:rPr>
          <w:rFonts w:ascii="arial" w:eastAsia="arial" w:hAnsi="arial" w:cs="arial"/>
          <w:b/>
          <w:i/>
          <w:color w:val="000000"/>
          <w:sz w:val="20"/>
          <w:lang w:val="en-US" w:eastAsia="en-US" w:bidi="ar-SA"/>
        </w:rPr>
        <w:t>Kidd Study</w:t>
      </w:r>
      <w:r>
        <w:rPr>
          <w:rFonts w:ascii="arial" w:eastAsia="arial" w:hAnsi="arial" w:cs="arial"/>
          <w:color w:val="000000"/>
          <w:sz w:val="20"/>
          <w:lang w:val="en-US" w:eastAsia="en-US" w:bidi="ar-SA"/>
        </w:rPr>
        <w:t xml:space="preserve"> does not support the </w:t>
      </w:r>
      <w:r>
        <w:rPr>
          <w:rFonts w:ascii="arial" w:eastAsia="arial" w:hAnsi="arial" w:cs="arial"/>
          <w:b/>
          <w:i/>
          <w:color w:val="000000"/>
          <w:sz w:val="20"/>
          <w:lang w:val="en-US" w:eastAsia="en-US" w:bidi="ar-SA"/>
        </w:rPr>
        <w:t>1978 Oppenheimer Study</w:t>
      </w:r>
      <w:r>
        <w:rPr>
          <w:rFonts w:ascii="arial" w:eastAsia="arial" w:hAnsi="arial" w:cs="arial"/>
          <w:color w:val="000000"/>
          <w:sz w:val="20"/>
          <w:lang w:val="en-US" w:eastAsia="en-US" w:bidi="ar-SA"/>
        </w:rPr>
        <w:t xml:space="preserve"> or </w:t>
      </w:r>
      <w:r>
        <w:rPr>
          <w:rFonts w:ascii="arial" w:eastAsia="arial" w:hAnsi="arial" w:cs="arial"/>
          <w:b/>
          <w:i/>
          <w:color w:val="000000"/>
          <w:sz w:val="20"/>
          <w:lang w:val="en-US" w:eastAsia="en-US" w:bidi="ar-SA"/>
        </w:rPr>
        <w:t>Brain and Wilkinson Study</w:t>
      </w:r>
      <w:r>
        <w:rPr>
          <w:rFonts w:ascii="arial" w:eastAsia="arial" w:hAnsi="arial" w:cs="arial"/>
          <w:color w:val="000000"/>
          <w:sz w:val="20"/>
          <w:lang w:val="en-US" w:eastAsia="en-US" w:bidi="ar-SA"/>
        </w:rPr>
        <w:t xml:space="preserve"> that spondylitic bars or the tethering of dura are causative of plaque formation as he found no correlation between the location of the plaques and the compression associated with those conditions. He acknowledged that Kidd suggested the influence of a factor common to the creation of the plaques and the physical injury or deterioration of the cervical cord such as "mechanical effect", but described the </w:t>
      </w:r>
      <w:r>
        <w:rPr>
          <w:rFonts w:ascii="arial" w:eastAsia="arial" w:hAnsi="arial" w:cs="arial"/>
          <w:b/>
          <w:i/>
          <w:color w:val="000000"/>
          <w:sz w:val="20"/>
          <w:lang w:val="en-US" w:eastAsia="en-US" w:bidi="ar-SA"/>
        </w:rPr>
        <w:t>Kidd Study</w:t>
      </w:r>
      <w:r>
        <w:rPr>
          <w:rFonts w:ascii="arial" w:eastAsia="arial" w:hAnsi="arial" w:cs="arial"/>
          <w:color w:val="000000"/>
          <w:sz w:val="20"/>
          <w:lang w:val="en-US" w:eastAsia="en-US" w:bidi="ar-SA"/>
        </w:rPr>
        <w:t xml:space="preserve"> as "a small study".</w:t>
      </w:r>
      <w:r>
        <w:rPr>
          <w:rFonts w:ascii="arial" w:eastAsia="arial" w:hAnsi="arial" w:cs="arial"/>
          <w:sz w:val="20"/>
          <w:lang w:val="en-US" w:eastAsia="en-US" w:bidi="ar-SA"/>
        </w:rPr>
        <w:cr/>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Studies Related to the Disruption of the BBB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plaintiff's experts relied on animal studies as evidence that trauma, especially mild trauma, can cause a breakdown of the BBB and that an animal form of MS called experimental allergic encephalomyelitis (EAE) was demonstrated to cause lesions at the site of a previous injury and alteration of the BBB.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defendants' evidence was that the animal studies were flawed in that they involved "very direct and invasive injury to the brain tissue of the animals" and so did not account for the fact that the extent of injury needed to break down the BBB is not precisely known, although it is likely to be very substantial. So far as the experiments in involving EAE are concerned, the defence experts pointed out that indeed it is not MS and in fact some experiments tended to show that lesions arising from EAE preferred sites where the BBB was intact rather than disrupted.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debate between the experts centering on what constitutes mild traumatic brain injury and whether such an injury could cause a disruption of the BBB accepted the premise that an acceleration/deceleration (whiplash) injury could lead to traumatic brain injury. The plaintiff's contention through her experts was that mild trauma may disrupt the BBB which may in turn trigger MS exacerbation or onset, but severe trauma may not affect multiple sclerosis. The defendants' contention was that the studies relied on by the plaintiff's experts related primarily to severe trauma and those studies do not refer to the BBB. Much of the contention centred on a reference relied on by Dr. Poser from one of his own articles, Poser, C.M., "Trauma to the nervous system may result in formation or enlargement of multiple sclerosis plaques" (2000) Arch Neurol/Vol 57: 1701 - 1706, in which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many years, trivial head injuries such as concussion were considered to result only in physiological disruption of neuro function without anatomical changes. However, Ommaya et al., Nevin, Oppenheimer, and Hardman pointed out that both spontaneous and experimental concussive CNS injury can cause diffuse microscopic lesions of blood vessel walls that often escape notice on superficial examination of the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Oppenheimer study referred to was reported in Oppenheimer, D., "Microscopic lesions in the brain following head injury" (1968) J. Neurol Neurosurg. Psychiatry [the "</w:t>
      </w:r>
      <w:r>
        <w:rPr>
          <w:rFonts w:ascii="arial" w:eastAsia="arial" w:hAnsi="arial" w:cs="arial"/>
          <w:b/>
          <w:i/>
          <w:color w:val="000000"/>
          <w:sz w:val="20"/>
          <w:lang w:val="en-US" w:eastAsia="en-US" w:bidi="ar-SA"/>
        </w:rPr>
        <w:t>1968 Oppenheimer Study</w:t>
      </w:r>
      <w:r>
        <w:rPr>
          <w:rFonts w:ascii="arial" w:eastAsia="arial" w:hAnsi="arial" w:cs="arial"/>
          <w:color w:val="000000"/>
          <w:sz w:val="20"/>
          <w:lang w:val="en-US" w:eastAsia="en-US" w:bidi="ar-SA"/>
        </w:rPr>
        <w:t>"]. The Nevin study referred to was reported in Nevin N., "Neuropathologic changes in the white matter following head injury" (1967) J. Neuropathol Exp Neurol. 26: 77 - 84 [the "</w:t>
      </w:r>
      <w:r>
        <w:rPr>
          <w:rFonts w:ascii="arial" w:eastAsia="arial" w:hAnsi="arial" w:cs="arial"/>
          <w:b/>
          <w:i/>
          <w:color w:val="000000"/>
          <w:sz w:val="20"/>
          <w:lang w:val="en-US" w:eastAsia="en-US" w:bidi="ar-SA"/>
        </w:rPr>
        <w:t>Nevin Study</w:t>
      </w:r>
      <w:r>
        <w:rPr>
          <w:rFonts w:ascii="arial" w:eastAsia="arial" w:hAnsi="arial" w:cs="arial"/>
          <w:color w:val="000000"/>
          <w:sz w:val="20"/>
          <w:lang w:val="en-US" w:eastAsia="en-US" w:bidi="ar-SA"/>
        </w:rPr>
        <w:t xml:space="preserve">"]. Dr. Ebers testified that apart from the issue of the severity of the trauma needed to produce the effects referred to by Dr. Poser, he found the articles cited ambiguous. He questioned whether the studies relied on, in particular, the </w:t>
      </w:r>
      <w:r>
        <w:rPr>
          <w:rFonts w:ascii="arial" w:eastAsia="arial" w:hAnsi="arial" w:cs="arial"/>
          <w:b/>
          <w:i/>
          <w:color w:val="000000"/>
          <w:sz w:val="20"/>
          <w:lang w:val="en-US" w:eastAsia="en-US" w:bidi="ar-SA"/>
        </w:rPr>
        <w:t>Nevin Study</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1968 Oppenheimer Study</w:t>
      </w:r>
      <w:r>
        <w:rPr>
          <w:rFonts w:ascii="arial" w:eastAsia="arial" w:hAnsi="arial" w:cs="arial"/>
          <w:color w:val="000000"/>
          <w:sz w:val="20"/>
          <w:lang w:val="en-US" w:eastAsia="en-US" w:bidi="ar-SA"/>
        </w:rPr>
        <w:t xml:space="preserve">, provided evidence of "diffuse microscopic lesions of the blood vessel walls." It was contended by the plaintiff that the following statement in the </w:t>
      </w:r>
      <w:r>
        <w:rPr>
          <w:rFonts w:ascii="arial" w:eastAsia="arial" w:hAnsi="arial" w:cs="arial"/>
          <w:b/>
          <w:i/>
          <w:color w:val="000000"/>
          <w:sz w:val="20"/>
          <w:lang w:val="en-US" w:eastAsia="en-US" w:bidi="ar-SA"/>
        </w:rPr>
        <w:t>Nevin Study</w:t>
      </w:r>
      <w:r>
        <w:rPr>
          <w:rFonts w:ascii="arial" w:eastAsia="arial" w:hAnsi="arial" w:cs="arial"/>
          <w:color w:val="000000"/>
          <w:sz w:val="20"/>
          <w:lang w:val="en-US" w:eastAsia="en-US" w:bidi="ar-SA"/>
        </w:rPr>
        <w:t xml:space="preserve"> is supportive of Dr. Poser's contention, despite Dr. Eber's assertion that no specific mention was made of "diffuse lesions of blood vessel walls":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present observations confirm that an injury to the skull may result in a defuse lesion throughout the brain without naked eye abnormalities familiar in severe head injuries. Indeed, such a lesion may play a possible role in the sudden loss of consciousness in cerebral concussion and in the numerous manifestations of the posthead injury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Similarly, the </w:t>
      </w:r>
      <w:r>
        <w:rPr>
          <w:rFonts w:ascii="arial" w:eastAsia="arial" w:hAnsi="arial" w:cs="arial"/>
          <w:b/>
          <w:i/>
          <w:color w:val="000000"/>
          <w:sz w:val="20"/>
          <w:lang w:val="en-US" w:eastAsia="en-US" w:bidi="ar-SA"/>
        </w:rPr>
        <w:t>1968 Oppenheimer Study</w:t>
      </w:r>
      <w:r>
        <w:rPr>
          <w:rFonts w:ascii="arial" w:eastAsia="arial" w:hAnsi="arial" w:cs="arial"/>
          <w:color w:val="000000"/>
          <w:sz w:val="20"/>
          <w:lang w:val="en-US" w:eastAsia="en-US" w:bidi="ar-SA"/>
        </w:rPr>
        <w:t xml:space="preserve"> was relied on in support of Dr. Poser's theory by the plaintiff. That article discussed autopsies performed on the brains of 59 patients suffering from brain injury (five of which were considered clinically trivial). The article referred to "the demonstration of lesions, other than petechial haemorrhages, in cases which were clinically labelled concussion' is of some interest" and attributed the lesions in part to "stretching and tearing of small blood vessels." The defendants' witnesses took issue with whether the article referenced what Dr. Poser was talking about, that is "diffuse microscopic lesions of blood vessel walls", and whether the five "clinically trivial" injuries were "truly mild".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other animal studies relied on by the plaintiff's experts were those concerned with EAE which Dr. Ebers described thus in his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EAE is an acronym for experimental allergic encephalomyelitis. It's an animal model that has been extensively studied to inform us about MS and it's ... produced in some strains of mice, rats and guinea pigs by injecting some ground up CNS material as well as a number of other things which stimulate the immune system and it generates a disease in 10 - 14 days as characterized by inflammation in the brain and spinal 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Poser 1994</w:t>
      </w:r>
      <w:r>
        <w:rPr>
          <w:rFonts w:ascii="arial" w:eastAsia="arial" w:hAnsi="arial" w:cs="arial"/>
          <w:color w:val="000000"/>
          <w:sz w:val="20"/>
          <w:lang w:val="en-US" w:eastAsia="en-US" w:bidi="ar-SA"/>
        </w:rPr>
        <w:t>, Dr. Poser addressed the nature and utility of EAE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the fact that ... EAE is not an acceptable model for MS, it does share with the latter the fact that an alteration of the BBB is a necessary step in its pathogenesis. The role of an injury to the BBB as a facilitator was dramatically shown by Clark and Bogdanove, who demonstrated that the usually disseminated lesions of EAE could be directed to, and concentrated in, an area of the brain where the BBB had been altered by a previous injury'. Levine and Hoenig reported similar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his medical legal report of March 11, 2005, and in his evidence, Dr. Goodin in response, cited Knobler, et al., "Distribution of the Blood-Brain Barrier in Hetero-Tropic Brain Transplants and its Relationship to Lesions of the EAE" (1992) J. Neuropath Exp. Neurol 51: 36 - 39. That study reported that in some circumstances, inflammatory lesions in EAE "have been demonstrated to occur selectively in regions where the BBB is intact, rather than where it is disrupted." Dr. Goodin thought that those findings were inconsistent with what Dr. Poser's theory would predict. Dr. Goodin also referenced an animal study, which he acknowledged "may or may not relate to humans", that suggested that the opening of the BBB by trauma did not relate to the onset of EAE.</w:t>
      </w:r>
      <w:r>
        <w:rPr>
          <w:rFonts w:ascii="arial" w:eastAsia="arial" w:hAnsi="arial" w:cs="arial"/>
          <w:sz w:val="20"/>
          <w:lang w:val="en-US" w:eastAsia="en-US" w:bidi="ar-SA"/>
        </w:rPr>
        <w:cr/>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w:t>
      </w:r>
      <w:r>
        <w:rPr>
          <w:rFonts w:ascii="arial" w:eastAsia="arial" w:hAnsi="arial" w:cs="arial"/>
          <w:b/>
          <w:i/>
          <w:color w:val="000000"/>
          <w:sz w:val="20"/>
          <w:lang w:val="en-US" w:eastAsia="en-US" w:bidi="ar-SA"/>
        </w:rPr>
        <w:t>Gonsette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Richard Gonsette, a Belgian Neurosurgeon, published a monograph (written in French) regarding the results of two thalamotomies performed on MS patients. A thalamotomie is a medical procedure in which a trocar, a knitting needle shaped instrument, is inserted through a hole in the skull into the brain to destroy part of the brain to relieve against uncontrollable cerebral tremors.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According to Dr. Poser, one of the patients died within a few days of the operation and the other within three weeks. Subsequent autopsies revealed "expression of demyelinating disease at certain levels along the path of the trocar." Dr. Poser testified that according to the Gonsette monograph the demyelination along the trocar's path was fresh, because the acute destruction of myelin produces fatty material which is eventually eaten by microphages, but the fatty material was visible as of the autopsy. The original paper by Dr. Gonsette was written in 1966. A subsequent monograph was written in 1972. Dr. Poser relied on the Gonsette monograph as establishing a link between physical trauma and lesion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defence experts challenged the worth of the Gonsette study on several bases. Dr. Ebers (who is fluent in French) pointed out that the original 1966 paper gave no indication of the freshness of the lesions. He also testified that naturally occurring lesions tend to be symmetrical on each side of the brain and no investigation was done to compare the area at issue with the other side of the brain. In other words, finding symmetry would support the defendants' contention that the lesions pre-existed the thalamotomie. He also testified that there was no basis for Dr. Poser to assert the lesions were fresh and pointed out that the autopsies, and presumably the patient's deaths, occurred months after the thalamotomies, not within days or weeks. He noted that the plaques could relate to the clinical problems for which the procedures were being carried out. Dr. Ebers cited other studies that failed to replicate the Gonsette results, and noted that following biopsies MS sufferers do not appear to have an exacerbation of symptoms.</w:t>
      </w:r>
      <w:r>
        <w:rPr>
          <w:rFonts w:ascii="arial" w:eastAsia="arial" w:hAnsi="arial" w:cs="arial"/>
          <w:sz w:val="20"/>
          <w:lang w:val="en-US" w:eastAsia="en-US" w:bidi="ar-SA"/>
        </w:rPr>
        <w:cr/>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Epidemiological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Because of the obvious difficulties of finding determinative direct or indirect physical evidence addressing the issue of an association between trauma and MS, over the years a number of epidemiological studies have been conducted in an attempt to find a conclusive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It is the defendants' position that the net result of the epidemiological studies, particularly the </w:t>
      </w:r>
      <w:r>
        <w:rPr>
          <w:rFonts w:ascii="arial" w:eastAsia="arial" w:hAnsi="arial" w:cs="arial"/>
          <w:b/>
          <w:i/>
          <w:color w:val="000000"/>
          <w:sz w:val="20"/>
          <w:lang w:val="en-US" w:eastAsia="en-US" w:bidi="ar-SA"/>
        </w:rPr>
        <w:t>Sibley Study</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Siva Study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Goldacre Study</w:t>
      </w:r>
      <w:r>
        <w:rPr>
          <w:rFonts w:ascii="arial" w:eastAsia="arial" w:hAnsi="arial" w:cs="arial"/>
          <w:color w:val="000000"/>
          <w:sz w:val="20"/>
          <w:lang w:val="en-US" w:eastAsia="en-US" w:bidi="ar-SA"/>
        </w:rPr>
        <w:t>, is to provide no positive evidence of an association. The defendants' position is that the epidemiological studies establish such a result within a confidence level of 95% (that is if the hypothesis is tested 100 times, then 95 times the conclusion will conform to the lack of association established by the study). The largest association that could be established on a statistical analysis of the studies is 1.3% which does not denote a positive association, but simply reflects the fact that the studies are not big enough to definitively exclude such an association. Thus, say the defendants, the epidemiological studies are very strong evidence of there being no association between trauma and MS clinical onset or exacerbation, and explain why the issue is not one that engages the medical profession outside the precincts of the courthouse.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defendants rely on evidence that trauma is a relatively frequent occurrence in the general population and that the probability of a coincidental association between trauma and MS onset or exacerbation is high and therefore the significance of any temporal relationship in establishing cause and effect is significantly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position of the plaintiff is that the epidemiological studies are not all that relevant to the issues at bar, principally because none of them have enough statistical power to detect the relationship between MS and trauma being advanced (less than 5% of MS sufferers), but also because of flawed methodology and the scope and the methods of collecting data. The plaintiff points in particular to evidence that restrictions are built into any statistical analysis to guard against false positive results. The plaintiff argues that statistical studies may render an acceptable basis for drawing a conclusion in the context of science's need for a high level of certainty, but are less acceptable in the context of proof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plaintiff relies on evidence that given the prevalence rate of MS sufferers in North America, that is the overall number of cases in a given population (1 in 1,000) and the incidence rate, that is the number of new cases in a given year (about 5.7 in 100,000) to argue that huge populations must be studied to detect even a few MS cases and if the risk of MS from trauma is small (that is less than 5%) the numbers needed to mount a meaningful study become impossibly large. The plaintiff points to evidence in Dr. Sibley's testimony that even missing a single case of MS following head injury trauma may change the statistical results from insignificant to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Although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in reviewing the relevant literature and studies on the issue dealt with a number of older epidemiological studies, the defendants relied particularly on the </w:t>
      </w:r>
      <w:r>
        <w:rPr>
          <w:rFonts w:ascii="arial" w:eastAsia="arial" w:hAnsi="arial" w:cs="arial"/>
          <w:b/>
          <w:i/>
          <w:color w:val="000000"/>
          <w:sz w:val="20"/>
          <w:lang w:val="en-US" w:eastAsia="en-US" w:bidi="ar-SA"/>
        </w:rPr>
        <w:t>Sibley Study</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Siva Study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Goldacre Study</w:t>
      </w:r>
      <w:r>
        <w:rPr>
          <w:rFonts w:ascii="arial" w:eastAsia="arial" w:hAnsi="arial" w:cs="arial"/>
          <w:color w:val="000000"/>
          <w:sz w:val="20"/>
          <w:lang w:val="en-US" w:eastAsia="en-US" w:bidi="ar-SA"/>
        </w:rPr>
        <w:t xml:space="preserve"> in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Sibley Study</w:t>
      </w:r>
      <w:r>
        <w:rPr>
          <w:rFonts w:ascii="arial" w:eastAsia="arial" w:hAnsi="arial" w:cs="arial"/>
          <w:color w:val="000000"/>
          <w:sz w:val="20"/>
          <w:lang w:val="en-US" w:eastAsia="en-US" w:bidi="ar-SA"/>
        </w:rPr>
        <w:t xml:space="preserve"> was a prospective study, that is a study which follows a targeted group to identify what occurs, rather than a retrospective study which after identifying the target group takes a history from them. Prospective studies are regarded as more valuable than retrospective ones because the latter relies on the memories of the subjects which may be selective and subject to a recall bias, being more prone to recalling trauma if it preceded an exacerbation, for example, than if it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Sibley Study</w:t>
      </w:r>
      <w:r>
        <w:rPr>
          <w:rFonts w:ascii="arial" w:eastAsia="arial" w:hAnsi="arial" w:cs="arial"/>
          <w:color w:val="000000"/>
          <w:sz w:val="20"/>
          <w:lang w:val="en-US" w:eastAsia="en-US" w:bidi="ar-SA"/>
        </w:rPr>
        <w:t xml:space="preserve"> was conducted through the MS clinic at the University of Arizona. It tracked 170 MS patients and 134 age and sex matched controls over a period of 8 years. Because of drop outs from the study, the average length of time the patients were followed was 5.2 years. The purpose of the study was to attempt to identify environmental factors which may be risk factors with MS onset or exacerbation.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method of collecting the data involved patients and controls each completing a questionnaire every 30 days to record a broad range of occurrences in the previous month. If the questionnaire was not completed, a nurse would follow up by telephone interview. Each MS patient had a neurological examination every three months and each patient was examined if they experienced what may have been an exacerbation. In relation to trauma, the three month and six month periods after trauma were regarded as "at risk" for the purpose of the study. The study found "no significant correlation between all traumas and disease activity." The study also found in 95 patients a negative correlation between traumatic episodes and exacerbations, "due to less activity of the disease during a three month period following surgical procedures and fractures."</w:t>
      </w:r>
      <w:r>
        <w:rPr>
          <w:rFonts w:ascii="arial" w:eastAsia="arial" w:hAnsi="arial" w:cs="arial"/>
          <w:sz w:val="20"/>
          <w:lang w:val="en-US" w:eastAsia="en-US" w:bidi="ar-SA"/>
        </w:rPr>
        <w:cr/>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w:t>
      </w:r>
      <w:r>
        <w:rPr>
          <w:rFonts w:ascii="arial" w:eastAsia="arial" w:hAnsi="arial" w:cs="arial"/>
          <w:b/>
          <w:i/>
          <w:color w:val="000000"/>
          <w:sz w:val="20"/>
          <w:lang w:val="en-US" w:eastAsia="en-US" w:bidi="ar-SA"/>
        </w:rPr>
        <w:t>Siva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Siva Study</w:t>
      </w:r>
      <w:r>
        <w:rPr>
          <w:rFonts w:ascii="arial" w:eastAsia="arial" w:hAnsi="arial" w:cs="arial"/>
          <w:color w:val="000000"/>
          <w:sz w:val="20"/>
          <w:lang w:val="en-US" w:eastAsia="en-US" w:bidi="ar-SA"/>
        </w:rPr>
        <w:t xml:space="preserve"> was based on records from the Mayo Clinic which served the population of Olmstead County in New York (which had a population of approximately 100,000 in 1990). The </w:t>
      </w:r>
      <w:r>
        <w:rPr>
          <w:rFonts w:ascii="arial" w:eastAsia="arial" w:hAnsi="arial" w:cs="arial"/>
          <w:b/>
          <w:i/>
          <w:color w:val="000000"/>
          <w:sz w:val="20"/>
          <w:lang w:val="en-US" w:eastAsia="en-US" w:bidi="ar-SA"/>
        </w:rPr>
        <w:t>Siva Study</w:t>
      </w:r>
      <w:r>
        <w:rPr>
          <w:rFonts w:ascii="arial" w:eastAsia="arial" w:hAnsi="arial" w:cs="arial"/>
          <w:color w:val="000000"/>
          <w:sz w:val="20"/>
          <w:lang w:val="en-US" w:eastAsia="en-US" w:bidi="ar-SA"/>
        </w:rPr>
        <w:t xml:space="preserve"> identified 225 cases of MS from 1905 to 1991 (known as the incidents cohort). The study identified 164 cases involving patients alive as of December 1991 as the prevalence cohort. It also followed a sub-cohort of 819 head injury cases between 1935 and 1984 (known as the head injury cohort).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study looked at "mechanical trauma" defined as "head and spinal trauma, fractures of the long or small bones of the extremities, and other skeletal fractures." Head trauma meant "evidence of skull fracture, loss of consciousness, focal neurologic signs or post traumatic amnesia." Spinal trauma was trauma to the spine resulting in "compression of vertebrae body or other fractures."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Among the prevalence cohort, 39 out of 164 experienced mechanical trauma. In the result, the study reported no significant difference for the number of exacerbations following the trauma as to the six months preceding the episode of trauma. Of the 819 in the head injury cohort, only two individuals ended up developing MS. One had the first clinical onset three years after the injury, the other 21 years later.</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w:t>
      </w:r>
      <w:r>
        <w:rPr>
          <w:rFonts w:ascii="arial" w:eastAsia="arial" w:hAnsi="arial" w:cs="arial"/>
          <w:b/>
          <w:i/>
          <w:color w:val="000000"/>
          <w:sz w:val="20"/>
          <w:lang w:val="en-US" w:eastAsia="en-US" w:bidi="ar-SA"/>
        </w:rPr>
        <w:t>Goldacre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Goldacre Study</w:t>
      </w:r>
      <w:r>
        <w:rPr>
          <w:rFonts w:ascii="arial" w:eastAsia="arial" w:hAnsi="arial" w:cs="arial"/>
          <w:color w:val="000000"/>
          <w:sz w:val="20"/>
          <w:lang w:val="en-US" w:eastAsia="en-US" w:bidi="ar-SA"/>
        </w:rPr>
        <w:t>, which was published in 2006, was another records linkage study. It was a study conducted at Oxford University and used data from the Oxford National Health Service Region Hospitals during a period from January 1, 1963, to March 31, 1999. A cohort of 110,993 individuals admitted to a hospital with head injuries was identified and a reference cohort of 534,600 patients not admitted for head trauma was established for comparative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study reported that the observed number of MS cases in the head injury cohort at 6 month and 11 month periods following injury were slightly under the expected number based on the MS cases identified in the reference cohort. The study also noted that when the head injury cohort was broken down based on severity of the injury, there was no significant difference in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abstract of the </w:t>
      </w:r>
      <w:r>
        <w:rPr>
          <w:rFonts w:ascii="arial" w:eastAsia="arial" w:hAnsi="arial" w:cs="arial"/>
          <w:b/>
          <w:i/>
          <w:color w:val="000000"/>
          <w:sz w:val="20"/>
          <w:lang w:val="en-US" w:eastAsia="en-US" w:bidi="ar-SA"/>
        </w:rPr>
        <w:t>Goldacre Study</w:t>
      </w:r>
      <w:r>
        <w:rPr>
          <w:rFonts w:ascii="arial" w:eastAsia="arial" w:hAnsi="arial" w:cs="arial"/>
          <w:color w:val="000000"/>
          <w:sz w:val="20"/>
          <w:lang w:val="en-US" w:eastAsia="en-US" w:bidi="ar-SA"/>
        </w:rPr>
        <w:t xml:space="preserve"> reads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Background: The possibility that head injury may influence the development of multiple sclerosis (MS) has been studied inconclusively in the past.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Objective: To determine whether head injury is associated with an increased risk of 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Method: Analysis of data base of linked hospital and death records comparing the occurrence of MS in a cohort of people admitted to hospital with head injury and a reference cohort.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Results: The rate ratio for MS after head injury, compared with the reference cohort, was 1.1 (95% confidence interval, 0.88 to 1.36). There was no significant increase in the risk of MS at either short or long time periods after head injury. Using length of hospital stay as a proxy for severity of injury, there was no significant increase in the rate ratio for MS after head injuries with hospital stays of less than two days (rate ration = 1.1 (0.71 to 1.57)), two or more days (rate ration = 1.0 (0.68 to 1.45)), or seven or more days (rate ratio = 1.3 (0.64 to 2.34)).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Conclusions: The method used, record linkage, ensures that patients' recollection of injury, or any tendency to attribute MS to injury, cannot have influenced the results. Injuries to the head were not associated with either the aetiological initiation or the clinical precipitation of onset of multiple sclerosis.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 plaintiff's criticisms of the </w:t>
      </w:r>
      <w:r>
        <w:rPr>
          <w:rFonts w:ascii="arial" w:eastAsia="arial" w:hAnsi="arial" w:cs="arial"/>
          <w:b/>
          <w:i/>
          <w:color w:val="000000"/>
          <w:sz w:val="20"/>
          <w:lang w:val="en-US" w:eastAsia="en-US" w:bidi="ar-SA"/>
        </w:rPr>
        <w:t>Goldacre Study</w:t>
      </w:r>
      <w:r>
        <w:rPr>
          <w:rFonts w:ascii="arial" w:eastAsia="arial" w:hAnsi="arial" w:cs="arial"/>
          <w:color w:val="000000"/>
          <w:sz w:val="20"/>
          <w:lang w:val="en-US" w:eastAsia="en-US" w:bidi="ar-SA"/>
        </w:rPr>
        <w:t xml:space="preserve"> are set out in paragraph 106 - 110 of her counsel's summary of submissions of the plaintiff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its large sample size, the Goldacre study appears at first blush to offer strong evidence against the link between trauma and MS. However, even this study is not large enough to prove or disprove the type of relationship postulated by the Plaintiff's experts. The Goldacre study would be unable to detect a 5% increase in relative risk of MS exacerbations due to trauma (Ebers, pp. 612:7 - 614:21; Goodin, pp. 734:47 - 735:42).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Goldacre study tallies the number of patients admitted to hospital for MS </w:t>
      </w:r>
      <w:r>
        <w:rPr>
          <w:rFonts w:ascii="arial" w:eastAsia="arial" w:hAnsi="arial" w:cs="arial"/>
          <w:color w:val="000000"/>
          <w:sz w:val="20"/>
          <w:u w:val="single"/>
          <w:lang w:val="en-US" w:eastAsia="en-US" w:bidi="ar-SA"/>
        </w:rPr>
        <w:t>after</w:t>
      </w:r>
      <w:r>
        <w:rPr>
          <w:rFonts w:ascii="arial" w:eastAsia="arial" w:hAnsi="arial" w:cs="arial"/>
          <w:color w:val="000000"/>
          <w:sz w:val="20"/>
          <w:lang w:val="en-US" w:eastAsia="en-US" w:bidi="ar-SA"/>
        </w:rPr>
        <w:t xml:space="preserve"> a previous admission for head trauma, and compares that tally to the number admitted for MS from a non-trauma reference population. Various time periods following the trauma were compared, the shortest being six months (Exhibit 4, Tab 4(a), p. 352). Since there is no match to the 3.5-month window described by Poser, the relevance of the six-month period is unclear. It is possible that there were greater-than-expected numbers of MS cases occurring in the first three months, but fewer in the following three months; however, measuring over six months effectively masks what occurred in the first three.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the study collected data concerning the first </w:t>
      </w:r>
      <w:r>
        <w:rPr>
          <w:rFonts w:ascii="arial" w:eastAsia="arial" w:hAnsi="arial" w:cs="arial"/>
          <w:color w:val="000000"/>
          <w:sz w:val="20"/>
          <w:u w:val="single"/>
          <w:lang w:val="en-US" w:eastAsia="en-US" w:bidi="ar-SA"/>
        </w:rPr>
        <w:t>admission</w:t>
      </w:r>
      <w:r>
        <w:rPr>
          <w:rFonts w:ascii="arial" w:eastAsia="arial" w:hAnsi="arial" w:cs="arial"/>
          <w:color w:val="000000"/>
          <w:sz w:val="20"/>
          <w:lang w:val="en-US" w:eastAsia="en-US" w:bidi="ar-SA"/>
        </w:rPr>
        <w:t xml:space="preserve"> for MS, rather than the first onset of symptoms. On average, however, the diagnosis of MS does not take place for several years after the disease is actually manifest (and even then may result in no hospitalization at all) (Goodin, pp. 608:28 - 608:43; 609:17 - 609:24).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Remarkably, the Goldacre study also shows unexpectedly large numbers of MS cases being observed </w:t>
      </w:r>
      <w:r>
        <w:rPr>
          <w:rFonts w:ascii="arial" w:eastAsia="arial" w:hAnsi="arial" w:cs="arial"/>
          <w:color w:val="000000"/>
          <w:sz w:val="20"/>
          <w:u w:val="single"/>
          <w:lang w:val="en-US" w:eastAsia="en-US" w:bidi="ar-SA"/>
        </w:rPr>
        <w:t>after</w:t>
      </w:r>
      <w:r>
        <w:rPr>
          <w:rFonts w:ascii="arial" w:eastAsia="arial" w:hAnsi="arial" w:cs="arial"/>
          <w:color w:val="000000"/>
          <w:sz w:val="20"/>
          <w:lang w:val="en-US" w:eastAsia="en-US" w:bidi="ar-SA"/>
        </w:rPr>
        <w:t xml:space="preserve"> three years post-trauma. Given the above comments from Dr. Ebers, it is entirely plausible that while hospital admissions did not occur in those cases until three or more years post-trauma, the first onset of MS symptoms occurred much sooner.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methodology of the </w:t>
      </w:r>
      <w:r>
        <w:rPr>
          <w:rFonts w:ascii="arial" w:eastAsia="arial" w:hAnsi="arial" w:cs="arial"/>
          <w:b/>
          <w:i/>
          <w:color w:val="000000"/>
          <w:sz w:val="20"/>
          <w:lang w:val="en-US" w:eastAsia="en-US" w:bidi="ar-SA"/>
        </w:rPr>
        <w:t>Goldacre Study</w:t>
      </w:r>
      <w:r>
        <w:rPr>
          <w:rFonts w:ascii="arial" w:eastAsia="arial" w:hAnsi="arial" w:cs="arial"/>
          <w:color w:val="000000"/>
          <w:sz w:val="20"/>
          <w:lang w:val="en-US" w:eastAsia="en-US" w:bidi="ar-SA"/>
        </w:rPr>
        <w:t xml:space="preserve"> was described by plaintiff's counsel as deeply flawed. The plaintiff contends that the fact that the study data was based merely on "brief statistical abstracts" of hospital records (which would contain little or no detailed information) produces several critical problems:</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study makes no systematic differentiation between mild and serious head injuries; given that the only injuries caught by the study were those that resulted in hospitalization.</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study relies on data from linked death records. Typically, however, MS would be under-reported on death certificates, as it is rarely a direct cause of death. Dr. Ebers admitted that death certificates involving MS patients may make no mention of MS where the primary cause of death was something else.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substantial number of head-injured patients would never seek treatment for their injuries, further undermining the reliability of the collected data in both the Goldacre and Siva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Both parties seek the exclusion of one another's expert's evidence on the footing that it does not meet the threshold of reliability necessary to justify consideration by the finder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An important point to note is that in this case, the only means of gaining access to an understanding of the ultimate issue - whether the plaintiff's automobile accident of May 22, 1998, caused the onset or exacerbation of her MS symptoms diagnosed in the first week of September, 1998 - is through the impugned expert medical evidence. No judgment on that issue is possible without the assistance of expert opinion evidence. That fact distinguishes this case from </w:t>
      </w:r>
      <w:r>
        <w:rPr>
          <w:rFonts w:ascii="arial" w:eastAsia="arial" w:hAnsi="arial" w:cs="arial"/>
          <w:b/>
          <w:i/>
          <w:color w:val="000000"/>
          <w:sz w:val="20"/>
          <w:lang w:val="en-US" w:eastAsia="en-US" w:bidi="ar-SA"/>
        </w:rPr>
        <w:t>Mohan</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Wolfin</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 v. J.-L.J.</w:t>
      </w:r>
      <w:r>
        <w:rPr>
          <w:rFonts w:ascii="arial" w:eastAsia="arial" w:hAnsi="arial" w:cs="arial"/>
          <w:color w:val="000000"/>
          <w:sz w:val="20"/>
          <w:lang w:val="en-US" w:eastAsia="en-US" w:bidi="ar-SA"/>
        </w:rPr>
        <w:t>, and the majority of the cases cited by counsel for the defendants as examples of expert evidence being excluded on the ground of unreliability. In those cases, the impugned expert evidence was supplemental to the main evidence on the issue and was being tendered as a diagnostic tool or as some measure of the reliability or credibility of other admissible evidence accessible to the fact finder. In that context, the impugned expert evidence was being tendered, if not to supplant, then at least to augment the function of the fact finder. Accordingly, the concerns relative to the admission of expert evidence: whether its value is worth what it costs, and whether the fact finder is likely to be deterred from objectively assessing all of the evidence by the "mystic infallibility" of the expert's opinion were particularly apposite in those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On the other hand in a case where expert evidence is necessary in order to even understand the issue, much less resolve it, its relative value is high, and where both sides rely on expert evidence, the "mystic infallibility" of their evidence falls away with the broadsides levelled by the respective parties' opposing experts at one another's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While it is difficult in a case such as this to avoid the appearance of a medical convention, the alternative is to have no cogent evidence at all on the seminal issue being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There is no issue at bar as to the relevant expertise of the various witnesses. The issue is whether the theory being advanced has a level of uncertainty rendering it unacceptable, given the purpose for which it has been tendered.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In this case, the defendants' resistance to the admission of the plaintiff's expert evidence rested to a large extent on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in response to the concern that evidence linking trauma to MS symptom onset or exacerbation was being misused in the courtroom. The three defence experts were all members of the panel which undertook the review that produced the report. One major textbook has declared that the scientific evidence linking trauma to MS is not capable of surmounting the civil standard of proof, and Dr. Ebers in his report and in his testimony warned against the court, in effect, reversing the burden of proof to require the defendants to prove the absence of the proposed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Courts must be very careful, of course, not to allow the medical or scientific community to become a proxy for the discharge of its judicial functions such as a determination of the admissibility or sufficiency of evidence. At the same time, the medical or scientific community cannot allow the courts' rulings on admissibility or sufficiency of evidence in the context of a civil trial to determine or direct the course of their research.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What is at issue before me does not involve reversing the standard of proof. The plaintiff bears the onus and burden of proving affirmatively on the balance of probabilities that there is a causal relationship between trauma and MS onset or exacerbation, and that the plaintiff's motor vehicle accident caused the exacerbation or onset of her symptoms. Admitting the evidence does not cast any onus or burden on the defendants to disprove the plaintiff's proposition. A plaintiff's case can collapse on the insufficiency of admissible evidence with or without the additional burden of the defendant's contrary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Here what I am confronted with in the plaintiff's evidence are really two theories, Dr. Poser's and Dr. Lehrer's. Dr. Poser's theory involves the breakdown of the BBB as an obligatory step in MS symptom onset or exacerbation and a breakdown of the BBB as a consequence of some CNS trauma, allowing conditions conducive to an MS attack to take place. Dr. Lehrer ultimately eschewed the breakdown of the BBB as an obligatory step in the process, but relied on evidence that trauma can cause the release of cytokines on the brain side of the BBB and cytokines are known to be involved in an MS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Of the two theories, I am not satisfied that Dr. Lehrer's theory meets the criteria for admissibility. It is a theory that seems to have developed in part almost </w:t>
      </w:r>
      <w:r>
        <w:rPr>
          <w:rFonts w:ascii="arial" w:eastAsia="arial" w:hAnsi="arial" w:cs="arial"/>
          <w:i/>
          <w:color w:val="000000"/>
          <w:sz w:val="20"/>
          <w:lang w:val="en-US" w:eastAsia="en-US" w:bidi="ar-SA"/>
        </w:rPr>
        <w:t>ex improviso</w:t>
      </w:r>
      <w:r>
        <w:rPr>
          <w:rFonts w:ascii="arial" w:eastAsia="arial" w:hAnsi="arial" w:cs="arial"/>
          <w:color w:val="000000"/>
          <w:sz w:val="20"/>
          <w:lang w:val="en-US" w:eastAsia="en-US" w:bidi="ar-SA"/>
        </w:rPr>
        <w:t xml:space="preserve"> in response to the defendants' experts' reports and it does not incorporate any explanation linking the release of cytokines causally to the cascade of events said to be necessary to enact an MS attack. Dr. Lehrer expressed his opinion in terms of uncertainty, noting the theory that trauma could release lymphokines and cytokines on the brain side of the BBB is not something that anyone could answer "at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Dr. Lehrer has never presented his hypothesis as to the effect of the release of lymphokines and cytokines in the onset or exacerbation of MS symptoms in any article about the relationship of trauma to MS in any journal, text, or peer reviewed publication. Although he set forth his theory in a letter to Neurology in response to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he has not responded to the refutation written by Dr. Goodin on behalf of the </w:t>
      </w:r>
      <w:r>
        <w:rPr>
          <w:rFonts w:ascii="arial" w:eastAsia="arial" w:hAnsi="arial" w:cs="arial"/>
          <w:b/>
          <w:i/>
          <w:color w:val="000000"/>
          <w:sz w:val="20"/>
          <w:lang w:val="en-US" w:eastAsia="en-US" w:bidi="ar-SA"/>
        </w:rPr>
        <w:t>AAN Article</w:t>
      </w:r>
      <w:r>
        <w:rPr>
          <w:rFonts w:ascii="arial" w:eastAsia="arial" w:hAnsi="arial" w:cs="arial"/>
          <w:color w:val="000000"/>
          <w:sz w:val="20"/>
          <w:lang w:val="en-US" w:eastAsia="en-US" w:bidi="ar-SA"/>
        </w:rPr>
        <w:t xml:space="preserve"> authors. Dr. Goodin wrote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letter from Dr. Lehrer is, in essence, a simple compilation of disconnected facts and unsupported assertions. For example, Dr. Lehrer states that cytokines are "universally accepted as participants of MS exacerbation". This is simply untrue. Even among researchers who favour a primary role for cytokines in the pathogenesis of MS, there is little agreement about which specific molecules are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Similarly, in his report of May 4, 2005, responding to Dr. Lehrer's theory that "pro-inflammatory cytokines ... are secreted by activated TH-1 (attack) t-cells are probably important in MS pathogenesis", Dr. Goodin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true, although it is unclear whether these cytokines are either necessary or sufficient to cause an MS attack and if so, which ones. ... We cannot get at the question from animal models which bear an uncertain relationship to the human illness 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my view, Dr. Lehrer's opinion simply doesn't ascend to any level of certainty. Dr. Goodin's analysis of Dr. Lehrer's evidence and theory illustrates its logical frailty and lack of coherence. Dr. Lehrer's own reservations and diffidence in presenting it reveals its inherent uncertainty. Dr. Lehrer's theory does not meet the test of threshold reliability and the evidence in support of it is not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Dr. Poser's theory, subscribed to by Dr. Kastrukoff, is part of a larger more general theory that trauma is causally connected to MS, developed initially through clinical experience and subsequently through epidemiological studies and a variety of animal autopsy and MRI studies. What Dr. Poser's theory does is provide a biological mechanism to tie together those studies said to associate trauma and MS onset or exacerbation.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plausibility of the mechanism advanced by Dr. Poser is of considerable significance in determining the admissibility of his theory and the evidence in support of it. If the theory remains plausible, it would be difficult to rule it or the evidence indirectly supporting it unworthy of consideration by a finder of fact. If the theory is implausible, then it renders evidence said to be supportive of it without coherence.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On the face of things, the </w:t>
      </w:r>
      <w:r>
        <w:rPr>
          <w:rFonts w:ascii="arial" w:eastAsia="arial" w:hAnsi="arial" w:cs="arial"/>
          <w:b/>
          <w:i/>
          <w:color w:val="000000"/>
          <w:sz w:val="20"/>
          <w:lang w:val="en-US" w:eastAsia="en-US" w:bidi="ar-SA"/>
        </w:rPr>
        <w:t>Filippi Study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Werring Study</w:t>
      </w:r>
      <w:r>
        <w:rPr>
          <w:rFonts w:ascii="arial" w:eastAsia="arial" w:hAnsi="arial" w:cs="arial"/>
          <w:color w:val="000000"/>
          <w:sz w:val="20"/>
          <w:lang w:val="en-US" w:eastAsia="en-US" w:bidi="ar-SA"/>
        </w:rPr>
        <w:t xml:space="preserve"> raise the prospect that the biological plausibility of Dr. Poser's mechanism providing a logical link between trauma and MS may be an artefact of the past with no present currency. However, the acknowledgement by those authors of the respective limitations of their studies and the acceptance by the </w:t>
      </w:r>
      <w:r>
        <w:rPr>
          <w:rFonts w:ascii="arial" w:eastAsia="arial" w:hAnsi="arial" w:cs="arial"/>
          <w:b/>
          <w:i/>
          <w:color w:val="000000"/>
          <w:sz w:val="20"/>
          <w:lang w:val="en-US" w:eastAsia="en-US" w:bidi="ar-SA"/>
        </w:rPr>
        <w:t>Werring Study</w:t>
      </w:r>
      <w:r>
        <w:rPr>
          <w:rFonts w:ascii="arial" w:eastAsia="arial" w:hAnsi="arial" w:cs="arial"/>
          <w:color w:val="000000"/>
          <w:sz w:val="20"/>
          <w:lang w:val="en-US" w:eastAsia="en-US" w:bidi="ar-SA"/>
        </w:rPr>
        <w:t xml:space="preserve"> of the possibility of either an initiating disruption of the BBB not detectable by enhanced MRI, or two separate processes in the pathogenesis of the disease, one of which is initiated by a disruption of the BBB detectable by a gadolinium enhanced MRI reduces their impact on the plausibility of the theory advanced by the plaintiff. The </w:t>
      </w:r>
      <w:r>
        <w:rPr>
          <w:rFonts w:ascii="arial" w:eastAsia="arial" w:hAnsi="arial" w:cs="arial"/>
          <w:b/>
          <w:i/>
          <w:color w:val="000000"/>
          <w:sz w:val="20"/>
          <w:lang w:val="en-US" w:eastAsia="en-US" w:bidi="ar-SA"/>
        </w:rPr>
        <w:t>Werring Study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Filippi Study</w:t>
      </w:r>
      <w:r>
        <w:rPr>
          <w:rFonts w:ascii="arial" w:eastAsia="arial" w:hAnsi="arial" w:cs="arial"/>
          <w:color w:val="000000"/>
          <w:sz w:val="20"/>
          <w:lang w:val="en-US" w:eastAsia="en-US" w:bidi="ar-SA"/>
        </w:rPr>
        <w:t xml:space="preserve"> are suggestive of a process at work which is at odds with Dr. Poser's mechanism, but they do not establish such a process to the exclusion of the mechanism advanced by Dr. Poser and they recognize that other studies exist that counter or condition what is suggested by their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Of course the presence of a plausible theory for a cause and effect relationship does not establish such a relationship any more than the presence of a plausible method for building a house establishes the existence of the house. Some evidence must exist that is capable of supporting the existence of the relationship above and beyond its mere plausibility before consideration can be given to the process of determining that ultimate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Here the defendants assert that the plaintiff's evidence, particularly in light of the epidemiological studies, is not capable of adding substance to the plausibility of the plaintiff's theory. The defendants say that because of the inherent weakness of clinical experience, the uncertainty of the associations established in the </w:t>
      </w:r>
      <w:r>
        <w:rPr>
          <w:rFonts w:ascii="arial" w:eastAsia="arial" w:hAnsi="arial" w:cs="arial"/>
          <w:b/>
          <w:i/>
          <w:color w:val="000000"/>
          <w:sz w:val="20"/>
          <w:lang w:val="en-US" w:eastAsia="en-US" w:bidi="ar-SA"/>
        </w:rPr>
        <w:t>Oppenheimer Study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Kidd Study</w:t>
      </w:r>
      <w:r>
        <w:rPr>
          <w:rFonts w:ascii="arial" w:eastAsia="arial" w:hAnsi="arial" w:cs="arial"/>
          <w:color w:val="000000"/>
          <w:sz w:val="20"/>
          <w:lang w:val="en-US" w:eastAsia="en-US" w:bidi="ar-SA"/>
        </w:rPr>
        <w:t xml:space="preserve"> and related studies, the manifest shortcomings of the Gonsette evidence, the inapplicability of the animal studies, and Dr. Poser's alleged bias, tendency to misstate, misinterpret, or overstate the meaning or effect of studies to support his theory, and his overall lack of credibility, I should find no threshold reliability and reject the plaintiff's proposed expert evidence as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The defendants question whether in light of the careful and reasoned judgment of the Lord President in </w:t>
      </w:r>
      <w:r>
        <w:rPr>
          <w:rFonts w:ascii="arial" w:eastAsia="arial" w:hAnsi="arial" w:cs="arial"/>
          <w:b/>
          <w:i/>
          <w:color w:val="000000"/>
          <w:sz w:val="20"/>
          <w:lang w:val="en-US" w:eastAsia="en-US" w:bidi="ar-SA"/>
        </w:rPr>
        <w:t>Dingley</w:t>
      </w:r>
      <w:r>
        <w:rPr>
          <w:rFonts w:ascii="arial" w:eastAsia="arial" w:hAnsi="arial" w:cs="arial"/>
          <w:color w:val="000000"/>
          <w:sz w:val="20"/>
          <w:lang w:val="en-US" w:eastAsia="en-US" w:bidi="ar-SA"/>
        </w:rPr>
        <w:t>, and in light of the fact that even on the plaintiff's theory, in any given case, there is only a small chance that trauma can precipitate an exacerbation, there is no realistic prospect in this case of proving that the plaintiff's MVA has exacerbated her MS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 am not satisfied that what I am confronted with here is a case of threshold unreliability. This is not a case where the plaintiff's theory has never been published in peer review publications, nor subjected to peer criticism or testing. It is not a green, untried, and untested theory, although it is a theory that has lost adherents over time, and with the accumulation of new evidence and new studies, it has attracted opposition from a substantial majority in the relevant scientific community. I accept that that opposition is a telling factor against reliance on this theory, certainly in the medical or scientific field, but also in the courtroom. However, I do not find in that substantial opposition, a basis for concluding that the theory or the evidence relied on in its support is in a legal sense, incapable of being considered by a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evidence amassed in opposition to the plaintiff's theory and her evidence may attenuate her case. Dr. Poser's credibility and his asserted misreliance on studies may compromise it. The logic flowing from a theory espousing a low risk of MS from the cause being asserted as compared to other causes, and the high likelihood of coincidence of trauma and exacerbation, may undermine the case. But, there remains a theoretical and evidentiary base for its consideration by a trier of fact. The issues raised by the defendant's objections and evidence ultimately require consideration, understanding, comparison, analysis, and conclusion concerning contradictory evidence and competing opinions. That is the subject matter of ultimate, not threshold, reliability. Accordingly, I would admit the evidence of the plaintiff's expert's theory and the evidence in support of it, save for Dr. Lehrer's theory and the evidence supporting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In connection with the plaintiff's objection to the defendants' evidence, I am similarly minded. While the plaintiff's objections to the relevance of the studies and their methodologies go to the manner in which they can be used, and the weight to be affixed to them, I do not see in the plaintiff's attack on them a basis for concluding that the studies are irrelevant or unreliable in the sense contemplated by </w:t>
      </w:r>
      <w:r>
        <w:rPr>
          <w:rFonts w:ascii="arial" w:eastAsia="arial" w:hAnsi="arial" w:cs="arial"/>
          <w:b/>
          <w:i/>
          <w:color w:val="000000"/>
          <w:sz w:val="20"/>
          <w:lang w:val="en-US" w:eastAsia="en-US" w:bidi="ar-SA"/>
        </w:rPr>
        <w:t>Mohan</w:t>
      </w:r>
      <w:r>
        <w:rPr>
          <w:rFonts w:ascii="arial" w:eastAsia="arial" w:hAnsi="arial" w:cs="arial"/>
          <w:color w:val="000000"/>
          <w:sz w:val="20"/>
          <w:lang w:val="en-US" w:eastAsia="en-US" w:bidi="ar-SA"/>
        </w:rPr>
        <w:t xml:space="preserve">. Clearly the defendants' studies have some relevance in establishing that within their power to detect there is no discernible association between trauma and MS. That is evidence that would assist a trier of fact in drawing some conclusion about the existence of such an association and as well, about the extent of the risk to an MS sufferer involved in an accident that he or she will have an exacerbation. The other issues relating to the reliability of the studies to reveal what they purport to have revealed, go to the weight to be assigned to the studies, not their admissibility. The scope and meaning of the studies are for the trial, not for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I accordingly would rule the evidence of the defendants which was impugned by the plaintiffs admissible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CULLEN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February 21,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 on the face of the judgment, counsel appearing shall be amended as shown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R.D. Naime, R.S. Watts.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for the defendants: R.K. Hartshorne, K.G. Mehl.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page 66, paragraph 176 will now read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methodology of the </w:t>
      </w:r>
      <w:r>
        <w:rPr>
          <w:rFonts w:ascii="arial" w:eastAsia="arial" w:hAnsi="arial" w:cs="arial"/>
          <w:b/>
          <w:i/>
          <w:color w:val="000000"/>
          <w:sz w:val="20"/>
          <w:lang w:val="en-US" w:eastAsia="en-US" w:bidi="ar-SA"/>
        </w:rPr>
        <w:t>Goldacre Study</w:t>
      </w:r>
      <w:r>
        <w:rPr>
          <w:rFonts w:ascii="arial" w:eastAsia="arial" w:hAnsi="arial" w:cs="arial"/>
          <w:color w:val="000000"/>
          <w:sz w:val="20"/>
          <w:lang w:val="en-US" w:eastAsia="en-US" w:bidi="ar-SA"/>
        </w:rPr>
        <w:t xml:space="preserve"> was described by plaintiff's counsel as deeply flawed. The plaintiff contends that the fact that the study data was based merely on "brief statistical abstracts" of hospital records (which would contain little or no detailed information) produces several critical problems:</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study makes no systematic differentiation between mild and serious head injuries; given that the only injuries caught by the study were those that resulted in hospitalization.</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study relies on data from linked death records. Typically, however, MS would be under-reported on death certificates, as it is rarely a direct cause of death. Dr. Ebers admitted that death certificates involving MS patients may make no mention of MS where the primary cause of death was something else.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substantial number of head-injured patients would never seek treatment for their injuries, further undermining the reliability of the collected data in both the Goldacre and Siva studies.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1"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Van Etten v. British Columbia (Provincial Health Officer), [2007] B.C.J. No. 1415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23 and June 19,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S064880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1415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931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159 A.C.W.S. (3d) 747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Bernardus Jacobus Van Etten, Plaintiff, and Provincial Health Officer, Services, Fraser Health Authority, Work Safe BC, Mission Memorial Hospital, Louis Enterprises Ltd., Dr. P.K. Sidhu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2"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2" w:name="Keywords_15"/>
      <w:bookmarkEnd w:id="102"/>
      <w:r>
        <w:rPr>
          <w:rFonts w:ascii="arial" w:eastAsia="arial" w:hAnsi="arial" w:cs="arial"/>
          <w:b/>
          <w:color w:val="000000"/>
          <w:sz w:val="20"/>
          <w:lang w:val="en-US" w:eastAsia="en-US" w:bidi="ar-SA"/>
        </w:rPr>
        <w:t>Limitation of actions — Extension, suspension and inapplicability of limitation periods — Disability — Application by the defendants for dismissal of the plaintiff's claim allowed — The plaintiff was surgically treated by the defendants in 2002 — The action was commenced in 2006 — The plaintiff claimed postponement of the limitation period on the basis that he was suffering a disability — The court dismissed the action — It was not established that the plaintiff was incapable of managing his affairs during the running of the limitation period — There was evidence showing the plaintiff pursuing legal interests in unrelated proceedings during the relevant time — Limitation Act, s. 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Limitation of actions — Jurisdiction — British Columbia — Application by the defendants for dismissal of the plaintiff's claim allowed — The plaintiff was surgically treated by the defendants in 2002 — The action was commenced in 2006 — The plaintiff claimed postponement of the limitation period on the basis that he was suffering a disability — The court dismissed the action — It was not established that the plaintiff was incapable of managing his affairs during the running of the limitation period — There was evidence showing the plaintiff pursuing legal interests in unrelated proceedings during the relevant time — Limitation Act, s. 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Limitation of actions — Topics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the defendants for dismissal of the plaintiff's claim allowed — The plaintiff was surgically treated by the defendants in 2002 — The action was commenced in 2006 — The plaintiff claimed postponement of the limitation period on the basis that he was suffering a disability — The court dismissed the action — It was not established that the plaintiff was incapable of managing his affairs during the running of the limitation period — There was evidence showing the plaintiff pursuing legal interests in unrelated proceedings during the relevant time — Limitation Act, s. 7.</w:t>
      </w:r>
    </w:p>
    <w:p>
      <w:pPr>
        <w:jc w:val="both"/>
        <w:rPr>
          <w:rFonts w:ascii="arial" w:eastAsia="arial" w:hAnsi="arial" w:cs="arial"/>
          <w:sz w:val="20"/>
          <w:lang w:val="en-US" w:eastAsia="en-US" w:bidi="ar-SA"/>
        </w:rPr>
      </w:pPr>
      <w:bookmarkStart w:id="103" w:name="Legislation Cited_10"/>
      <w:bookmarkEnd w:id="1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3"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 266, s. 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4" w:name="Counsel_15"/>
      <w:bookmarkEnd w:id="10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4"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 Person: B. Van Etten.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P.K. Sidhu Inc.: D.W. Pilley.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Fraser Health Authority &amp; Mission Memorial Hospital: J.D. Ankenman.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5" w:name="Judgment_15"/>
      <w:bookmarkEnd w:id="105"/>
      <w:r>
        <w:pict>
          <v:line id="_x0000_s1105" style="position:absolute;z-index:2518282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6" w:name="KELLEHER J."/>
            <w:bookmarkEnd w:id="106"/>
            <w:r>
              <w:rPr>
                <w:rFonts w:ascii="arial" w:eastAsia="arial" w:hAnsi="arial" w:cs="arial"/>
                <w:b/>
                <w:color w:val="000000"/>
                <w:sz w:val="30"/>
                <w:lang w:val="en-US" w:eastAsia="en-US" w:bidi="ar-SA"/>
              </w:rPr>
              <w:t>KELLEHER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defendants, Dr. P.K. Sidhu Inc., Mission Memorial Hospital and Fraser Health Authority for dismissal of the plaintiff's claim against them. These defendants assert that the plaintiff's claim is outside the two year limitation period found in the , </w:t>
      </w:r>
      <w:hyperlink r:id="rId204"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 April 23, 2007, the matter came before me. I rejected Mr. Van Etten's assertion that s. 6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was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 adjourned the matter at that point. The court told Mr. Van Etten that s. 7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may provide a basis for extending the time limit. The relevant parts of s. 7 are ss. 7(1), (2) and (9).</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section,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is under a disability while the person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 minor,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fact incapable of or substantially impeded in managing his or her affairs,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"guardian" means a parent or guardian who has actual care and control of a minor or a committee appointed under the </w:t>
      </w:r>
      <w:r>
        <w:rPr>
          <w:rFonts w:ascii="arial" w:eastAsia="arial" w:hAnsi="arial" w:cs="arial"/>
          <w:i/>
          <w:color w:val="000000"/>
          <w:sz w:val="20"/>
          <w:lang w:val="en-US" w:eastAsia="en-US" w:bidi="ar-SA"/>
        </w:rPr>
        <w:t>Patients Property Act.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at the time the right to bring an action arises, a person is under a disability, the running of time with respect to a limitation period set by this Act is postponed so long as that person is under a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onus of proving that the running of time has been postponed or suspended under this section is on the person claiming the benefit of the postponement or suspension.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matter was adjourned in order to permit Mr. Van Etten to obtain medical evidence that he was under a disability, that is, incapable of or substantially impeded in managing his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April 27, 2007, counsel for Dr. P.K. Sidhu Inc. (D.W. Pilley) wrote to Mr. Van Etten. The part relevant to this application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 Van Etten: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writing further to our appearance before Mr. Justice Kelleher, on April 23,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submit that there must be medical evidence that describes the nature of any medical or psychiatric problems you have had and the specific reason those problems made you incapable of, or substantially impeded in, managing your own affairs during the period from December 4, 2002 to July 20, 2004. It will be my submission that it will be insufficient to establish that you were unemployable during that period of time because the capacity necessary for employment is far higher than the capacity necessary to manage one's own affairs.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will also submit that in evaluating any evidence you provide, Mr. Justice Kelleher consider the four factors described in </w:t>
      </w:r>
      <w:r>
        <w:rPr>
          <w:rFonts w:ascii="arial" w:eastAsia="arial" w:hAnsi="arial" w:cs="arial"/>
          <w:i/>
          <w:color w:val="000000"/>
          <w:sz w:val="20"/>
          <w:lang w:val="en-US" w:eastAsia="en-US" w:bidi="ar-SA"/>
        </w:rPr>
        <w:t>Wirtanen v. British Columbia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Cowen v. Grey</w:t>
      </w:r>
      <w:r>
        <w:rPr>
          <w:rFonts w:ascii="arial" w:eastAsia="arial" w:hAnsi="arial" w:cs="arial"/>
          <w:color w:val="000000"/>
          <w:sz w:val="20"/>
          <w:lang w:val="en-US" w:eastAsia="en-US" w:bidi="ar-SA"/>
        </w:rPr>
        <w:t xml:space="preserve">. These cases can be found at tabs 5 and 3 of the Brief of Authorities. The four factors are described at pages 342 and 343 of the </w:t>
      </w:r>
      <w:r>
        <w:rPr>
          <w:rFonts w:ascii="arial" w:eastAsia="arial" w:hAnsi="arial" w:cs="arial"/>
          <w:i/>
          <w:color w:val="000000"/>
          <w:sz w:val="20"/>
          <w:lang w:val="en-US" w:eastAsia="en-US" w:bidi="ar-SA"/>
        </w:rPr>
        <w:t>Wirtanen</w:t>
      </w:r>
      <w:r>
        <w:rPr>
          <w:rFonts w:ascii="arial" w:eastAsia="arial" w:hAnsi="arial" w:cs="arial"/>
          <w:color w:val="000000"/>
          <w:sz w:val="20"/>
          <w:lang w:val="en-US" w:eastAsia="en-US" w:bidi="ar-SA"/>
        </w:rPr>
        <w:t xml:space="preserve"> decision and at page 5 of the </w:t>
      </w:r>
      <w:r>
        <w:rPr>
          <w:rFonts w:ascii="arial" w:eastAsia="arial" w:hAnsi="arial" w:cs="arial"/>
          <w:i/>
          <w:color w:val="000000"/>
          <w:sz w:val="20"/>
          <w:lang w:val="en-US" w:eastAsia="en-US" w:bidi="ar-SA"/>
        </w:rPr>
        <w:t>Cowen</w:t>
      </w:r>
      <w:r>
        <w:rPr>
          <w:rFonts w:ascii="arial" w:eastAsia="arial" w:hAnsi="arial" w:cs="arial"/>
          <w:color w:val="000000"/>
          <w:sz w:val="20"/>
          <w:lang w:val="en-US" w:eastAsia="en-US" w:bidi="ar-SA"/>
        </w:rPr>
        <w:t xml:space="preserve"> decision. Once again, so there is no misunderstanding, it is my position that a bald assertion by a medical doctor that you are disabled, or were disabled, will not be sufficient to establish a postponement in the absence of a specific consideration of your ability to manage your own affairs and of the four factors described in these to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it will be my submission that any additional evidence you present must address your activities during 2003. Specifically, the evidence indicates that you commenced a Small Claims Court action against your former employer on December 9, 2003 and that you wrote letters with respect to your workers' compensation claim on January 30, 2003 and April 23, 2003. You also wrote a letter to the RCMP on June 7, 2003 and requested copies of the CRESST records, some time in late May of 2003. I will submit that these are actions of someone who is capable of, and not impeded in, the management of his own affairs and any additional evidence you have should address these items specifically to explain why you were capable of doing these things, but incapable or impeded in commencing the current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 David W. Pilley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events that led Mr. Van Etten to bring this action happened in November and December 2002. The applicable limitation period was two years. The proceeding was commenced on July 31, 2006, more than three and one-half years after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action arises from events which occurred November 26 - 29, 2002 at Mission Memorial Hospital and November 30 - December 4, 2002 at the CRESST Facility operated by the defendant Fraser Health Authority. Dr. Sidhu saw Mr. Van Etten on two occasions, December 2 and 4,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Factors which the court may consider in determining whether Mr. Van Etten was disabled under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include:</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cognizant of the facts giving rise to the cause of action.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understands the nature and purpose of proceedings including the role of judge, jury and counsel.</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comprehends the personal import of the proceedings. That is, whether he is able to form a rational judgement about the effect of the action on his interests.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able to comprehend legal advice being given to him and able to instruct counsel and make critical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b/>
          <w:i/>
          <w:color w:val="000000"/>
          <w:sz w:val="20"/>
          <w:lang w:val="en-US" w:eastAsia="en-US" w:bidi="ar-SA"/>
        </w:rPr>
        <w:t>Wirtanen v. British Columbia</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(1994), 98 B.C.L.R. (2d) 335</w:t>
        </w:r>
      </w:hyperlink>
      <w:r>
        <w:rPr>
          <w:rFonts w:ascii="arial" w:eastAsia="arial" w:hAnsi="arial" w:cs="arial"/>
          <w:color w:val="000000"/>
          <w:sz w:val="20"/>
          <w:lang w:val="en-US" w:eastAsia="en-US" w:bidi="ar-SA"/>
        </w:rPr>
        <w:t xml:space="preserve"> at para. 20 (S.C.); </w:t>
      </w:r>
      <w:r>
        <w:rPr>
          <w:rFonts w:ascii="arial" w:eastAsia="arial" w:hAnsi="arial" w:cs="arial"/>
          <w:b/>
          <w:i/>
          <w:color w:val="000000"/>
          <w:sz w:val="20"/>
          <w:lang w:val="en-US" w:eastAsia="en-US" w:bidi="ar-SA"/>
        </w:rPr>
        <w:t>Cowen v. Gray</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2001 BCSC 487</w:t>
        </w:r>
      </w:hyperlink>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Section 7(9)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places the onus of establishing that the running of time has been postponed on the person claiming the benefit of the postponement, that is, Mr. Van Etten. In this case, other than making an assertion that he is a person suffering a disability, Mr. Van Etten has not provided any evidence to the court which would establish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To the contrary, there is evidence showing that the plaintiff was pursuing his interests in a legal setting at the relevant time. For example, on December 9, 2003, he commenced an action against a former employer, Louis &amp; Tina Enterprises Ltd. On January 30, 2003, he pursued a Workers' Compensation Board claim. On June 7, 2003, Mr. Van Etten wrote a letter to the Royal Canadian Mounted Police with concerns about his former employer. On May 20, 2003, he requested copies of the records in the possession of CRESST.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only evidence presented by Mr. Van Etten were two affidavits attaching health and other records over the last few years. There is one reference to "disability". That is an excerpt from a decision of the Workers' Compensation Appeal Tribunal which is undated. The single page which is excerpted as an exhibit to Mr. Van Etten's affidavit makes reference to a Dr. Allen who provided in later 2003, a diagnosis of obsessive compulsive disorder, parapsychosis and post traumatic stress syndrome. The decision includes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Allen said that when he saw [Mr. Van Etten] that day he seemed more relaxed but still quite intense and almost obsessive about his diabetes. He described the worker as still quite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While it is impossible to know with certainty the context of this excerpt, the jurisdiction of the Workers' Compensation Appeal Tribunal concerns disability from employment. This hearsay reference to a diagnosis of Dr. Allen does not constitute admissible evidence. As well, even if it were admissible, it does not establish that the plaintiff was "incapable of or substantially impeded in managing his or her affairs" (s. 7(1)(a)(ii)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difficulty in this case is that Mr. Van Etten has not obtained the evidence the court requires to establish disability. The concern of the court is that Mr. Van Etten, from his demeanour and presentation, does not give one confidence that he fully appreciates what he was required to do. However, I conclude that the court has done what it can to explain to Mr. Van Etten what evidence was necessary. Moreover, Mr. Pilley's letter put in clear terms what the court would require. It would be unfair to the defendants to prolong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For these reasons I conclude that the action must be dismissed as against Mission Memorial Hospital, Fraser Health Authority and Dr. P.K. Sidhu Inc. It has not been established that Mr. Van Etten was incapable of managing his affairs during the time that the limitation period was running.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KELLEHER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6"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Wong v. Jang, [2015] B.C.J. No. 1861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 Burke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S084050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1861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1540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Nelly Wong and Hoi To Wong, Plaintiffs, and Kalano Jang, Trillion Financial Corp. doing business as Trillion Financial Group, Billion Financial Corp. doing business as Billion Financial Group, Pham Ngoc Professional Corporation doing business as Minh-Ngoc Pham Law Office, and Erica Minh-Ngoc Pham Thi a.k.a. Minh Ngoc Thi Pham,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7"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7" w:name="Keywords_16"/>
      <w:bookmarkEnd w:id="107"/>
      <w:r>
        <w:rPr>
          <w:rFonts w:ascii="arial" w:eastAsia="arial" w:hAnsi="arial" w:cs="arial"/>
          <w:b/>
          <w:color w:val="000000"/>
          <w:sz w:val="20"/>
          <w:lang w:val="en-US" w:eastAsia="en-US" w:bidi="ar-SA"/>
        </w:rPr>
        <w:t>Contracts — Formation — Acceptance — Communication of — By conduct — Action against law firm for damages for breach of contract allowed — Plaintiffs were advised by Jang, insurance agent and client of defendant Pham, a lawyer, to purchase expensive life insurance policies — To generate income to pay for premiums Jang advised plaintiffs to invest in Pham's law firm — Plaintiffs obtained two loans and invested funds in law firm — Pham stopped paying interest and never repaid principal amount — Pham and law firm contracted with plaintiffs for loans based on her signature and her conduct in performing the terms of the contract.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Breach of contact — Action against law firm for damages for breach of contract allowed — Plaintiffs were advised by Jang, insurance agent and client of defendant Pham, a lawyer, to purchase expensive life insurance policies — To generate income to pay for premiums Jang advised plaintiffs to invest in Pham's law firm — Plaintiffs obtained two loans and invested funds in law firm — Pham stopped paying interest and never repaid principal amount — Damages of $257,279 and $236,213 were awarded — Pham and her law firm were liable for breach of two loan contracts between them and the plaintiffs.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8" w:name="Case Summary_14"/>
            <w:bookmarkEnd w:id="1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against a law firm for damages for breach of contract or for return and restitution of the loans as money had and received. The defendant Pham was a lawyer. The plaintiffs had been advised by Jang, a client of Pham and an insurance agent, to take out life insurance policies to minimize estate taxes. As part of the investment scheme, the plaintiffs obtained large life insurance policies with Transamerica on their lives and on the lives of their two sons. Jang then advised the plaintiffs they needed an investment that would generate sufficient returns to pay the premiums on the insurance policies. The husband borrowed $110,000 from his sister to invest with Pham and the wife borrowed $119,000 from the four insurance policies. After receiving five interest payments based on the two contracts, the payments from the law firm stopped. The plaintiffs were unable to afford the insurance premiums and interest payments. The insurance policies therefore lapsed. As a result, the plaintiffs demanded the return of their principal amounts directly from Pham. No further interest payments were made. The principle of each loan was never repaid. Pham denied the existence of the contracts. Pham was adamant she was not the person who signed these contracts.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9" w:name="Holdings of Court_12"/>
            <w:bookmarkEnd w:id="10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Damages of $257,279 and $236,213 were awarded. Pham and her law firm were liable for breach of two loan contracts between them and the plaintiffs. Pham and her law firm contracted with the plaintiffs for the loans. Pham signed the documents, despite her denial. She was also aware of the contracts between her and the plaintiffs. Her conduct in performing the terms of the contract, which included depositing the bank drafts, making interest payments and not denying their existence when the plaintiffs demanded payment, constituted acceptance of and supported the validity of the contracts. If the monies were not recoverable on the basis of a breach of contract, the law firm and Pham were liable to the plaintiffs for monies had and received. Bank records established the money was received into Pham's bank account. While she pointed to Jang as being the beneficiary of these monies and argued they were not received by her, the reality was they were deposited into her account for which she had responsibility. As Pham and the law firm were both named in the loan agreements, they were jointly and severally liable for the debts.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0" w:name="Counsel_16"/>
      <w:bookmarkEnd w:id="1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8"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 Turner, L. Morrison.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Pham Ngoc Professional Corporation doing business as Minh-Ngoc Pham Law Office, and Erica Minh-Ngoc Pham Thi aka Minh Ngoc Thi Pham: Appearing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Kalano Jang, Trillion Financial Corp. doing business as Trillion Financial Group, and Billion Financial Corp. doing business as Billion Financial Group: No Appearance.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1" w:name="Judgment_16"/>
      <w:bookmarkEnd w:id="111"/>
      <w:r>
        <w:pict>
          <v:line id="_x0000_s1109" style="position:absolute;z-index:2517780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2" w:name="E. BURKE J."/>
            <w:bookmarkEnd w:id="112"/>
            <w:r>
              <w:rPr>
                <w:rFonts w:ascii="arial" w:eastAsia="arial" w:hAnsi="arial" w:cs="arial"/>
                <w:b/>
                <w:color w:val="000000"/>
                <w:sz w:val="30"/>
                <w:lang w:val="en-US" w:eastAsia="en-US" w:bidi="ar-SA"/>
              </w:rPr>
              <w:t>E. BURKE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Nelly and Hoi To Wong brought an action against various parties involved in an alleged fraud by two licensed agents of the defendant Transamerica Life Canada ("Transamerica"); Kalano Jang and Anna Wong, seeking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negligent and fraudulent misrepresentation;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only remaining defendants are Minh Ngoc Pham and her professional corporation, Pham Ngoc Professional Corporation, a law firm. The claims against these defendants are damages for breach of contract; or return and restitution of the loans as money had and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and Mrs. Wong have settled their claims against Transamerica. They had claimed vicarious liability against Transamerica for the actions of Mr. Jang and Ms. Anna Wong during the years 2004 and 2005. During that time, Mr. and Mrs. Wong received financial advice from Mr. Jang and Ms. Anna Wong. In addition, Mr. and Mrs. Wong had claimed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duty of good faith against Transamerica for its dealings with them during that time and after the termination of Transamerica's contract with Mr. Jang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addition, Mr. and Mrs. Wong have settled their claims against Ms. Anna Wong and Mr. Allen Wong and Associates Insurance Agency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Jang and his companies, the defendants Billion Financial Group ("Billion") and Trillion Financial Group ("Trillion"), did not file a defence. Collectively, I will refer to these defendants as the "Jang Defendants." Mr. and Mrs. Wong therefore obtained default judgment against them on August 8, 2008. There is an outstanding issue of the amount of damages attributable to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matter raises four issues:</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Ms. Pham and her law firm liable for breach of two loan contracts between them and the plaintiffs?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 are Ms. Pham and her law firm jointly and severally liable to the plaintiffs in equity for money had and received?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damages are attributable to Ms. Pham and her law firm?</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damages attributable to the Jang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Mrs. Nelly Wong provided much of the background in this matter. As her English is better than that of her husband Mr. Hoi To Wong, she was the individual primarily responsible for the family finances, including reviewing documents for Mr. Hoi To Wong to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2004, Mr. and Mrs. Wong were invited by Ms. Anna Wong, an insurance agent working with Mr. Jang and the wife of Mr. Hoi To Wong's boss, to attend several investment seminars held by Mr. Jang. Mr. Hoi To Wong wished his wife to attend the seminar as well. Mrs. Nelly Wong met Ms. Anna Wong when she invited Mr. Hoi To Wong to that seminar. The couple first met Mr. Jang at this seminar.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and Mrs. Wong were not sophisticated investors nor did either have a university degree or financial education. At the seminar, Mr. Jang represented and introduced himself as an insurance agent of Transamerica. He spoke about providing for the family and pointed to government taxes on assets passed along after death. In order to avoid this, he advised the purchase of life insurance, as the funds would be provided directly to the children. He then introduced an insurance plan from Transamerica, which he indicated provided an investment opportunity which would eventually pay for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and Mrs. Wong attended two seminars, one in Chinese and one in English. When Mrs. Nelly Wong advised Ms. Anna Wong she did not understand the plan as it was explained in Chinese, Ms. Anna Wong invited Mr. and Mrs. Wong to the English seminar.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the second seminar, Mr. and Mrs. Wong were invited to Mr. Jang's office to speak to him privately about the insurance program. Mr. Jang explained the program; money would be invested and eventually pay for itself. It would involve obtaining loans and making interest payments. While Mr. and Mrs. Wong found the investment scheme confusing, they decided to proceed based on Mr. Jang's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a result, in March 2005, Mr. and Mrs. Wong invested $300,000 into Transamerica investment accounts based on this advice. The couple provided power of attorney forms to Mr. Jang, which he used to manipulate the accounts through a Transamerica arrangement with TD Canada Trust to double the amount of their assets. Mr. and Mrs. Wong were provided with "2 for 1 loans" and advised to use the funds to further invest so they could get a better return on their funds. This, ultimately, resulted in a combined investment of $800,000 in segregated funds in Transamerica.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part of the investment scheme, Mr. and Mrs. Wong obtained large life insurance policies with Transamerica on their lives, as well as on the lives of their two sons, Daniel and David Wong. Subsequently, in September 2005, in order to generate returns sufficient to pay the premiums on the insurance policies, Mr. Jang advised Mr. and Mrs. Wong to borrow against the life insurance policies and invest in Ms. Pham's law firm. Mr. Jang assured the couple this was a safe investment as Ms. Pham was a lawyer. The interest payments from Ms. Pham would pay for the premiums on the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Mrs. Nelly Wong was initially reluctant, but Ms. Anna Wong and Mr. Jang persisted in encouraging Mr. and Mrs. Wong to participate in the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a result, on September 1, 2005, Mr. Hoi To Wong borrowed $110,000 from his sister and signed what is alleged to be a contract with Ms. Pham and her law firm to lend $110,000 over three years at 18% annually. A bank draft for $110,000 payable to "Minh Ngoc Pham in trust" was deposited into Ms. Pham's bank account. On November 24, 2005, Mrs. Nelly Wong also lent $119,000 for one year at 12% annually, to the same law firm with monies borrowed from each of the four insurance policies, as per a document and advice from Mr. Jang. This was renewed on November 24,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early to mid-2007, after receiving five interest payments based on the two contracts, the payments from the law firm stopped. As a result, Mr. and Mrs. Wong demanded the return of their principal amounts directly from Ms. Pham. While one more interest payment arrived, three months late, despite further demands from Mr. and Mrs. Wong, no further interest payments were made. The principle of each loan was never repaid.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Essentially, as part of this scheme, Mr. and Mrs. Wong lost a portion of the $300,000 line of credit utilized to initially combine to the scheme; the premium payments paid on the insurance policies and the money loaned plus interest to Ms. Pham and her law firm.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1: Are Minh Ngoc Pham and her law firm liable for breach of two loan contracts between them and the plaintiffs?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question essentially is whether a contract existed between Mr. and Mrs. Wong and Ms. Pham and her law firm. If so, was it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 legally enforceable contract must have three components; offer, acceptance, and consideration. In the absence of the signed contract, acceptance can be implied by conduct: </w:t>
      </w:r>
      <w:r>
        <w:rPr>
          <w:rFonts w:ascii="arial" w:eastAsia="arial" w:hAnsi="arial" w:cs="arial"/>
          <w:i/>
          <w:color w:val="000000"/>
          <w:sz w:val="20"/>
          <w:lang w:val="en-US" w:eastAsia="en-US" w:bidi="ar-SA"/>
        </w:rPr>
        <w:t>Timberwolf Log Trading Co. Ltd. v. Columbia National Investments Ltd.</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2011 BCSC 864</w:t>
        </w:r>
      </w:hyperlink>
      <w:r>
        <w:rPr>
          <w:rFonts w:ascii="arial" w:eastAsia="arial" w:hAnsi="arial" w:cs="arial"/>
          <w:color w:val="000000"/>
          <w:sz w:val="20"/>
          <w:lang w:val="en-US" w:eastAsia="en-US" w:bidi="ar-SA"/>
        </w:rPr>
        <w:t xml:space="preserve"> at para. 63. The test of whether the conduct constitutes an acceptance of an offer is objective. The intention will be construed from what his or her conduct reasonably bears.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If a party alleges a signature is a forgery, expert evidence is required: </w:t>
      </w:r>
      <w:r>
        <w:rPr>
          <w:rFonts w:ascii="arial" w:eastAsia="arial" w:hAnsi="arial" w:cs="arial"/>
          <w:i/>
          <w:color w:val="000000"/>
          <w:sz w:val="20"/>
          <w:lang w:val="en-US" w:eastAsia="en-US" w:bidi="ar-SA"/>
        </w:rPr>
        <w:t>Jassar v. Kim</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2009 BCSC 782</w:t>
        </w:r>
      </w:hyperlink>
      <w:r>
        <w:rPr>
          <w:rFonts w:ascii="arial" w:eastAsia="arial" w:hAnsi="arial" w:cs="arial"/>
          <w:color w:val="000000"/>
          <w:sz w:val="20"/>
          <w:lang w:val="en-US" w:eastAsia="en-US" w:bidi="ar-SA"/>
        </w:rPr>
        <w:t xml:space="preserve"> at para. 16.</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matter must be decided on the basis of the evidence presented. While Ms. Pham has denied the existence of the contracts and outlined a complex series of events to support her position, there is very little evidence, other than her testimony, to support her denials. It is therefore difficult to accept propositions critical to her position and I have not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have concluded, as argued by Mr. and Mrs. Wong, that Ms. Pham and her law firm contracted with Mr. and Mrs. Wong for the loans. Much was made of whether the signature of Ms. Pham was on the contracts received by Mr. and Mrs. Wong. I am satisfied Ms. Pham's signature is present on the contracts. I am also of the view, based on a number of factors including Ms. Pham's extensive history with Mr. Jang, that she was aware of the contracts between her and Mr. and Mrs. Wong. More importantly, her conduct in performing the terms of the contract, which included depositing the bank drafts, making interest payments and not denying their existence when the plaintiffs demanded payment, constituted acceptance of and supports the validity of the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following are my reasons for these conclusions.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Relevant Facts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2005, after a series of deposits into the investment scheme created by Mr. Jang, Mr. Jang advised the plaintiffs they needed an investment that would generate sufficient returns to pay the premiums on insurance policies. The insurance policies which Mr. and Mrs. Wong had obtained from Transamerica were in the amount of $1 million for each of the parents and the two children Daniel and David. Mrs. Nelly Wong was the owner of her insurance policy and David's insurance policy. Mr. Hoi To Wong was the owner of his insurance policy and Daniel's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Premiums were paid on these various policies to the amount of $7,750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per Mr. Jang's instructions, amongst other transactions, Mr. and Mrs. Wong made lump sum payments in October 2005 of $27,000 and $26,000, respectively, on the policies of Daniel and David Wong. The purpose of this was to allow Mr. and Mrs. Wong to borrow money from their insurance policies to fund further investments which would then pay for further lump sum payments on the insurance policies in the following two years. After three years, the insurance policies would be fully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Jang advised the plaintiffs they needed an investment that would generate sufficient returns to pay the premiums on the insurance policies. His suggestion was to invest in Ms. Pham's law firm, as this was a safe investment because she was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Hoi To Wong borrowed $110,000 from this sister, which he then used to invest with Ms. Pham. Mr. Jang advised Mr. and Mrs. Wong that Ms. Pham would pay a higher interest than the bank and so it would be a better investment. The interest payments would then pay for the premiums of the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September 1, 2005, Mr. Hoi To Wong provided a bank draft for $110,000 payable to "Minh Ngoc Pham in trust", after he had signed a contract with Ms. Pham. These monies were deposited into Ms. Pham's bank account. Mr. and Mrs. Wong received a copy of the document, indicating a three-year return at an annual interest rate of 18%. The document reflected Ms. Pham's signature, above a notation as "witness". That document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LENDER'S REQUISITION AND DIRECTION</w:t>
      </w:r>
    </w:p>
    <w:p>
      <w:pPr>
        <w:spacing w:before="120" w:line="260" w:lineRule="atLeast"/>
        <w:rPr>
          <w:rFonts w:ascii="arial" w:eastAsia="arial" w:hAnsi="arial" w:cs="arial"/>
          <w:sz w:val="20"/>
          <w:lang w:val="en-US" w:eastAsia="en-US" w:bidi="ar-SA"/>
        </w:rPr>
      </w:pPr>
      <w:r>
        <w:pict>
          <v:shape id="_x0000_i1110" type="#_x0000_t75" style="width:368.25pt;height:447.75pt">
            <v:imagedata r:id="rId316"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Pham testified she is referred to as Erica Pham; although that is not her legal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and Mrs. Wong received this document initially from Mr. Jang. At that time, the document was unsigned. The document was then signed by Mr. Hoi To Wong and was handed to Mr. Jang with a draft cheque in the amount of $110,000. Mr. Hoi To Wong then received a copy with Ms. Pham's signature as set out above, from Mr. Jang or Ms. Anna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Later that fall, on November 24, 2005, Mrs. Nelly Wong also invested $119,000, borrowed from the insurance policies under a contract with Ms. Pham for a one-year term. She executed a similar document given to her by Mr. Jang and provided a bank draft of $119,000 made out to Ms. Pham. Mrs. Nelly Wong handed the document along with the cheque for $119,000 to Mr. Jang and Ms. Anna Wong. The $119,000 was again deposited into Ms. Pham's bank account. Mrs. Nelly Wong then received a copy of the contract from Mr. Jang with Ms. Pham's signature affixed after the funds had been 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March 1, 2006, September 1, 2006, and March 1, 2007, Mr. Hoi To Wong received cheques of $9,900, each signed by Minh Ngoc Pham, Barrister &amp; Solicitor, which also set out her business address as 123 Commerce Valley Drive East, #300, Thornhill, Ontario. The March 2007 cheque listed the suite number as #333. The cheques also reflected her phone and fax numbers. These were interest payments on Mr. Hoi To Wong's loan of $110,000, as per the agreement reflected in the signed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 cheque of $9,900, dated December 1, 2007, was also received from Ms. Pham, reflecting the same information, with the exception the business address was changed to an address in Mississauga, Ontario. The notation "interest payment" was made on this cheque and the March 1, 2007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May 24, 2006 and November 24, 2006, Mrs. Nelly Wong received similar cheques of $7,100 respectively, from Ms. Pham. These cheques she took to be the interest payments on the loan, as reflected in the notation "interest payment" on the November 24, 2006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document at issue is again headed with the name and address of Ms. Pham's law office in Thornhill, Ontario. It reflects an amount to be invested to the law office by the lender, Mrs. Nelly Wong at 12% annually -- 10% payout every six months. The same loan conditions and guarantee are included in this document. The document is dated November 24, 2005 and the signature of Ms. Pham again appears on the left-hand side of the document above the notation of witness. Ms. Pham's name is printed adjacent to that notation. On the bottom-right portion of the document is Mrs. Nelly Wong's signature. Below that is the notation "lender" and the name typed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and Mrs. Wong continued to receive advice from Mr. Jang and Ms. Anna Wong. As Mrs. Nelly Wong had received the interest payments for the first year in her contract, she renewed the contract with Ms. Pham for another year on the advice of Ms. Anna Wong in November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Mrs. Wong therefore signed a similar document on November 24, 2006. This does not, however, have a name as witness on the left-hand portion of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During the course of these events, Mr. and Mrs. Wong continued to use their own funds to pay the premiums for the insurance policies and interest on the insurance policy loans. In 2006, they paid $10,800 in premiums on all four insurance policies, and $21,490.17 in interest payments on the loans from all four insurance policies in 2006 and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September 2007, when the payments on the loan of $110,000 did not arrive, Mrs. Nelly Wong called Ms. Pham to demand the return of her money. Ms. Pham did not deny the existence of the contracts. She asked Mrs. Nelly Wong to provide her with copies of the contracts. On December 3, 2007, Mrs. Nelly Wong sent copies of the contracts and a written demand for repayment by fax to Ms. Pham's office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Pham,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is our demand for payment and documents attached.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relied on the fact that you were a lawyer when we sent you our money because we believe lawyers are expected to be financially responsible and pay their debts.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understand that it's a breach of lawyer's ethics to take monies in trust in this manner. Therefore, we would like to hear from you by Friday, December 7, or we may need to take further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By fax:</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Ming Ngoc Pham Law Office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Thornhill, Ontario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Dear Ms. Pham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 Demand for Payment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writing to ask for repayment of the principal and accrued interest on the $119,000 investment guaranteed by your law firm (Lender's requisition attached). The investment matured on November 24.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Further, in view of your failure to make timely interest payments on the $110,000 loan in the name of my husband, Hoi To Wong (Lender's requisition attached), we want the immediate repayment of this amount as well (principal and interest).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Nelly Wong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Hoi To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Shortly after this, Mr. and Mrs. Wong received the December 2007 payment of $9,900. Ms. Pham indicated she paid this from her personal account to "assist the parties". This was the last payment received from Ms. Pham.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December 20, 2007, Mrs. Nelly Wong made another demand for repayment to Ms. Pham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December 20,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Erica Ming-Ngoc Pham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Minh Ngoc Pham Law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5124 Rothesay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Mississauga, ON L5M 4Y3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Ms. Pham: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December 3, I sent to you a Demand for Repayment of the principal and accrued interest on the $119,000 investment guaranteed by your law firm as well as a Demand for Payment of the $110,000 investment in the name of my husband.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received from your office last week a cheque dated December 1 for $9900. We have deposited this cheque as a payment on account for the total amount owing. We do not accept it in satisfaction of your outstanding obligations; nor do we accept it as reinstating in any way the loans or either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yet to hear from you in response to the demand. The balance owing for Principal and all accrued interest is overdue.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we hear from you immediately, failing which we will have to consult with counsel respecting the enforcement of our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Nelly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was no response. The plaintiffs were unable to afford the insurance premiums and interest payments. The insurance policies therefore lapsed. Mr. and Mrs. Wong, as a result, did not receive the benefit for the policies or the payments that they had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Pham says there was no contract between herself and either Mr. Hoi To Wong or Mrs. Nelly Wong. Ms. Pham argued the documents relied upon lack the basic elements of a contract; lacking in form, they show only one party, the lender, with his or her signature and the signature of a witness. They do not reflect a borrowing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Pham also says there was no agreement because although the lenders wanted to loan money she did not want to borrow money. The title on the loan document reads "Lender's Requisition and Direction". It only shows the lender's intention and is effectively only an offer or invitation to deal. Ms. Pham says she did not know Mr. and Mrs. Wong and had no intention to deal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Pham says the rules of contract should be followed strictly, as the parties had never met, the sums involved were large, and interest rates were high -- 18% and 12%. The consequences of a finding of a contract would be a windfall to the plaintiffs and a debt of $500,000 for Ms. Pham.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Pham says she did not sign as a borrower on the loan documents and cannot be held liable in contract with the plaintiffs. Ms. Pham was adamant she was not the person who signed these contracts and the signatures on the documents were not 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note first it is evident Mr. and Mrs. Wong believed Ms. Pham had signed the documents and believed a contract to be in place. They had given the respective contracts to Ms. Anna Wong and Mr. Jang and received the signed documents back. There was no indication the documents or signature was not authentic. In addition, at least initially, the terms of the arrangement, including interest payments, were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will deal with the signature issue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am satisfied on the evidence before me that Ms. Pham did sign the documents, despite her denial. In denying her signature, she provided examples of differences which, in my view, were not borne out. Indeed, the examples provided were actually very similar.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More importantly, however, no expert evidence was led to establish a signature was a forgery. Expert evidence must be led, especially where, as here, the writing is so similar. The court is not in a position to come to such a conclusion, especially in the context of evidence that reflects Ms. Pham's extensive history and dealings with Mr. Jang and his corporate activities. As in </w:t>
      </w:r>
      <w:r>
        <w:rPr>
          <w:rFonts w:ascii="arial" w:eastAsia="arial" w:hAnsi="arial" w:cs="arial"/>
          <w:i/>
          <w:color w:val="000000"/>
          <w:sz w:val="20"/>
          <w:lang w:val="en-US" w:eastAsia="en-US" w:bidi="ar-SA"/>
        </w:rPr>
        <w:t>Jassar</w:t>
      </w:r>
      <w:r>
        <w:rPr>
          <w:rFonts w:ascii="arial" w:eastAsia="arial" w:hAnsi="arial" w:cs="arial"/>
          <w:color w:val="000000"/>
          <w:sz w:val="20"/>
          <w:lang w:val="en-US" w:eastAsia="en-US" w:bidi="ar-SA"/>
        </w:rPr>
        <w:t>, I find Ms. Pham's denials that she signed the contracts improbable.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Pham essentially says she was unaware of the contracts and was another victim of Mr. Jang. There are a number of difficulties with this argument. First, the bank drafts from Mr. and Mrs. Wong were deposited into Ms. Pham's bank accounts. Second, Ms. Pham made interest payments for one year on the contract for $119,000 and for two years on the contract for $110,000. These payments in the amounts expected under the contract were made by cheque with Ms. Pham's signature below her name and title as Barrister &amp; Solicitor and the address of her law firm on the cheque. In her testimony, Ms. Pham admits she signed these cheques and knew they were interest payments to clients of Mr. Jang. She says the cheques were simply presented to her by her assistant and she signed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Further, when Mrs. Nelly Wong demanded the interest payments and repayment of the loan, Ms. Pham did not deny the existence of the contract. Rather, she made another interest payment in furtherance of the obligations set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last payment in December 2007 came from a personal account of Ms. Pham. Ms. Pham's explanation was she was attempting to assist parties who were having difficulties because of Mr. Jang's conduct. When she received the faxed demand for payment for Mrs. Nelly Wong, she spoke to Mr. Jang who said he would pay the monies directly to Mr. and Mrs. Wong. This account, however, does not accord with the fact she paid the money herself from her personal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With respect to the deposit into her bank accounts, Ms. Pham had a number of explanations. She says she had set up and allowed Mr. Jang to use her bank account and became an unwitting accomplice to his scheme. Ms. Pham says in 2005, Mr. Jang asked her to open a personal account for him for his own use. He wanted to deposit lump sums belonging to his insurance clients into the Transamerica life policies. Instead of borrowing from the TD, two for one, he wanted to deposit his own lump sum payments to the Transamerica life policies. Ms. Pham says he made a different arrangement with his clients -- "things kept changing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Pham said she was advised by the Law Society of Upper Canada she could have an exclusive account for a client. She agreed however she did not advise the Law Society the account would be an investment funds account and not her trust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cross-examination, Ms. Pham agreed Mr. Jang asked her to open the account to hide his involvement with his clients and she acquiesced. She viewed Mr. Jang as a very good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two met with her bank manager to open what she described as an investment account for Mr. Jang, but in her name. Ms. Pham was a signatory to the account. She testified, however, the account would be attended to by Mr. Jang's assistant, Karen Lam, who was also made a signatory to this account. In retrospect, Ms. Pham says this was a "very stupid mistake" and that Mr. Jang was a bad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Pham says it was into this account the monies from Mr. and Mrs. Wong was deposited. Ms. Pham says, although the contracts were forged and she had no knowledge of them, she tried to get Mr. Jang to pay the amounts owing in order to get the matter resolved. There was a loan document and Mr. Jang said he would pay them. She had to "push him" on this. She felt responsible because the account was in her name; the interest rate was high; and she hoped to have the matters resolved in six months to year. She wanted to avoid a lawsuit such as the present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Pham also says she did not deal with the deposits into this account after June 2005. Mr. Jang hired a bookkeeper who did the deposit and reconciled Ms. Pham's trust account and the investment account. Ms. Pham says if the money indicated it was to be held in trust, it should have been deposited into her trust account and not into Mr. Jang's investment account. She says a crooked or incompetent bank manager enabled this, as she had two accounts: a trust account and an investment account. Any cheques marked "in trust" should have gone in her trust account. Ms. Pham maintains the bank manager "helped" Mr. Jang and was ultimately fired.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are some relatively fundamental problems with the propositions advanced by Ms. Pham. Ms. Pham is a very well-educated person, with an LL.B. and an MBA. Her law practice focused on real estate and commercial transactions. She knew significant amounts of money were running through the account she had opened. She says she just signed cheques that were presented to her by her assistant. It is troubling that cheques marked "in trust" were deposited in the general account. She references a corrupt bank manager. She has, however, admitted opening a bank account in her own name for Mr. Jang to allow him to lend money to his clients while concealing his identity as the lender.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Pham portrayed Mr. Jang as a charming and successful entrepreneur. She indicated he would tell her when he was accused of various improprieties; that he was innocent and it was someone else's fault. In this regard, she maintains, as his lawyer, she continued to try and assist him. From her perspective, this was important in order that he be able to and would repay his debts. Ms. Pham says she became aware of the debts/loans when she received calls from various individuals, including Mr. and Mrs. Wong about the monies owed to them. Ms. Pham says throughout this time, she was essentially trying to help those who have been adversely affected by Mr. Jang's actions. Indeed, Ms. Pham says she had also been adversely affected, in that she had loaned money to Mr. Jang which had not been repaid.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Pham, however, had an extensive history with Mr. Jang. She and Mr. Jang served together as directors of a company called Infinity Investments Inc., when Mr. Jang was accused in September 2001 of lending money to a client, Lawrence Law, to buy insurance. Ms. Pham admits it is improper for an agent to lend money to clients to purchase insurance. In response to inquiries by Transamerica, as reflected in a letter of September 14, 2001, Mr. Jang told Transamerica to contact Ms. Pham if they had any questions about the loan to Mr. Law. Ms. Pham's evidence that she did not know anything about this loan was, in all the circumstances, not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Pham described Mr. Jang's business ventures in great detail, including the Immigrant Investor Program and bubble tea franchise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Pham says in 2004, she loaned $650,000 to Mr. Jang to buy Pender International, which was ultimately found to be part of a stock scam. Ms. Pham was a director of this company. The loan was never repaid. In late 2004, Pender was accused of being a pump and dump scam and its accounts were frozen, the police were involved, and two principals were jailed, including Michael Ciavarella.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2004, Ms. Pham paid Mr. Jang $70,000 for shares in Armistice Resources Limited, another company associated with Mr. Jang's corporate operations, Pender and IMM Investments Inc. ("IMM"). Ms. Pham was the president and director of IMM, a wholly owned subsidiary of Pender. Mr. Jang did not give her the shares or refund the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Pham moved her office to shared space with Mr. Jang in January 2005, so that she could be present to advise on business matters and attend meetings. Mr. Jang paid for her rent, her expenses, and for another lawyer, Derek Chan, to watch her practice because he required her time. Ultimately, Ms. Pham fired Derek Chan at Mr. Jang's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Pham says in March 2006, she obtained from Mr. Jang a binder containing copies of loan documents executed by Mr. Jang and Michael Ciavarella's clients, some of which had her signature. She maintains, however, as in this case, they were not her signatures.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At some point, the Law Society of Upper Canada began to investigate Ms. Pham but came to no conclusion with respect to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Pham says despite all this, she continued to sign interest cheques for Mr. Jang's clients from her bank account, including the interest cheques the plaintiffs received in 2006 and 2007. The bank account was open until 2008. She paid some of her own personal account to cover the interest payments, including the December 2007 payment to Mrs. Nelly Wong. In 2007, Mr. Jang said she assisted him to raise money by helping to liquidate his assets doing commencing work on the sale of property for $2 million and arranging a loan of $188,000 for him from her Buddhist Temple.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None of this testimony supports the claim there was no contract. It is improbable Ms. Pham would continue this activity in the face of both indications that Mr. Jang's clients wrote demanding the return of the money. This is especially so in the context of her particular background. Ms. Pham, as a lawyer, is very familiar with the commercial context and the trust requirements. Her explanation is not consistent with the probability of the events. According to her own testimony, Mr. Jang owed her over $700,000 since 2004. There is really no explanation as to why she would go to such great lengths to help Mr. Jang, including making interest payments with her on personal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Ultimately, I do not find Ms. Pham's explanation probable. Her account is at odds with that of Mr. and Mrs. Wong, and is neither internally nor externally consistent. Furthermore, the evidence provided in discovery is not consistent with the evidence provided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While Ms. Pham has outlined a variety of factors as to why she would not enter this contract, including her lack of need to do so and the high interest rate, the test as to whether a contract has been concluded is objective. As noted in Waddams' </w:t>
      </w:r>
      <w:r>
        <w:rPr>
          <w:rFonts w:ascii="arial" w:eastAsia="arial" w:hAnsi="arial" w:cs="arial"/>
          <w:i/>
          <w:color w:val="000000"/>
          <w:sz w:val="20"/>
          <w:lang w:val="en-US" w:eastAsia="en-US" w:bidi="ar-SA"/>
        </w:rPr>
        <w:t>The Law of Contracts</w:t>
      </w:r>
      <w:r>
        <w:rPr>
          <w:rFonts w:ascii="arial" w:eastAsia="arial" w:hAnsi="arial" w:cs="arial"/>
          <w:color w:val="000000"/>
          <w:sz w:val="20"/>
          <w:lang w:val="en-US" w:eastAsia="en-US" w:bidi="ar-SA"/>
        </w:rPr>
        <w:t>, 6th ed (Toronto: Canada Law Book, 2010) at 69, where one party, in this case Ms. Pham, is aware of another's belief in the existence of a contract and does not deny it but rather acts as though the contract exists, they may be estopped from denying the existence of that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More importantly, an objective view of the facts as presented, has compelled me to conclude Ms. Pham signed the two contracts in question with Mr. and Mrs. Wong, thereby taking on the responsibilities reflected in those two contracts. Her conduct in particular reinforced this view. This included making interest payments for one year on Mrs. Nelly Wong's contract and two years on Mr. Hoi To Wong's contract, including the last payment from Ms. Pham's personal account in December 2007. This last payment occurred after Mrs. Nelly Wong had contacted Ms. Pham and wrote to demand repayment of the two loans. Ms. Pham did not deny the existence of the loans and made a further payment as reflected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is no real dispute that if the two contracts are found to be in place, they have been breached in this case. The principal and interest amounts of the two contracts at issue have not been repaid to Mr. and Mrs. Wong. Accordingly, those amounts are owing pursuant to the breach of each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2: Are Minh Ngoc Pham and her law firm jointly and severally liable to the plaintiffs in equity for money had and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Although strictly not necessary, I will deal with the plaintiffs' alternative argument on an abbreviated basis.</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Halsbury's Laws of Canada</w:t>
      </w:r>
      <w:r>
        <w:rPr>
          <w:rFonts w:ascii="arial" w:eastAsia="arial" w:hAnsi="arial" w:cs="arial"/>
          <w:color w:val="000000"/>
          <w:sz w:val="20"/>
          <w:lang w:val="en-US" w:eastAsia="en-US" w:bidi="ar-SA"/>
        </w:rPr>
        <w:t xml:space="preserve">, vol 75, 1st ed (Markham, ON: LexisNexis, 2012) at 787 provides that a plaintiff must prove it had an interest in the money and the money came into the defendant's hands in order to establish an equitable claim for money had and received. As set out in </w:t>
      </w:r>
      <w:r>
        <w:rPr>
          <w:rFonts w:ascii="arial" w:eastAsia="arial" w:hAnsi="arial" w:cs="arial"/>
          <w:i/>
          <w:color w:val="000000"/>
          <w:sz w:val="20"/>
          <w:lang w:val="en-US" w:eastAsia="en-US" w:bidi="ar-SA"/>
        </w:rPr>
        <w:t>Topouzis v. Abboud</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2012 BCSC 228</w:t>
        </w:r>
      </w:hyperlink>
      <w:r>
        <w:rPr>
          <w:rFonts w:ascii="arial" w:eastAsia="arial" w:hAnsi="arial" w:cs="arial"/>
          <w:color w:val="000000"/>
          <w:sz w:val="20"/>
          <w:lang w:val="en-US" w:eastAsia="en-US" w:bidi="ar-SA"/>
        </w:rPr>
        <w:t xml:space="preserve"> at paras. 178-179, aff'd </w:t>
      </w:r>
      <w:hyperlink r:id="rId318" w:history="1">
        <w:r>
          <w:rPr>
            <w:rFonts w:ascii="arial" w:eastAsia="arial" w:hAnsi="arial" w:cs="arial"/>
            <w:i/>
            <w:color w:val="0077CC"/>
            <w:sz w:val="20"/>
            <w:u w:val="single"/>
            <w:shd w:val="clear" w:color="auto" w:fill="FFFFFF"/>
            <w:lang w:val="en-US" w:eastAsia="en-US" w:bidi="ar-SA"/>
          </w:rPr>
          <w:t>2012 BCCA 516</w:t>
        </w:r>
      </w:hyperlink>
      <w:r>
        <w:rPr>
          <w:rFonts w:ascii="arial" w:eastAsia="arial" w:hAnsi="arial" w:cs="arial"/>
          <w:color w:val="000000"/>
          <w:sz w:val="20"/>
          <w:lang w:val="en-US" w:eastAsia="en-US" w:bidi="ar-SA"/>
        </w:rPr>
        <w:t xml:space="preserve"> the action is for the return of money received where it would be unjust for the defendant to keep the money.</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If the monies are not recoverable on the basis of a breach of contract, I conclude Ms. Pham and the law firm are liable to the plaintiffs for monies had and received. The following are my abbreviated reasons for this conclusion.</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With respect to the two outstanding loans, the $119,000 loan, though borrowed from the Transamerica policies was that of Mrs. Nelly Wong to use and invest. She chose to invest as per advice from Mr. Jang. With respect to the $110,000 loan, Mr. Hoi To Wong borrowed from his sister. There is no doubt he had an interest in the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There is also no doubt the money came into the possession of Ms. Pham and her law firm. Bank records establish the money was received into Ms. Pham's bank account; the cheques were marked "in trust" to Ms. Pham; and interest cheques from her account were written based on the amount of interest calculated in the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Pham does not dispute this but rather has pointed to the scheme devised by Mr. Jang and says as a result, the monies were not "had and received" by her. She maintains the monies were deposited effectively into Mr. Jang's account, even though the account was in her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Pham also says the plaintiffs could have avoided their loss if they had contacted her, advising the funds were sent "in trust", or followed up directly with her. Ms. Pham effectively maintains the plaintiffs did not give her a chance to either accept or refuse to deal with them as clients. She maintains Mr. Jang was her client and she owed a fiduciary duty to him. She must therefore regard the funds in the investment account belonged to him. As Mr. Jang had full control of the account, any funds deposited to the accounts must have been "had and received" by him, not Ms. Pham. Ms. Pham also says she was not therefore enriched but rather Mr. Jang was the one unjustly enriched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Ms. Pham also says the plaintiffs are in this position because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Their blind faith in Mr. Jang caused her great harm in terms of time and money. The plaintiffs were reckless in sending funds to a perfect stranger simply on the assurance that she was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To a great extent, Ms. Pham's arguments are not persuasive for the same reasons set out previously with respect to the finding of the existence of a contract. While she points to Mr. Jang as being the beneficiary of these monies and argues they were not received by her, the reality is they were deposited into her account, for which she had responsibility. She received those monies, as confirmed by documentary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Furthermore, once again, Ms. Pham is a highly-educated individual, who was very aware of the business deals of Mr. Jang as her client. Indeed, she set up what she characterized as an investment account for this very good client, which enabled these events to occur. The money was paid to Ms. Pham and she, as the recipient, is unjustly enriched. She is not excused of her responsibilities by pointing to the actions of Mr. and Mrs. Wong as reckless and negligent due to "blind faith" in Mr. Jang.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3: What damages are attributable to Minh Ngoc Pham and the law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Ms. Pham and the law firm are both named in the loan agreements, they are jointly and severally liable for the debts. There are two loan agreements providing for interest rates of 18% on the $110,000 contract and 12% on the $119,000 contract. There is, however, no interest rate specified after the expiry of the loan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Mr. and Mrs. Wong argue the contractual interest rates should be applied until the date of trial, based on the Supreme Court of Canada's decision in </w:t>
      </w:r>
      <w:r>
        <w:rPr>
          <w:rFonts w:ascii="arial" w:eastAsia="arial" w:hAnsi="arial" w:cs="arial"/>
          <w:i/>
          <w:color w:val="000000"/>
          <w:sz w:val="20"/>
          <w:lang w:val="en-US" w:eastAsia="en-US" w:bidi="ar-SA"/>
        </w:rPr>
        <w:t>Bank of America Canada v. Mutual Trust Co.</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2002 SCC 43</w:t>
        </w:r>
      </w:hyperlink>
      <w:r>
        <w:rPr>
          <w:rFonts w:ascii="arial" w:eastAsia="arial" w:hAnsi="arial" w:cs="arial"/>
          <w:color w:val="000000"/>
          <w:sz w:val="20"/>
          <w:lang w:val="en-US" w:eastAsia="en-US" w:bidi="ar-SA"/>
        </w:rPr>
        <w:t xml:space="preserve"> at paras. 49-50, and the Ontario Court of Appeal decision in </w:t>
      </w:r>
      <w:r>
        <w:rPr>
          <w:rFonts w:ascii="arial" w:eastAsia="arial" w:hAnsi="arial" w:cs="arial"/>
          <w:i/>
          <w:color w:val="000000"/>
          <w:sz w:val="20"/>
          <w:lang w:val="en-US" w:eastAsia="en-US" w:bidi="ar-SA"/>
        </w:rPr>
        <w:t>Pizzey Estate v. Crestwood Lake Ltd.</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[2004] O.J. No. 246</w:t>
        </w:r>
      </w:hyperlink>
      <w:r>
        <w:rPr>
          <w:rFonts w:ascii="arial" w:eastAsia="arial" w:hAnsi="arial" w:cs="arial"/>
          <w:color w:val="000000"/>
          <w:sz w:val="20"/>
          <w:lang w:val="en-US" w:eastAsia="en-US" w:bidi="ar-SA"/>
        </w:rPr>
        <w:t xml:space="preserve"> at paras. 38-39 and 46-47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statement from the Supreme Court of Canada supports the proposition that the interest rate which governed the loan should apply post-breach, unless there are exceptional circumstances. In view of my findings in this matter, I cannot conclude exceptional circumstances apply. While Ms. Pham has portrayed herself as a victim in this matter, there is simply insufficient evidence to establish that fact. At some point, Ms. Pham may have realized matters were going awry, as she had ample warning that all was not well in Mr. Jang's corporate affairs through her history of corporate entanglements with him and his companies. These were numerous and spanned a considerable length of time and complexity. Mr. and Mrs. Wong should not suffer because of these series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conclude therefore: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calculation of damages for Mr. Hoi To Wong's contract with Ms. Pham is: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Principal: $110,000;</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Term: three years;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18% annually, 9% semi-annually and payable every six months: $59,400 during the three-year term;</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Subtract the interest payments made by Ms. Pham: $9,900 x 4 payments = $39,600;</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Subtotal (loss during three-year term): $129,800;</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plus simple interest at 18% annually from September 1, 2008 to February 6, 2015, calculated on the principal amount: $127,479.45;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$257,279.45.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calculation of damages for Mrs. Nelly Wong's contract with Ms. Pham is:</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Principal: $119,000;</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Term one year, renewed for a second year;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12% annually, 1% monthly and payable every six months: $28,560 during a two-year term;</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Subtract interest payments made by Ms. Pham: $7,140 x 2 payments = $14,280;</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Subtotal (loss during two-year term): $133,280;</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Plus simple interest at 12% annually from November 24, 2007 to February 6, 2015, calculated on the principal amount: $102,933.37; and</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$236,213.37.</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4: What are the damages attributable to the Jang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Default judgment has been obtained against Mr. Jang and his companies, Billion and Trillion. The essential issue with respect to these defendants is what damages are attributable to Mr. Jang and his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These defendants did not contest the claims that Mr. Jang owed the plaintiffs a duty of care as their insurance agent; that he breached the standard of care of an insurance agent and breached his fiduciary duty to Mr. and Mrs. Wong; that he breached the contract to act as the insurance agent and financial advisor for Mr. and Mrs. Wong and misrepresented various parts of the investment scheme; and that Trillion and Billion are vicariously liable for the acts of Mr. Jang.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As this is a complicated financial scheme, a flowchart was provided to set out the steps to the investment scheme. The evidence and many financial documents presented by Mr. and Mrs. Wong established the transactions alleged to have occurred. I will not review them in detail. Rather, I will provide an overview to assess what damages are attributable to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evidence was clear that Mr. and Mrs. Wong attended two seminars, in which Mr. Jang outlined an investment scheme. While Mr. and Mrs. Wong did not completely understand the scheme, they were persuaded by Ms. Anna Wong, an insurance agent working with Mr. Jang, to trust him and were assured they would be guided throughout. Mr. and Mrs. Wong thought the investment would provide paid insurance policies for their children's financial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These transactions summarized by counsel for Mr. and Mrs. Wong establish seven steps to the investment scheme. The uncontroverted evidence established as per Mr. Jang's advice, that Mr. and Mrs. Wong:</w:t>
      </w:r>
      <w:r>
        <w:rPr>
          <w:rFonts w:ascii="arial" w:eastAsia="arial" w:hAnsi="arial" w:cs="arial"/>
          <w:sz w:val="20"/>
          <w:lang w:val="en-US" w:eastAsia="en-US" w:bidi="ar-SA"/>
        </w:rPr>
        <w:cr/>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Borrowed money against their house;</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Invested that money with Transamerica;</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Used those Transamerica investments as security for a special loan program between Transamerica and TD Canada Trust, called the "two-for-one loan" which further increased liabilities;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Relied on these liabilities to qualify for large insurance policies from Transamerica for each member of the family;</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Liquidated the Transamerica investments to make large lump sum prepayments [overpayments] of the insurance premiums for their insurance policies. Mr. and Mrs. Wong also contributed their own money to pre-pay on their sons' policies;</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Borrowed money from the overpaid insurance policies; and</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Loaned the money borrowed from the insurance policies to Ms. Pham as per written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On October 26, 2004, as per Mr. Jang's instructions, Mr. and Mrs. Wong obtained an increase to their home line of credit of $300,000, secured by their house. As part of an investment scheme, they then invested the $300,000 into a Transamerica life investment account for each of Mrs. Nelly Wong and Mr. Hoi To Wong, being $150,000 per investment account, on March 4, 2005, on the advice of Mr. Jang through Ms. Anna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Jang then arranged to participate in the TD Bank "two-for-one loan" program on March 16, 2005, securing an additional $500,000; $250,000 per investment account. By this time, Mr. and Mrs. Wong each had $400,000 in investments with Transamerica.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Relying on the inflated debts resulting from the line of credit against their home and the TD two-for-one loan, on August 3, 2005, Mr. and Mrs. Wong obtained insurance policies from Transamerica in the amount of $1 million for each member of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per Mr. Jang's direction, further money was invested into the scheme when Mrs. Nelly Wong paid the premiums for the first two or three months from Mr. and Mrs. Wong's personal bank account. These amounts are:</w:t>
      </w:r>
      <w:r>
        <w:rPr>
          <w:rFonts w:ascii="arial" w:eastAsia="arial" w:hAnsi="arial" w:cs="arial"/>
          <w:sz w:val="20"/>
          <w:lang w:val="en-US" w:eastAsia="en-US" w:bidi="ar-SA"/>
        </w:rPr>
        <w:cr/>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$2,200 for Mr. Hoi To Wong's insurance policy (two months' premiums);</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$4,200 for Mrs. Nelly Wong's insurance policy (two months' premiums);</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$750 for Daniel Wong's insurance policy (three months' premiums); and</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$600 for David Wong's insurance policy (three months' premiums).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This resulted in a total of $7,750 of Mrs. Nelly Wong's money paid on policies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Mrs. Nelly Wong then liquidated the two investment accounts, as per direction from Mr. Jang. Mr. and Mrs. Wong's investment accounts had increased in value from $400,000 to values of $427,868.34 and $427,841.55 respectively. This increased amount, however, was essentially used up by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proceeds from the investment accounts were then distributed as follows, as directed by Mr. Jang:</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$22,905.01 and $22,904.24 were taken by Transamerica in charges for the transaction from Mrs. Nelly Wong's and Mr. Hoi To Wong's accounts respectively;</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$250,215.75 was paid to each of Mrs. Nelly Wong and Mr. Hoi To Wong's loans from TD, repaying the two-for-one loans in full. Mr. and Mrs. Wong each received a $61.64 credit back from TD;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$87,721.56 and $83,747.58 was paid to Mr. and Mrs. Wong respectively. This money was used to make a $171,500 payment on the $300,000 borrowed against their house. $128,500, however, remained outstanding and was not recouped by the plaintiffs;</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$71,000 and $67,000 were deposited as an "over-payment" of premiums into Mrs. Nelly Wong and Mr. Hoi To Wong's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per Mr. Jang's instructions, Mr. and Mrs. Wong made lump-sum payments of $27,000 and $26,000 respectively on the policies of Daniel and David Wong, with their own funds. The purpose of the lump-sum payments was to allow Mr. and Mrs. Wong to borrow money from the insurance policies to fund further investments, which would then pay for two further lump-sum payments on the insurance policies in the following two years and, after three years, the insurance policies would be fully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As noted earlier, in order to do this, Mr. Jang advised Mr. and Mrs. Wong they needed an investment that would generate sufficient returns to pay the premiums on the insurance policies. Mr. Jang told Mr. and Mrs. Wong to invest with Ms. Pham.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Hoi To Wong borrowed $110,000 from his sister to invest with Ms. Pham and Mrs. Nelly Wong borrowed $119,000 from the four insurance policies. Mr. and Mrs. Wong invested $229,000 with Ms. Pham pursuant to two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am accordingly satisfied with respect to damages, these include:</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$128,530.86 which is the outstanding amount from the original $300,000 line of credit loan. $83,747.58 was repaid from Mrs. Nelly Wong's investments and $87,721.56 repaid from Mr. Hoi To Wong's investments;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life insurance premiums paid, which includes payments that came from redemption of the Transamerica investments, total $71,550, being $7,750 in August and September 2005; $27,000 to Daniel's policy in October 2005; $26,000 to Daniel's policy in October 2005; and $10,800 in July 2006;</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$21,490.17 which is the interest payment on the insurance policy loans; $9,590.69 in August 2006; and $11,899.48 in July 2007;</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$110,000loan from Mr. Hoi To Wong's sister;</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is $331,447.75 and $30,024.43, court order interest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with the total being $361,472.18;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$361,472.18 in damages should be joint and several among the Jang Defendants, Ms. Pham and the Pham Ngoc Professional Corporation. The remainder of the plaintiffs' damages, $132,020.64, which is the difference between the damages attributable to the Jang Defendants and the damages attributable to Ms. Pham and the Pham Ngoc Professional Corporation in breach of contract, should be joint and several only between Ms. Pham and the Pham Ngoc Professional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view of my findings above, I do not find punitive damages against the Jang defendants necessary in this case. While they have not disputed their liability for fraudulent misrepresentation and breach of fiduciary duty, the damages set out above are sufficient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Costs are awarded against the Jang Defendants, Ms. Pham and the Pham Ngoc Professional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BURKE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1" style="position:absolute;z-index:251829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Wong v. Transamerica Life Canada, [2013] B.C.J. No. 2120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B.I. 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S084050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2120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1768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234 A.C.W.S. (3d) 601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 C.C.L.I. (5th) 111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2878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Nelly Wong and Hoi To Wong, Plaintiffs, and Transamerica Life Canada, Kalano Jang, Trillion Financial Corp. doing business as Trillion Financial Group, Billion Financial Corp. doing business as Billion Financial Group, Anna Wong a.k.a. Anna Chang Wong, Pham Ngoc Professional Corporation doing business as Minh Ngoc Pham Law Office, Erica Minh-Ngoc Pham Thi a.k.a. Minh Ngoc Thi Pham and Allen Wong and Associates Insurance Agency Limited, Defendants, and Kalano Jang, Trillion Financial Corp, doing business as Trillion Financial Group, Billion Financial Corp. doing business as Billion Financial Group, Anna Wong a.k.a. Chun Yan Anna Wong aka Anna Chang Wong, Pham Ngoc Professional Corporation doing business as Minh-Ngoc Pham Law Office, Erica Minh-Ngoc Pham Thi a.k.a. Minh Ngoc Thi Pham,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2"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3" w:name="Keywords_17"/>
      <w:bookmarkEnd w:id="113"/>
      <w:r>
        <w:rPr>
          <w:rFonts w:ascii="arial" w:eastAsia="arial" w:hAnsi="arial" w:cs="arial"/>
          <w:b/>
          <w:color w:val="000000"/>
          <w:sz w:val="20"/>
          <w:lang w:val="en-US" w:eastAsia="en-US" w:bidi="ar-SA"/>
        </w:rPr>
        <w:t>Civil litigation — Civil procedure — Pleadings — Amendment of — Statement of claim — Adding new cause of action — To alter or add to claim for relief — Application by plaintiffs to file Further Amended Notice of Civil Claim allowed in part — Plaintiffs alleged investment fraud by two licensed agents of defendant Transamerica — Upon learning agents had been terminated by Transamerica for improper selling practices, plaintiffs sought to amend pleading to allege failure to supervise — Proposed amendment was new cause of action rather than further particularization of negligent claim and was refused — Amendments alleging breach of duty of good faith by obtaining legal release did not involve privileged communications and were permitted.</w:t>
      </w:r>
    </w:p>
    <w:p>
      <w:pPr>
        <w:jc w:val="both"/>
        <w:rPr>
          <w:rFonts w:ascii="arial" w:eastAsia="arial" w:hAnsi="arial" w:cs="arial"/>
          <w:sz w:val="20"/>
          <w:lang w:val="en-US" w:eastAsia="en-US" w:bidi="ar-SA"/>
        </w:rPr>
      </w:pPr>
      <w:bookmarkStart w:id="114" w:name="Counsel_17"/>
      <w:bookmarkEnd w:id="1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3"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D.E. Turner.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Transamerica Life Canada: A.S. Dosanjh.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5" w:name="Judgment_17"/>
      <w:bookmarkEnd w:id="115"/>
      <w:r>
        <w:pict>
          <v:line id="_x0000_s1114" style="position:absolute;z-index:2517790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6" w:name="B.I. COHEN J."/>
            <w:bookmarkEnd w:id="116"/>
            <w:r>
              <w:rPr>
                <w:rFonts w:ascii="arial" w:eastAsia="arial" w:hAnsi="arial" w:cs="arial"/>
                <w:b/>
                <w:color w:val="000000"/>
                <w:sz w:val="30"/>
                <w:lang w:val="en-US" w:eastAsia="en-US" w:bidi="ar-SA"/>
              </w:rPr>
              <w:t>B.I. COHEN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involves a claim by the plaintiffs, Nelly and Hoi To Wong, against various parties involved in an alleged fraud by two licensed agents of the defendant Transamerica Life Canada ("Transamerica"), the defendants Kalano Jang ("Jang") and Anna Wong, wherein the plaintiffs lost substantial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Jang and his companies, the defendants Billion Financial Group and Trillion Financial Group ("Billion" and "Trillion", respectively), did not file a defense and default judgment has been taken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application is brought by the plaintiffs for leave to file a Further Amended Notice of Civil Claim. Some of the amendments are opposed by Transamerica.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According to the affidavit of Nelly Wong sworn October 12, 2012, she and Hoi To Wong attended two seminars held by Jang who held himself out as a Transamerica agent. Following a private meeting with Jang and Anna Wong in February 2005, on March 4, 2005, the plaintiffs invested $300,000 into Transamerica investment accounts. The plaintiffs signed standard Transamerica power of attorney forms. Jang used these forms to manipulate the accounts through a Transamerica arrangement with TD Bank to double the amount of their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May 2005, in reliance on the advice of Anna Wong and Jang, Ms. Wong and members of her family applied for life insurance policies in the amount of $2,000,000 each. Transamerica granted $1,000,000 of life insurance each. In September 2005, Jang advised the plaintiffs to take out loans against their life insurance policies and invest in an Ontario law firm. In November 2005, Jang convinced the plaintiffs to invest other personal savings in the same firm. In early to mid-2007, after receiving several interest payments, the payments from the law firm became overdue and demands for return of the principal went unanswered.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June 16, 2006, the plaintiffs received a letter from Transamerica advising them that Jang was no longer contracted as an insurance agent with Transamerica. At the time, Ms. Wong and her family members did not have any knowledge of the actual reasons for his termination. It was not until the discovery process in this litigation that they learned the actual reasons for his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reasons for Jang's termination are set out in a letter dated June 1, 2006, from Transamerica to Billion. The letter lists 17 reasons that Transamerica identified as cause to terminate its contracts with Jang, Billion and Trillion. Ms. Wong claims that the majority of the listed examples of "improper selling practices" match the circumstances surrounding the insurance policies issued to the plaintiffs and their family members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1: Duty to Supervise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Under Part 2: Relief Sought in the Amended Notice of Civil Claim, the plaintiffs seek against Transamerica,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damages for breach of its duty of good faith,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para. 64, the plaintiffs allege that, at all material times, Transamerica owed them a duty of good faith as their insurer. In para. 67, the plaintiffs allege that Transamerica failed to exercise the degree of care and diligence which a reasonably prudent person would use under the same or similar circumstances, in that:</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being aware that Kalano Jang made misrepresentations to other clients of Transamerica, Transamerica negligently failed to enquire whether Kalano Jang made misrepresentations to the Plaintiffs; and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Transamerica did not assess whether the Policies were suited to the Plaintiffs after learning of Kalano Jang's questionable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now apply to add to para. 67(c):</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Transamerica did not supervise or monitor Anna Wong or Kalano Jang, despite a record of past investigations for over-insuring and fraud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Transamerica opposes this proposed amendment on the basis that it pleads a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plaintiffs cite the cases of </w:t>
      </w:r>
      <w:r>
        <w:rPr>
          <w:rFonts w:ascii="arial" w:eastAsia="arial" w:hAnsi="arial" w:cs="arial"/>
          <w:i/>
          <w:color w:val="000000"/>
          <w:sz w:val="20"/>
          <w:lang w:val="en-US" w:eastAsia="en-US" w:bidi="ar-SA"/>
        </w:rPr>
        <w:t>White v. Vancouver General Hospital</w:t>
      </w:r>
      <w:r>
        <w:rPr>
          <w:rFonts w:ascii="arial" w:eastAsia="arial" w:hAnsi="arial" w:cs="arial"/>
          <w:color w:val="000000"/>
          <w:sz w:val="20"/>
          <w:lang w:val="en-US" w:eastAsia="en-US" w:bidi="ar-SA"/>
        </w:rPr>
        <w:t xml:space="preserve"> (1963), 45 W.W.R. 34 (B.C.S.C.); </w:t>
      </w:r>
      <w:r>
        <w:rPr>
          <w:rFonts w:ascii="arial" w:eastAsia="arial" w:hAnsi="arial" w:cs="arial"/>
          <w:i/>
          <w:color w:val="000000"/>
          <w:sz w:val="20"/>
          <w:lang w:val="en-US" w:eastAsia="en-US" w:bidi="ar-SA"/>
        </w:rPr>
        <w:t>Cominco Ltd. v. Westinghouse Canada Limited</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(1978), 6 B.C.L.R. 97</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Battrum v. MacKenzie Estate</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2008 BCSC 829</w:t>
        </w:r>
      </w:hyperlink>
      <w:r>
        <w:rPr>
          <w:rFonts w:ascii="arial" w:eastAsia="arial" w:hAnsi="arial" w:cs="arial"/>
          <w:color w:val="000000"/>
          <w:sz w:val="20"/>
          <w:lang w:val="en-US" w:eastAsia="en-US" w:bidi="ar-SA"/>
        </w:rPr>
        <w:t>, for the proposition that the proper approach when addressing amendments that are argued to raise a new cause of action is to review the original pleading with a generous reading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plaintiffs assert that the allegation in the proposed amendment to para. 67 is simply a further particularization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duty allegations in the original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respect, I disagree. In my opinion, the proposed amendment has no such connection with the other allegations in para. 67 and raises a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 note that in the pleadings there are also allegations against the defendant Allen Wong and Associates Insurance Agency Limited ("Allen Wong"). These plead,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this defendant knew Jang recommended the investment plan to the plaintiffs, was aware of the plaintiffs' financial situation and was fully appraised of Jang's recommendation for the plaintiffs to loan funds to the law firm and yet did not advise the plaintiffs that this was a high risk investment. As counsel for Transamerica points out, these are material facts in support of the plaintiffs' allegation that Allen Wong was responsible, in whole or in part, for the training and supervision of Jang and that this defendant failed to train or supervise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On the other hand, regarding the proposed amendment to para. 67, the plaintiffs have not pleaded any material facts in support of an allegation of breach of duty on the part of Transamerica to supervise or monitor Jang. Indeed, there is no general plea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Transamerica. Rather, para. 62 simply pleads that Transamerica is vicariously liable for the actions of Jang. The material facts pleaded in para. 63 deal with omissions on the part of Transamerica after the termination of Jang.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Thus, I agree with the position of Transamerica. I find the amendment proposed in para. 67(c) amounts to a substantially different claim against it and pleads a new cause of action. Therefore, the proposed amendment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2: Disclosure of Settlement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second issue relates to the amendments sought in proposed paras. 32-33 and 72 of the pleadings, which set out the following facts (paras. 31 and 71 are not contested):</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September 2007, Transamerica provided the Plaintiff Nelly Wong with several alternative options for coverage because Nelly Wong could not pay the high premiums on the insurance policy Kalano Jang had recommended to her.</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best of these options required the Plaintiff Nelly Wong to inject a further amount into Transamerica insurance. To change policies, Transamerica required Ms. Wong to execute a number of "forms". She was given six days to decide or she would remain paying the high premiums on the policies recommended by Kalano Jang. No suggestion was made that she should obtain independent legal advice. In these forms was included a general release, releasing Transamerica and its agents from all liability.</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Nelly Wong did not sign the release.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Transamerica's breach of the duty to deal with the Plaintiffs in good faith constitutes a separate actionable wrong to their vicarious liability for their agent's actions.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Transamerica's actions after gaining knowledge of Kalano Jang's improper conduct, </w:t>
      </w:r>
      <w:r>
        <w:rPr>
          <w:rFonts w:ascii="arial" w:eastAsia="arial" w:hAnsi="arial" w:cs="arial"/>
          <w:color w:val="000000"/>
          <w:sz w:val="20"/>
          <w:u w:val="single"/>
          <w:lang w:val="en-US" w:eastAsia="en-US" w:bidi="ar-SA"/>
        </w:rPr>
        <w:t>including the circumstances regarding amending Nelly Wong's insurance policy,</w:t>
      </w:r>
      <w:r>
        <w:rPr>
          <w:rFonts w:ascii="arial" w:eastAsia="arial" w:hAnsi="arial" w:cs="arial"/>
          <w:color w:val="000000"/>
          <w:sz w:val="20"/>
          <w:lang w:val="en-US" w:eastAsia="en-US" w:bidi="ar-SA"/>
        </w:rPr>
        <w:t xml:space="preserve"> were harsh, reprehensible and malicious and completely contrary to their duty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seek these proposed amendments to claim that Transamerica breached its duty of good faith by attempting to trick them into releasing their legal rights before they knew of them. They wish to have the court decide whether Transamerica's actions should attract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Transamerica takes the position that settlement privilege protects the communications referred to in these proposed paragraphs.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plaintiffs rely upon Sopinka, Lederman and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Third Edition (Toronto: LexisNexis, 2009) at 1033 ("Sopinka"), where the three conditions that must be present for privilege to be recognized are stated as follows:</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litigious dispute must be in existence or within contemplation.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communication must be made with the express or implied intention that it would not be disclosed to the court in the event negotiations failed.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communication must be to attempt to effect a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plaintiffs note that this test is referred to in </w:t>
      </w:r>
      <w:r>
        <w:rPr>
          <w:rFonts w:ascii="arial" w:eastAsia="arial" w:hAnsi="arial" w:cs="arial"/>
          <w:i/>
          <w:color w:val="000000"/>
          <w:sz w:val="20"/>
          <w:lang w:val="en-US" w:eastAsia="en-US" w:bidi="ar-SA"/>
        </w:rPr>
        <w:t>Todoruk v. Trapp</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2005 BCSC 1702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submit that none of these conditions are present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Transamerica submits, in contrast to the law set out in Sopinka, the test really has only two conditions, essentially parts (a) and (c); part (b) can be implied from the circumstances. Counsel cited </w:t>
      </w:r>
      <w:r>
        <w:rPr>
          <w:rFonts w:ascii="arial" w:eastAsia="arial" w:hAnsi="arial" w:cs="arial"/>
          <w:i/>
          <w:color w:val="000000"/>
          <w:sz w:val="20"/>
          <w:lang w:val="en-US" w:eastAsia="en-US" w:bidi="ar-SA"/>
        </w:rPr>
        <w:t>De Bathe v. T.A. Steadman Holdings Inc.</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2001 BCSC 1817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Sinclair v. Roy</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(1985), 65 B.C.L.R. 219</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Blue Line Hockey Acquisition Co. v. Orca Bay Hockey Ltd</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2007 BCSC 143</w:t>
        </w:r>
      </w:hyperlink>
      <w:r>
        <w:rPr>
          <w:rFonts w:ascii="arial" w:eastAsia="arial" w:hAnsi="arial" w:cs="arial"/>
          <w:color w:val="000000"/>
          <w:sz w:val="20"/>
          <w:lang w:val="en-US" w:eastAsia="en-US" w:bidi="ar-SA"/>
        </w:rPr>
        <w:t>, in support of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Counsel for Transamerica also referred to the discussion on this point set out in </w:t>
      </w:r>
      <w:r>
        <w:rPr>
          <w:rFonts w:ascii="arial" w:eastAsia="arial" w:hAnsi="arial" w:cs="arial"/>
          <w:i/>
          <w:color w:val="000000"/>
          <w:sz w:val="20"/>
          <w:lang w:val="en-US" w:eastAsia="en-US" w:bidi="ar-SA"/>
        </w:rPr>
        <w:t>Welch v. Welch</w:t>
      </w:r>
      <w:r>
        <w:rPr>
          <w:rFonts w:ascii="arial" w:eastAsia="arial" w:hAnsi="arial" w:cs="arial"/>
          <w:color w:val="000000"/>
          <w:sz w:val="20"/>
          <w:lang w:val="en-US" w:eastAsia="en-US" w:bidi="ar-SA"/>
        </w:rPr>
        <w:t xml:space="preserve"> (1994), 27 C.P.C. (3d) 190 (Ont. Gen. Div.) where at para. 21 the court concluded:</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Logically, a condition will only exist where there is a factual basis to support it. A review of these authorities clearly indicates that where litigants attempt to negotiate settlement of their differences without the intervention of their solicitors, the courts will imply an intention that any communication not be disclosed to the court in the event that negotiations fail. Thus, the suggestion by the authors of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xml:space="preserve"> that there is a condition that the communications must be made with the implied intention that it not be disclosed to the court in the event that negotiations fail is not supported by the authorities. None of the cases appear to require some factual underpinning to imply an intention. Conditions (a) and (c) need only be established to attach the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my view, the plaintiffs' application on this issue should succeed, regardless of which approach to settlement privilege is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By way of background, as set out in Ms. Wong's affidavit, in September 2007, Transamerica sent its Toronto representative, Ms. Monica Ly, to Vancouver to meet with Transamerica customers who had been advised by Jang. At her examination for discovery, Ms. Ly testified that she made the trip to find out if there were concerns with any of the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Ly met with the plaintiffs to discuss their policies. Following this meeting, Ms. Ly sent Ms. Wong information about options to change her life insurance policy. Ms. Wong deposed that she had no idea of the grounds upon which Jang was terminated at that time. She also had no cause to believe that there were any grounds for litigation against him or Transamerica.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October 22, 2007, Ms. Wong received a letter from Transamerica requiring her response to the options that had been presented to her through Ms. Ly. On October 26, she indicated to Ms. Ly the option she preferred. On October 30, she received a letter from Transamerica explaining that in order to proceed with the option she had chosen, she would be required to execute a "Formal Agreement", a copy of which was attached to the letter. Attached as Schedule A to the Formal Agreement was a "Release" which, if signed, would operate to release Transamerica and "its current and former employees, directors, successors, assigns, administrators, managers, agents, and lawyers" of and from "all manner of actions, causes of action arising out of the issuance of the following policies of insurance: ..." Ms. Wong deposed that at no time did Ms. Ly advise her to consult legal counsel or anyone other than another Transamerica agent about executing this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Wong also deposed that Ms. Ly did not indicate, either expressly or impliedly, that their communications were not to be disclosed should she not agree to sign the Formal Agreement or Release. As well, she said that there was no dispute to settle at the time Ms. Ly made her trip to Vancouver to discuss Ms. Wong's concerns about her life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After receiving the Formal Agreement and Release, Ms. Wong obtained legal counsel. She did not sign the Formal Agreement or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Transamerica submits that a litigious dispute was contemplated. The October 30 letter attached a release document that mentioned actions, causes of action and civil proceedings. Counsel contended that clearly Transamerica contemplated a litigious dispute and that this would have been abundantly plain to Ms. Wong on reviewing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point out that the onus is on Transamerica, as the party asserting privilege, to establish the privilege. I agree with the plaintiffs that, on the evidence, no dispute, let alone a litigious one, existed between the plaintiffs and Transamerica in October 2007. As the plaintiffs point out, Ms. Ly is an insurance agent, not a lawyer, and the purpose of her trip to Vancouver was to make inquiries of customers about their concerns with their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Wong deposed that because Transamerica did not disclose the true facts surrounding Jang's termination, she had no reason at the time to contemplate litigation against him, any of his companies or Transamerica. According to her evidence, these are facts which, had they been known to her, would have caused her to contemplate litigation. Further, the fact that she chose to exchange her policy, compensating Transamerica in the process, reinforces her position that she was not contemplating litigation against Transamerica. She was not aware of any reason for the requirement of signing a release nor any action she would be releasing Transamerica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Finally, the communication only requested Ms. Wong to sign and return the documents. Transamerica did not advise her that signing the release may affect her legal rights or that she should obtain independent legal advice. As already mentioned, the context in October 2007 was never one of a dispute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circumstances, I agree with the plaintiff's position on this issue. On the evidence, there was no express or implied intention between Ms. Wong and Ms. Ly that their communications not be disclosed should negotiations between them fail. Simply put, Ms. Wong could not communicate to settle a claim that she did not even know existed at the time. Moreover, I find that the existence of the release document did not indicate that the purpose of the communication was to reach a settlement between the parties. Ms. Wong did not receive advice from Transamerica that she was releasing her legal rights or that she should seek advice on the effect of signing the release that was included in the documents relating to her policy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result, I find that settlement privilege does not apply. Therefore, the amendments sought are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application to further amend the Amended Notice of Civil Claim to insert the additional allegations in proposed para. 67(c) is dismissed. The amendments sought in relation to proposed paras. 32-33 and 72 of the pleadings are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B.I. 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5" style="position:absolute;z-index:251830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Fochler v. Dancer-Poulin, [2007] B.C.J. No. 2862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E.G. Chamberlist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 and 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21442/04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2862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294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Patti Fochler, Plaintiff, and Shannon Dancer-Poulin and Edward Burke Barnes,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(79 paras.)</w:t>
      </w:r>
    </w:p>
    <w:p>
      <w:pPr>
        <w:jc w:val="both"/>
        <w:rPr>
          <w:rFonts w:ascii="arial" w:eastAsia="arial" w:hAnsi="arial" w:cs="arial"/>
          <w:sz w:val="20"/>
          <w:lang w:val="en-US" w:eastAsia="en-US" w:bidi="ar-SA"/>
        </w:rPr>
      </w:pPr>
      <w:bookmarkStart w:id="117" w:name="Counsel_18"/>
      <w:bookmarkEnd w:id="1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6"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O. Hui.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J.S. Stanley.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8" w:name="Judgment_18"/>
      <w:bookmarkEnd w:id="118"/>
      <w:r>
        <w:pict>
          <v:line id="_x0000_s1117" style="position:absolute;z-index:251728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9" w:name="E.G. CHAMBERLIST J."/>
            <w:bookmarkEnd w:id="119"/>
            <w:r>
              <w:rPr>
                <w:rFonts w:ascii="arial" w:eastAsia="arial" w:hAnsi="arial" w:cs="arial"/>
                <w:b/>
                <w:color w:val="000000"/>
                <w:sz w:val="30"/>
                <w:lang w:val="en-US" w:eastAsia="en-US" w:bidi="ar-SA"/>
              </w:rPr>
              <w:t>E.G. CHAMBERLIST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these proceedings, by agreement, the court is asked to determine only the issue of liability arising out of the plaintiff's injuries sustained when a ladder, positioned against the defendant's home, fell while the plaintiff was on it causing personal injuries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seeks to establish liability for the accident on the defendants by virtue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as amended and also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simpliciter. The defendants defend on the basis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defendants nor was there any breach by the defendants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if that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applies and further submits that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would not apply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purposes of these reasons I will refer to the plaintiff by her now married name, being Patricia Akenhurst, and I will refer to the defendant Shannon Dancer-Poulin by her married name, being Shannon Barnes.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Akenhurst, aged 38 on October 3rd, 2002 was on that date employed in and about the Bon Voyage Esso business in the City of Prince George. On that day she had been painting the island and posts at the Esso station and also worked as a janitor at the adjacent Bon Voyage restaurant. Shannon Barnes was a waitress at the Bon Voyage restaurant. Ms. Barnes had become acquainted with Ms. Akenhurst through her being a regular customer at the restaurant. While Ms. Akenhurst was in attendance at the restaurant on October 3rd, 2002 she had a conversation with Ms. Barnes when Ms. Barnes had indicated to her that she had leaks in the roof of her manufactured home. Ms. Akenhurst advised Ms. Barnes that she knew how to tar roofs and without any invitation from Ms. Barnes, Ms. Akenhurst volunteered to come and help her with resealing the roof. The two of them then drove in Ms. Barnes' van to Ms. Akenhurst's home where Ms. Akenhurst changed her clothing and then the two of them drove to Ms. Barnes' home. On arrival, Ms. Barnes went into the manufactured home to also change her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common ground that Ms. Barnes advised Ms. Akenhurst that Ms. Barnes had a fear of heights with that discussion taking place either on their drive to the Barnes' residence or at the Barnes' residence before either of them ascended the ladder. October 3rd, 2002 was the first time Ms. Akenhurst had attended the Barnes'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trial, there was really no issue with respect to who between the two of these parties had the most experience in ascending and descending ladders. Ms. Akenhurst had had considerable experience with ladders over the years and she gave examples of that experience in her testimony. She also had experience repairing roofs from when she was a teenager. It appears, however, that the nature of her past experiences on roofs was that the ladder had been set on the ground and not on a deck. The Barnes' residence has a wood deck located in front of the left side of the residence with the deck boards running parallel to the face of the residence. There is a doorway from the deck leading into the residence and to the left of the deck is a steel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ladder was placed between the post and the doorway and extended so that approximately between two and four rungs were above the roofline. The ladder had rubberized feet which were placed on the deck. It had rained the night before and the decking was damp. It was not raining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Akenhurst testified that Ms. Barnes had set the ladder up on the deck and Ms. Akenhurst had questioned its location stating that it should be placed on the ground but that Ms. Barnes had indicated that it would be okay where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Barnes testified that when she came out of her residence after having changed her clothes, Ms. Akenhurst had positioned the ladder on the deck where Ms. Barnes had suggested that other persons, being her husband and a building inspector, had positioned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have concluded that in all probability there was a discussion between them before Ms. Barnes went into the house to change her clothing regarding the positioning of the ladder, and that Ms. Akenhurst preferred to have it on the ground but accepted the suggestion of Ms. Barnes that it be placed on the deck where she had seen it placed by others who had used a ladder to access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have come to this conclusion because I accept Ms. Barnes' evidence that she has a real fear of heights and that this was discussed with Ms. Akenhurst before either of them went up the ladder. In addition, Ms. Barnes had very little experience with ladders.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Once the ladder was put in place there was no concern expressed by the plaintiff that the ladder was not at a safe distance from the base of the wall. No safety concerns were expressed by the plaintiff with respect to her positioning of the ladder before she climbed it. The plaintiff was aware that the deck was damp. The ladder appeared to the plaintiff to be in good condition and the plaintiff did not examine it before mounting the 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Barnes climbed the ladder while the plaintiff held it in place for her. The ladder appeared stable to Ms. Barnes and did not move. Likewise, the ladder appeared secure to the plaintiff as Ms. Barnes mounted it. Once on top of the roof, Ms. Barnes held the top of the ladder for a portion of the plaintiff's ascent. Once the plaintiff was 3 to 4 rungs from reaching the top Ms. Barnes let go of the ladder so that the plaintiff could mount the roof. No difficulty was encountered by the plaintiff as she ascended the ladder and it appeared secure to her. No movement was noted in the ladder as the plaintiff climbed it, and nothing about the position of the ladder caused the plaintiff any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both of them were on the roof, it was discovered that they had forgotten to take putty knives with them. Ms. Akenhurst offered to descend the ladder to obtain the putty knives. The plaintiff got onto the ladder and started descending down it. According to her testimony she felt a sensation that the feet of the ladder were sliding out. Thereafter the plaintiff and the ladder tumbled to the deck, resulting in a severe injury to her left leg and a lesser injury to her left elbow. The position of the ladder had not changed from when the plaintiff first ascended it to when she was descending it. The left side of the ladder was the first side to come away from the roof causing the ladder to twist to the right and allowing the plaintiff to fall to the right side before the ladder fell on top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addition to the dispute between the two persons present as to who placed the ladder, there is also the dispute as to the positioning of the ladder. At trial Ms. Akenhurst was shown photographs of the scene (photograph #37, Cunningham Lindsey Canada Ltd.). When she viewed the photograph at trial she indicated that the feet of the ladder were further from the base of the house. She was then directed to the transcript of her examination for discovery (Q. 384) where this exchange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37 depicts the angle, and you say that that angle's accurate?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 I remember.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Akenhurst testified that she had had nightmares which had refreshed her memory so that her evidence given at trial was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defence submits that the plaintiff sought to increase the distance from the base of the house so as to accord with the opinion of Granville Airton, an expert called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note that the examination for discovery of the plaintiff took place on March 11, 2005, while the report authored by Mr. Airton is dated April 27,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Just as it was necessary to resolve the inconsistency in the evidence heard at trial with respect to the placement of the ladder, it is also necessary to deal with the manner in which the plaintiff descended the ladder when she went to retrieve the putty knives and the actual position of the ladder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Barnes testified that the plaintiff had stepped down a few rungs before the accident occurred. Ms. Akenhurst testified that she had not yet firmly placed both feet on the ladder when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seconds surrounding the fall are of course subject to interpretation by both parties. The manner in which the plaintiff descended the ladder is not important. What is important and relevant to the determination of liability is the fact that I have found that the ladder was put in place against the house by the plaintiff. She obviously felt it was safe before she ascended it and according to her evidence it did not move while she climbed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While Ms. Akenhurst testified that she had not yet firmly placed both of her feet on the ladder when she fell, Ms. Barnes testified that Ms. Akenhurst had indeed stepped down a few rungs before the accident occurred. If Ms. Barnes' testimony is correct, and the plaintiff had stepped down a few rungs before the accident occurred, then the ladder slipping away at the base as the plaintiff alleges will be less 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own expert, Granville Airton, P. Eng., of Consulco Forensic Engineering Inc., at p. 5 of his report, opined and agreed in cross-examination, the ladder is more likely to slip out its base when weight is placed on higher rungs as opposed to lower rungs. So, if the plaintiff had begun to descend the ladder as testified by Ms. Barnes, then it was increasingly less likely that the ladder would have slipped away as she descended each rung.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must say I am inclined to accept the evidence of Ms. Barnes over the evidence of Ms. Akenhurst when it comes to determining how far down the ladder the plaintiff had descended when the accident occurred. I have already indicated that I prefer the evidence of Ms. Barnes to that of Ms. Akenhurst when it comes to determining who positioned the 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herself conceded that her memory of some of the events was not good and I am mindful of the fact that the plaintiff is certainly more financially interested in the outcome of this proceeding than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conclude that the plaintiff had already stepped down a few rungs on the ladder before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have also considered what difference it would make if I accepted the plaintiff's evidence of her descent over that of the defendant. Common sense would dictate that the ladder would not likely have slid out at its base as the plaintiff stepped on the first rung below the roof line because the ladder, according to the plaintiff herself, was in the exact same position as when she ascended the ladder and it had not moved since that time. The plaintiff was not able to see the feet of the ladder move. It is only speculation that the ladder slipped away at its base because no one, including the expert, has been able to say what caused the ladder to move, and in fact, no explanation is given as to how or why the accident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note that it is just as probable that the accident occurred because the plaintiff had not balanced her weight properly on the ladder when descending it. According to Ms. Akenhurst's own evidence, the ladder twisted to the right as she sought to move her weight to the right before bringing her left foot onto the next rung. Ms. Akenhurst gave evidence that the ladder twisted in the direction to which she had shifted her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Akenhurst also testified that the left side of the ladder was the first side to come away from the roof, which would be consistent with an improper amount of weight being placed on the right side of the ladder. The plaintiff certainly fell to the right and the ladder came down on top of her, which is also consistent with her placing an improper amount of weight on the right side of the ladder. Similarly, the plaintiff may have simply lost her step or grip and grabbed the ladder as she fell, pulling it on top of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again have determined to accept Ms. Barnes' testimony over Ms. Akenhurst's testimony. Ms. Akenhurst's inconsistent evidence as to the distance the ladder was from the base of the wall, in my view, puts her credibility in issue with respect to this issue as well. Her financial interest in this proceeding along with her inconsistent evidence is troubling. Ms. Barnes gave her evidence in a straight forward manner. Her evidence was not adversely affected by cross-examination and she appeared to have a very firm recollection of what happened at the time of Ms. Akenhurst descending the 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coming to this conclusion I have considered the expert evidence of Granville Airton. Mr. Airton, in his report, summarized his findings at p. 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ladder was positioned against the roof at the time of the accident as shown in the photographs provided, its slope was about 16% greater than is recommended in the WCB Regulations and in the usage guide on the side of the ladder. The greater the slope the greater the likelihood is that its bottom end would slide out away from the wall.</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ladder had been either tied off to the beam that projected out of the corner of the roof, had a wooden cleat nailed on the deck at its bottom end or someone had been holding the ladder at the bottom it would not have slid out as it very likely did and thus caused the accident.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previous investigation show in my own experiences that wet wood and especially wet, unpainted wood such as was present on this deck is slippery. Therefore, if the ladder's feet had been placed on the wet wooden deck with no cleat to prevent them from sliding, there was no one holding the ladder or if it was not tied off at the top to the beam at the corner of the roof, it could have slid out and caused this accident.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the ladder been tied to the beam at the corner of the roof it would have been prevented from sliding sideways on the flashing at the edge of the roof. This would have prevented a weight shift by Ms. Fochler [Akenhurst] at the top of the ladder from causing the ladder to slide sideways. Therefore, if the accident was a result of the ladder sliding sideways, it would have been prevented if the ladder had been secured thus.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have considered Mr. Airton's opinion and the various solutions he claims would have prevented the accident but none of these solutions can be considered evidence as to the standard of care which is what this case deals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Airton refers to a WCB standard but he himself admits that he did not know the standard and was required to look it up. I have concluded that if a consulting engineer needed to look up a WCB standard then it is not something that a lay person positioning a ladder would be familiar with. As such this is not evidence as to the standard of care required by a lay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Mr. Airton has concluded that the ladder was 16% further from the base than the WCB standard required, Mr. Airton has not provided any opinion that this difference was causative of the accident. The percentage difference is not based on any measurements taken by Mr. Airton but is rather an estimate of what he believed the distances to be. Mr. Airton was not aware of the decking having any particular dimension and he assumed the ladder to be of a particular height. Mr. Airton acknowledged that WCB standards do not require ladders to be fastened with cleats or ropes. It is also clear from his report that he assumed the ladder had slipped away, meaning either that the ladder's legs either lifted or moved away from the wall. In his report, in summary, Mr. Airton offered various solutions that would have prevented this but he offered no evidence to prove these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must be remembered that the plaintiff testified that the deck was not slippery, but rather was just damp.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Further, I have found that the evidence is just as probable that the ladder twisted to the right as the plaintiff repositioned her weight on the ladder but Mr. Airton's opinion presupposes the cause of the accident as being the ladder slipping away at its base without any evidence of that causative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have concluded that his summary and recommendations contained in the report are essentially submissions on behalf of the plaintiff and that Mr. Airton has taken on the role of advocate on behalf of the plaintiff. I have therefore determined to attach little weight to the opinions of Mr. Airton as they are offered to provide the reason for the accident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At the conclusion of the plaintiff's case the defence sought to read in as part of its case questions 377 to 384 of the examination for discovery of the plaintiff held on March 11, 2005. I declared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with respect to the read-ins and reserved my decision on the admissibility of the evidence read in. The defence position was that it was necessary to read in the evidence of the plaintiff taken at the examination for discovery so that that evidence would be proof of the statements contained therein. The defence relies on r. 40(27) and the decision of our Court of Appeal in </w:t>
      </w:r>
      <w:r>
        <w:rPr>
          <w:rFonts w:ascii="arial" w:eastAsia="arial" w:hAnsi="arial" w:cs="arial"/>
          <w:b/>
          <w:i/>
          <w:color w:val="000000"/>
          <w:sz w:val="20"/>
          <w:lang w:val="en-US" w:eastAsia="en-US" w:bidi="ar-SA"/>
        </w:rPr>
        <w:t>Hickson v. Roberts</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2004 BCCA 335</w:t>
        </w:r>
      </w:hyperlink>
      <w:r>
        <w:rPr>
          <w:rFonts w:ascii="arial" w:eastAsia="arial" w:hAnsi="arial" w:cs="arial"/>
          <w:color w:val="000000"/>
          <w:sz w:val="20"/>
          <w:lang w:val="en-US" w:eastAsia="en-US" w:bidi="ar-SA"/>
        </w:rPr>
        <w:t xml:space="preserve">. It is clear from a reading of r. 40(27) that it expressly permits discovery evidence to be used at trial. A review of the </w:t>
      </w:r>
      <w:r>
        <w:rPr>
          <w:rFonts w:ascii="arial" w:eastAsia="arial" w:hAnsi="arial" w:cs="arial"/>
          <w:b/>
          <w:i/>
          <w:color w:val="000000"/>
          <w:sz w:val="20"/>
          <w:lang w:val="en-US" w:eastAsia="en-US" w:bidi="ar-SA"/>
        </w:rPr>
        <w:t>Hickson</w:t>
      </w:r>
      <w:r>
        <w:rPr>
          <w:rFonts w:ascii="arial" w:eastAsia="arial" w:hAnsi="arial" w:cs="arial"/>
          <w:color w:val="000000"/>
          <w:sz w:val="20"/>
          <w:lang w:val="en-US" w:eastAsia="en-US" w:bidi="ar-SA"/>
        </w:rPr>
        <w:t xml:space="preserve"> decision makes it abundantly clear that in fact a defendant has the right to read discovery of a plaintiff into evidence as proof of the statements given at the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Hickson</w:t>
      </w:r>
      <w:r>
        <w:rPr>
          <w:rFonts w:ascii="arial" w:eastAsia="arial" w:hAnsi="arial" w:cs="arial"/>
          <w:color w:val="000000"/>
          <w:sz w:val="20"/>
          <w:lang w:val="en-US" w:eastAsia="en-US" w:bidi="ar-SA"/>
        </w:rPr>
        <w:t>, during cross-examination of the plaintiff, defence counsel put several questions and answers to the plaintiff from the transcript of his examination for discovery, but the plaintiff testified that he could not recall either giving the answers or being examined at all. Defence counsel did not subsequently read the questions and answers into the record as part of the defence case. At para. 4, Smith J.A., writing for the majority,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Counsel did not subsequently read the questions and answers into the record as part of the defendant's case, as he was entitled to do by virtue of Rule 40(27)(a), </w:t>
      </w:r>
      <w:r>
        <w:rPr>
          <w:rFonts w:ascii="arial" w:eastAsia="arial" w:hAnsi="arial" w:cs="arial"/>
          <w:i/>
          <w:color w:val="000000"/>
          <w:sz w:val="20"/>
          <w:lang w:val="en-US" w:eastAsia="en-US" w:bidi="ar-SA"/>
        </w:rPr>
        <w:t>B.C.Reg. 221/90</w:t>
      </w:r>
      <w:r>
        <w:rPr>
          <w:rFonts w:ascii="arial" w:eastAsia="arial" w:hAnsi="arial" w:cs="arial"/>
          <w:color w:val="000000"/>
          <w:sz w:val="20"/>
          <w:lang w:val="en-US" w:eastAsia="en-US" w:bidi="ar-SA"/>
        </w:rPr>
        <w:t>. Thus the plaintiff's answers on discovery did not become evidence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Justice Southin agreed with this view in her dissenting judgment when after quoting r. 40(27)(a); s. 14(1) of the </w:t>
      </w:r>
      <w:r>
        <w:rPr>
          <w:rFonts w:ascii="arial" w:eastAsia="arial" w:hAnsi="arial" w:cs="arial"/>
          <w:b/>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xml:space="preserve">; and an extract from J. Sopinka and S.N. Letterman, </w:t>
      </w:r>
      <w:r>
        <w:rPr>
          <w:rFonts w:ascii="arial" w:eastAsia="arial" w:hAnsi="arial" w:cs="arial"/>
          <w:i/>
          <w:color w:val="000000"/>
          <w:sz w:val="20"/>
          <w:lang w:val="en-US" w:eastAsia="en-US" w:bidi="ar-SA"/>
        </w:rPr>
        <w:t>The Law of Evidence in Civil Cases</w:t>
      </w:r>
      <w:r>
        <w:rPr>
          <w:rFonts w:ascii="arial" w:eastAsia="arial" w:hAnsi="arial" w:cs="arial"/>
          <w:color w:val="000000"/>
          <w:sz w:val="20"/>
          <w:lang w:val="en-US" w:eastAsia="en-US" w:bidi="ar-SA"/>
        </w:rPr>
        <w:t xml:space="preserve"> (Toronto: Butterworths, 1974) at 513, concluded this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counsel ought to have done was tendered this evidence as part of his own case, setting the plain words of r. 40(27).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the case at bar the defendant sought to read in portions of the plaintiff's discovery evidence so that this evidence could become evidence to be weighed. The discovery evidence was put to the plaintiff in her cross-examination by defence counsel which followed the convention discussed in the </w:t>
      </w:r>
      <w:r>
        <w:rPr>
          <w:rFonts w:ascii="arial" w:eastAsia="arial" w:hAnsi="arial" w:cs="arial"/>
          <w:b/>
          <w:i/>
          <w:color w:val="000000"/>
          <w:sz w:val="20"/>
          <w:lang w:val="en-US" w:eastAsia="en-US" w:bidi="ar-SA"/>
        </w:rPr>
        <w:t>Hickson</w:t>
      </w:r>
      <w:r>
        <w:rPr>
          <w:rFonts w:ascii="arial" w:eastAsia="arial" w:hAnsi="arial" w:cs="arial"/>
          <w:color w:val="000000"/>
          <w:sz w:val="20"/>
          <w:lang w:val="en-US" w:eastAsia="en-US" w:bidi="ar-SA"/>
        </w:rPr>
        <w:t xml:space="preserve"> decision. Discovery evidence was put to the plaintiff because she gave contradictory evidence in her direct examination at trial. She refused to adopt the discovery evidence which resulted in an impeachment.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 am satisfied after reading the </w:t>
      </w:r>
      <w:r>
        <w:rPr>
          <w:rFonts w:ascii="arial" w:eastAsia="arial" w:hAnsi="arial" w:cs="arial"/>
          <w:b/>
          <w:i/>
          <w:color w:val="000000"/>
          <w:sz w:val="20"/>
          <w:lang w:val="en-US" w:eastAsia="en-US" w:bidi="ar-SA"/>
        </w:rPr>
        <w:t>Hickson</w:t>
      </w:r>
      <w:r>
        <w:rPr>
          <w:rFonts w:ascii="arial" w:eastAsia="arial" w:hAnsi="arial" w:cs="arial"/>
          <w:color w:val="000000"/>
          <w:sz w:val="20"/>
          <w:lang w:val="en-US" w:eastAsia="en-US" w:bidi="ar-SA"/>
        </w:rPr>
        <w:t xml:space="preserve"> decision that as the plaintiff did not adopt her discovery evidence and as a result it did not become evidence, that the only way to make the discovery evidence given by the plaintiff evidence at the trial was to read it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purpose of the use to be made of the discovery evidence was the defendant's desire to use it to prove a material fact in the proceeding, namely, the approximate distance the feet of the ladder were from the base of the house. I have already referred to that evidence earlier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This evidence, I have concluded, is of a critical nature to the defendant's case; in a case such as this, where the credibility of the plaintiff is put into issue. As so ably put by defence counsel, the defendants are entitled to construct their case based on admissions and evidence provided by the plaintiff at her examination for discovery. I accept that if the discovery evidence is not read in, the plaintiff would thereby be permitted to resile from an admission that is favourable to the defendants. In this case the impeachment has allowed the defendants to make arguments as to the plaintiff's credibility, but I accept that if I did not allow the evidence in, it would not allow them to prove the fact that is the subject of the discovery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this case I am satisfied that defence counsel very properly put the contradictory evidence to the plaintiff in her cross-examination and she was provided with an opportunity to explain the inconsistency.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As a result, the evidence heard on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namely the read-ins of the plaintiff's evidence given on discovery, will become part of the evidence heard in the trial 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 submits that the defendants are occupiers of the premises in accordance with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as amended. The defendants in this case have admitted that they are owners and clearly have physical possession of the premises. As such, pursuant to s. 3(1)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does apply, the defendants have a duty to take care that in all the circumstances of the case they must act reasonably to ensure that the plaintiff would be reasonably safe using the premises. Section 3(3)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however excludes risks that are willingly assumed by a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 number of cases were referred to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Dugas v. Ferme Oscar Daigle &amp; Fils Ltee</w:t>
      </w:r>
      <w:r>
        <w:rPr>
          <w:rFonts w:ascii="arial" w:eastAsia="arial" w:hAnsi="arial" w:cs="arial"/>
          <w:color w:val="000000"/>
          <w:sz w:val="20"/>
          <w:lang w:val="en-US" w:eastAsia="en-US" w:bidi="ar-SA"/>
        </w:rPr>
        <w:t xml:space="preserve">, 1983 CarswellNB 464, </w:t>
      </w:r>
      <w:hyperlink r:id="rId342" w:history="1">
        <w:r>
          <w:rPr>
            <w:rFonts w:ascii="arial" w:eastAsia="arial" w:hAnsi="arial" w:cs="arial"/>
            <w:i/>
            <w:color w:val="0077CC"/>
            <w:sz w:val="20"/>
            <w:u w:val="single"/>
            <w:shd w:val="clear" w:color="auto" w:fill="FFFFFF"/>
            <w:lang w:val="en-US" w:eastAsia="en-US" w:bidi="ar-SA"/>
          </w:rPr>
          <w:t>51 N.B.R. (2d) 391</w:t>
        </w:r>
      </w:hyperlink>
      <w:r>
        <w:rPr>
          <w:rFonts w:ascii="arial" w:eastAsia="arial" w:hAnsi="arial" w:cs="arial"/>
          <w:color w:val="000000"/>
          <w:sz w:val="20"/>
          <w:lang w:val="en-US" w:eastAsia="en-US" w:bidi="ar-SA"/>
        </w:rPr>
        <w:t>, 134 A.P.R. 391 (N.B.Q.B.), the plaintiff repairman fell from a ladder while repairing a garage door for the defendant. The ladder was on a concrete floor covered with oil and grease. The defendant had not warned the plaintiff of this danger, which was found to be unusual. The court held that the plaintiff was contributorily negligent for failing to take precautions necessary to ensure his own safety. Liability was apportioned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noteworthy that the plaintiff in that case was aware of the unusual danger posed by the slippery floor, although the court did not consider there was any voluntary assumption of risk under the common law standard. At para. 10 of the decision,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Lingley v. Dominion Stores Limited</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(1978), 23 N.B.R. (2d) 546</w:t>
        </w:r>
      </w:hyperlink>
      <w:r>
        <w:rPr>
          <w:rFonts w:ascii="arial" w:eastAsia="arial" w:hAnsi="arial" w:cs="arial"/>
          <w:color w:val="000000"/>
          <w:sz w:val="20"/>
          <w:lang w:val="en-US" w:eastAsia="en-US" w:bidi="ar-SA"/>
        </w:rPr>
        <w:t xml:space="preserve">; 44 A.P.R. 546, at pages 551 and 552, Stratton, J., quoted a passage from the </w:t>
      </w:r>
      <w:r>
        <w:rPr>
          <w:rFonts w:ascii="arial" w:eastAsia="arial" w:hAnsi="arial" w:cs="arial"/>
          <w:i/>
          <w:color w:val="000000"/>
          <w:sz w:val="20"/>
          <w:lang w:val="en-US" w:eastAsia="en-US" w:bidi="ar-SA"/>
        </w:rPr>
        <w:t>Indermaur</w:t>
      </w:r>
      <w:r>
        <w:rPr>
          <w:rFonts w:ascii="arial" w:eastAsia="arial" w:hAnsi="arial" w:cs="arial"/>
          <w:color w:val="000000"/>
          <w:sz w:val="20"/>
          <w:lang w:val="en-US" w:eastAsia="en-US" w:bidi="ar-SA"/>
        </w:rPr>
        <w:t xml:space="preserve"> case where Mr. Justice Willes dealt with the duty of care, and continued with the following remarks which in my opinion apply in the present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consider it settled law that (the invitee), using reasonable care on his part for his own safety, is entitled to expect that the occupier shall on his part use reasonable care to prevent damage from unusual danger, which he knows or ought to know; and that, where there is evidence of neglect, the question whether such reasonable care has been taken, by notice, lighting, guarding or otherwise, and whether there was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sufferer, must be determined by a jury as a matter of fact.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questions to be asked and answered in cases such as this present one are: First, was there an unusual danger? Second, did the defendant know or have reason to know about it? Third, did the defendant act reasonably? Fourth, did the plaintiff use reasonable care for her own safety or did she voluntarily incur the risk? see </w:t>
      </w:r>
      <w:r>
        <w:rPr>
          <w:rFonts w:ascii="arial" w:eastAsia="arial" w:hAnsi="arial" w:cs="arial"/>
          <w:i/>
          <w:color w:val="000000"/>
          <w:sz w:val="20"/>
          <w:lang w:val="en-US" w:eastAsia="en-US" w:bidi="ar-SA"/>
        </w:rPr>
        <w:t>Smith v. Provincial Motors</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(1962), 32 D.L.R. (2d) 405</w:t>
        </w:r>
      </w:hyperlink>
      <w:r>
        <w:rPr>
          <w:rFonts w:ascii="arial" w:eastAsia="arial" w:hAnsi="arial" w:cs="arial"/>
          <w:color w:val="000000"/>
          <w:sz w:val="20"/>
          <w:lang w:val="en-US" w:eastAsia="en-US" w:bidi="ar-SA"/>
        </w:rPr>
        <w:t xml:space="preserve">; cited in </w:t>
      </w:r>
      <w:r>
        <w:rPr>
          <w:rFonts w:ascii="arial" w:eastAsia="arial" w:hAnsi="arial" w:cs="arial"/>
          <w:i/>
          <w:color w:val="000000"/>
          <w:sz w:val="20"/>
          <w:lang w:val="en-US" w:eastAsia="en-US" w:bidi="ar-SA"/>
        </w:rPr>
        <w:t>St. Pierre v. Harrison</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(1975), 13 N.B.R. (2d) 527</w:t>
        </w:r>
      </w:hyperlink>
      <w:r>
        <w:rPr>
          <w:rFonts w:ascii="arial" w:eastAsia="arial" w:hAnsi="arial" w:cs="arial"/>
          <w:color w:val="000000"/>
          <w:sz w:val="20"/>
          <w:lang w:val="en-US" w:eastAsia="en-US" w:bidi="ar-SA"/>
        </w:rPr>
        <w:t>; 13 A.P.R. 527.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term 'unusual danger' has been held to be a relative one, depending upon the kind of premises involved and the class of persons who normally visit them: see </w:t>
      </w:r>
      <w:r>
        <w:rPr>
          <w:rFonts w:ascii="arial" w:eastAsia="arial" w:hAnsi="arial" w:cs="arial"/>
          <w:i/>
          <w:color w:val="000000"/>
          <w:sz w:val="20"/>
          <w:lang w:val="en-US" w:eastAsia="en-US" w:bidi="ar-SA"/>
        </w:rPr>
        <w:t>Rafuse v. T. Eaton Co.</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(1958), 11 D.L.R. (2d) 773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Fiddes v. Rayner Construction</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(1964), 45 D.L.R. (2d) 367</w:t>
        </w:r>
      </w:hyperlink>
      <w:r>
        <w:rPr>
          <w:rFonts w:ascii="arial" w:eastAsia="arial" w:hAnsi="arial" w:cs="arial"/>
          <w:color w:val="000000"/>
          <w:sz w:val="20"/>
          <w:lang w:val="en-US" w:eastAsia="en-US" w:bidi="ar-SA"/>
        </w:rPr>
        <w:t xml:space="preserve">. It is an objective notion rather than a subjective one: see </w:t>
      </w:r>
      <w:r>
        <w:rPr>
          <w:rFonts w:ascii="arial" w:eastAsia="arial" w:hAnsi="arial" w:cs="arial"/>
          <w:i/>
          <w:color w:val="000000"/>
          <w:sz w:val="20"/>
          <w:lang w:val="en-US" w:eastAsia="en-US" w:bidi="ar-SA"/>
        </w:rPr>
        <w:t>Campbell v. Royal Bank of Canada</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[1964] S.C.R. 85</w:t>
        </w:r>
      </w:hyperlink>
      <w:r>
        <w:rPr>
          <w:rFonts w:ascii="arial" w:eastAsia="arial" w:hAnsi="arial" w:cs="arial"/>
          <w:color w:val="000000"/>
          <w:sz w:val="20"/>
          <w:lang w:val="en-US" w:eastAsia="en-US" w:bidi="ar-SA"/>
        </w:rPr>
        <w:t xml:space="preserve">. 'Unusual danger is a term of relation; for danger may be unusual having regard to the nature of the premises or the class of persons to whom the invitee belongs', - per MacDonald, J., in </w:t>
      </w:r>
      <w:r>
        <w:rPr>
          <w:rFonts w:ascii="arial" w:eastAsia="arial" w:hAnsi="arial" w:cs="arial"/>
          <w:i/>
          <w:color w:val="000000"/>
          <w:sz w:val="20"/>
          <w:lang w:val="en-US" w:eastAsia="en-US" w:bidi="ar-SA"/>
        </w:rPr>
        <w:t>MacNeil v. Sobeys Stores Ltd.</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(1961), 29 D.L.R. (2d) 761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court went on to conclude, at para. 17 that the plaintiff was also negligent in not taking all necessary precautions to ensure his own safety as he was "certainly aware of the unusual danger created by the oil and grease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that case, the ladder had been placed on a concrete floor with grease and oil on it. That case is somewhat different from the case at bar in that there was something inherently dangerous about the situation which is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Madarasz v. Cairns</w:t>
      </w:r>
      <w:r>
        <w:rPr>
          <w:rFonts w:ascii="arial" w:eastAsia="arial" w:hAnsi="arial" w:cs="arial"/>
          <w:color w:val="000000"/>
          <w:sz w:val="20"/>
          <w:lang w:val="en-US" w:eastAsia="en-US" w:bidi="ar-SA"/>
        </w:rPr>
        <w:t xml:space="preserve">, 1993 CarswellMan 301, </w:t>
      </w:r>
      <w:hyperlink r:id="rId350" w:history="1">
        <w:r>
          <w:rPr>
            <w:rFonts w:ascii="arial" w:eastAsia="arial" w:hAnsi="arial" w:cs="arial"/>
            <w:i/>
            <w:color w:val="0077CC"/>
            <w:sz w:val="20"/>
            <w:u w:val="single"/>
            <w:shd w:val="clear" w:color="auto" w:fill="FFFFFF"/>
            <w:lang w:val="en-US" w:eastAsia="en-US" w:bidi="ar-SA"/>
          </w:rPr>
          <w:t>90 Man.R. (2d) 196</w:t>
        </w:r>
      </w:hyperlink>
      <w:r>
        <w:rPr>
          <w:rFonts w:ascii="arial" w:eastAsia="arial" w:hAnsi="arial" w:cs="arial"/>
          <w:color w:val="000000"/>
          <w:sz w:val="20"/>
          <w:lang w:val="en-US" w:eastAsia="en-US" w:bidi="ar-SA"/>
        </w:rPr>
        <w:t xml:space="preserve"> (Q.B.), two retirees were placing an eavestrough on a house. The defendant later moved the ladder which slipped and caused the plaintiff to fall. Both parties were found to be equally liable. The court found that the fact the ladder slipped permitted an inference that the repositioning of the ladder was a contributing factor to the accident but found that the plaintiff, who had failed to check the ladder, was contributorily negligent. In that case it is noteworthy that the defendant had repositioned the ladder differently from when it was first set up and did not advise the plaintiff of this change. In the case at bar the ladder remained in the same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Bustin v. Saatchi</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[1996] B.C.J. No. 1480</w:t>
        </w:r>
      </w:hyperlink>
      <w:r>
        <w:rPr>
          <w:rFonts w:ascii="arial" w:eastAsia="arial" w:hAnsi="arial" w:cs="arial"/>
          <w:color w:val="000000"/>
          <w:sz w:val="20"/>
          <w:lang w:val="en-US" w:eastAsia="en-US" w:bidi="ar-SA"/>
        </w:rPr>
        <w:t>, 1996 CanLII 949 (B.C.S.C.), the deceased had volunteered to help the defendant install some equipment in a barn holding pen and was descending from an aluminium ladder which slipped causing fatal injuries. The ladder had rested on a dirty floor covered by manure. Although some of the manure had been shovelled away, the floor still remained somewhat slippery. Evidence led at trial indicated that the floor had become more slippery in the course of the day due to more dirt being tracked inside. The court, in that case, noted that there was an element of potential danger involved in having a ladder placed on a cement floor which was to a degree wet and not clean. Because the deceased was a highly experienced repairman he was found two-thirds liable for his own demise.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facts of that case were somewhat unusual being a dirty floor covered by manure.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Wiens v. Serene Lea Farms Ltd. et al</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2000 BCSC 1306</w:t>
        </w:r>
      </w:hyperlink>
      <w:r>
        <w:rPr>
          <w:rFonts w:ascii="arial" w:eastAsia="arial" w:hAnsi="arial" w:cs="arial"/>
          <w:color w:val="000000"/>
          <w:sz w:val="20"/>
          <w:lang w:val="en-US" w:eastAsia="en-US" w:bidi="ar-SA"/>
        </w:rPr>
        <w:t>, the plaintiff was constructing a barn roof when he fell from the ladder sustaining severe traumatic brain injury. In that case, as in this case, the plaintiff had volunteered his labour. The ladder had slipped, again on a manure covered concrete surface. That case to some degree turned on implied promise by one of the defendants to hold the 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Other cases were cited to me by the defence in which the plaintiff's claims in circumstances somewhat similar to this one were dismissed. In </w:t>
      </w:r>
      <w:r>
        <w:rPr>
          <w:rFonts w:ascii="arial" w:eastAsia="arial" w:hAnsi="arial" w:cs="arial"/>
          <w:b/>
          <w:i/>
          <w:color w:val="000000"/>
          <w:sz w:val="20"/>
          <w:lang w:val="en-US" w:eastAsia="en-US" w:bidi="ar-SA"/>
        </w:rPr>
        <w:t>Templeman v. Richardson</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[1995] B.C.J. No. 1995</w:t>
        </w:r>
      </w:hyperlink>
      <w:r>
        <w:rPr>
          <w:rFonts w:ascii="arial" w:eastAsia="arial" w:hAnsi="arial" w:cs="arial"/>
          <w:color w:val="000000"/>
          <w:sz w:val="20"/>
          <w:lang w:val="en-US" w:eastAsia="en-US" w:bidi="ar-SA"/>
        </w:rPr>
        <w:t>, the plaintiff fell from the defendant's home while using scaffolding. The plaintiff had offered the defendant his services as a friend with respect to certain construction renovation projects over the years. The plaintiff himself had worked in construction and had considerable experience in the use of scaffolding. The defendant had limited or no experience with the use of scaffolding. The plaintiff himself supervised the assembly of the scaffold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and one of the defendants began power washing the defendant's home. They completed a section and then moved the scaffolding without disassembling it. The scaffolding platform became wet during the power washing. The plaintiff was aware that safety equipment was available for use on the scaffolding but he chose not to use it. Regretfully, the plaintiff fell from the scaffolding and was injured. It was believed that either some movement of the scaffolding by a person ascending or descending along with the wet surface may have caused him to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court, in those circumstances, found that the plaintiff was unable to establish that the defendant did not take reasonable care to see that the premises and the scaffolding were reasonably safe for use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in the case at bar, the defendant was ignorant with respect to the use of scaffolding while the plaintiff was knowledgeable about its use and the risks associated with its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another scaffolding case, </w:t>
      </w:r>
      <w:r>
        <w:rPr>
          <w:rFonts w:ascii="arial" w:eastAsia="arial" w:hAnsi="arial" w:cs="arial"/>
          <w:b/>
          <w:i/>
          <w:color w:val="000000"/>
          <w:sz w:val="20"/>
          <w:lang w:val="en-US" w:eastAsia="en-US" w:bidi="ar-SA"/>
        </w:rPr>
        <w:t>Bodnarchuk v. Dearin Estate</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[2002] B.C.J. No. 3096</w:t>
        </w:r>
      </w:hyperlink>
      <w:r>
        <w:rPr>
          <w:rFonts w:ascii="arial" w:eastAsia="arial" w:hAnsi="arial" w:cs="arial"/>
          <w:color w:val="000000"/>
          <w:sz w:val="20"/>
          <w:lang w:val="en-US" w:eastAsia="en-US" w:bidi="ar-SA"/>
        </w:rPr>
        <w:t>, the plaintiff fell from the scaffolding while attempting to paint the defendant's house. The plaintiff was a tenant of the defendant who was hired by the defendant to paint the house. At the defendant's request, the plaintiff assisted in the assembly of the scaffolding. The plaintiff then commenced painting the defendant's home. Over the years the plaintiff had used scaffolding on other painting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plaintiff testified that there was nothing he noted during the assembly of the scaffolding that caused him concern about the safety of the scaffold. As the plaintiff moved along the boards on top of the scaffolding, his weight caused the boards to lift up at the opposite end. As a result he fell to the ground. The court dismissed his claim on the basis that the plaintiff had not proved that the scaffolding had been assembled or constructed improperly. The court stated that this was not a situation where the occupier had invited the plaintiff to use the scaffold without the plaintiff having an opportunity to satisfy himself as to its worthiness. The court concluded that the plaintiff had used scaffolding before on other painting jobs and that the plaintiff knowingly assumed the risk and fell from the scaffolding entirely due to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Pogorzelec v. Wincor Properties Limited</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[2000] B.C.J. No. 854</w:t>
        </w:r>
      </w:hyperlink>
      <w:r>
        <w:rPr>
          <w:rFonts w:ascii="arial" w:eastAsia="arial" w:hAnsi="arial" w:cs="arial"/>
          <w:color w:val="000000"/>
          <w:sz w:val="20"/>
          <w:lang w:val="en-US" w:eastAsia="en-US" w:bidi="ar-SA"/>
        </w:rPr>
        <w:t>, the plaintiff fell from a ladder on premises owned by the defendant. The property was a commercial premise. The plaintiff was asked by a subcontractor to consult with respect to sprinkler requirements. The plaintiff agreed to visit the site alone. He did so when the premises were dark and he did not turn on available lights. Relying on natural light, he used an extension ladder that was already in place. The plaintiff rarely climbed ladders in his work and had not done so on his original visit to the premises. The ladder slipped and he fell to the floor. The plaintiff in that case alleged that dust on the floor caused the slip, although there was no debris in the room and crews had washed down the floor. The court dismissed the claim and stated that the plaintiff was aware that the demolition had taken place and as an experienced subcontractor knew that dust or debris could be present. The plaintiff agreed to work alone and had given no indication that he would be using a ladder. He did not attempt to use the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Thack v. Udenberg</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[1988] B.C.J. No. 1471</w:t>
        </w:r>
      </w:hyperlink>
      <w:r>
        <w:rPr>
          <w:rFonts w:ascii="arial" w:eastAsia="arial" w:hAnsi="arial" w:cs="arial"/>
          <w:color w:val="000000"/>
          <w:sz w:val="20"/>
          <w:lang w:val="en-US" w:eastAsia="en-US" w:bidi="ar-SA"/>
        </w:rPr>
        <w:t>, the plaintiff had fallen from a ladder while assisting the defendant to shingle a chicken coop. The plaintiff had offered to help the defendant place shingles on the roof of the chicken coop. The defendant provided two identical five foot aluminium ladders and each of the plaintiff and defendant mounted a ladder. The plaintiff fell. The court found that the ground was level and free of debris and that the plaintiff mounted the aluminium ladder of his own volition. In mounting the ladder the plaintiff testified that he had shook it to test its stability as he reached each of the first three rungs. The court found that the plaintiff, had satisfied himself of the stability of the ladder and concluded that if a danger existed, it was obvious and the defendant was under no duty to warn the plaintiff against obvious dangers. The plaintiff's claim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Wray v. MacLeod</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[1992] B.C.J. No. 1231</w:t>
        </w:r>
      </w:hyperlink>
      <w:r>
        <w:rPr>
          <w:rFonts w:ascii="arial" w:eastAsia="arial" w:hAnsi="arial" w:cs="arial"/>
          <w:color w:val="000000"/>
          <w:sz w:val="20"/>
          <w:lang w:val="en-US" w:eastAsia="en-US" w:bidi="ar-SA"/>
        </w:rPr>
        <w:t>, the plaintiff fell from a ladder while working at the home of her defendant son-in-law. The plaintiff and her husband had gone to the defendant's home to assist their daughter and the defendant carry out renovations and repairs to their home. The defendant suggested that the plaintiff help paint the roof joists over an outside patio. She utilized a six foot wooden step-ladder and used paint brushes and rollers to reach the joists which were about nine feet from the floor of the patio. She used the ladder for about one and one-half hours before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plaintiff had climbed up and down the ladder at least ten to twelve times during the period of time and had had no problems with the ladder over that time frame and did not notice any wobbly condition of the ladder. She was not concerned about her safety. She fell while descending the ladder. While she had one foot on the ladder, it moved to the left and she fell from it. The court found that it was more probable that the plaintiff's body movement in descending, if not centered on the ladder, caused the ladder to lose its stability. The claim was dismissed on the basis that given the nature of the undertaking, its inherent risks, and appreciation of those risks by the plaintiff, the court was satisfied that no actionable duty of care was established by the plaintiff under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Beronja v. Nagra</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[2004] B.C.J. No. 575</w:t>
        </w:r>
      </w:hyperlink>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2004 BCSC 371</w:t>
        </w:r>
      </w:hyperlink>
      <w:r>
        <w:rPr>
          <w:rFonts w:ascii="arial" w:eastAsia="arial" w:hAnsi="arial" w:cs="arial"/>
          <w:color w:val="000000"/>
          <w:sz w:val="20"/>
          <w:lang w:val="en-US" w:eastAsia="en-US" w:bidi="ar-SA"/>
        </w:rPr>
        <w:t>, the plaintiff fell from a ladder while at the defendant's home. The plaintiff and co-worker were hired to paint the home. After they had finished the job they went to the roof of the house to reattach telephone cable wire that had somehow become disconnected. The plaintiff was descending a ladder that he had used to access the roof when he lost his balance and fell to the ground. The ladder had been provided by the defendant but set up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court, in that case, found that the defendant did not owe a duty to stand by the ladder to ensure that it was secure. The plaintiff had not asked for assistance, apparently because he did not feel any assistance was necessary. The court found there was nothing inherently unsafe about the placement of the ladder nor anything the defendant could have done to prevent the accident short of holding it. The plaintiff did not ask the defendant to secure the ladder, and did not rely on any implicit promise by the defendant that he would do so. Both the plaintiff and his co-worker were satisfied that the ladder was secure and proceeded with their own customary practise of using the ladder without assistance. The court found that as occupiers of the premises the duty of the defendant was to take reasonable care to see that persons using the premises were reasonably safe. The court, in that case, concluded that they had met that duty and were not under a duty in the circumstances to supervise the plaintiff's use of the ladder or a system in its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All of these cases demonstrate that ladders and scaffolding have been the subject of many decisions in and out of British Columbia. Ladders are a device that are dangerous and extreme caution must be used when placing, ascending and descending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Notwithstanding the speculation on the part of Mr. Airton, the plaintiff has not proved how the accident occurred nor has she proven any negligent conduct on behalf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While this case has been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also as coming under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it is necessary, because of the submissions by the defence, to address the issue of whether or not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would apply in any event to the factual scenario presented in this case. In </w:t>
      </w:r>
      <w:r>
        <w:rPr>
          <w:rFonts w:ascii="arial" w:eastAsia="arial" w:hAnsi="arial" w:cs="arial"/>
          <w:b/>
          <w:i/>
          <w:color w:val="000000"/>
          <w:sz w:val="20"/>
          <w:lang w:val="en-US" w:eastAsia="en-US" w:bidi="ar-SA"/>
        </w:rPr>
        <w:t>Wiley v. Tymar Management Inc.</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[1994] B.C.J. No. 3045</w:t>
        </w:r>
      </w:hyperlink>
      <w:r>
        <w:rPr>
          <w:rFonts w:ascii="arial" w:eastAsia="arial" w:hAnsi="arial" w:cs="arial"/>
          <w:color w:val="000000"/>
          <w:sz w:val="20"/>
          <w:lang w:val="en-US" w:eastAsia="en-US" w:bidi="ar-SA"/>
        </w:rPr>
        <w:t xml:space="preserve">, the issue of whether or not the use of an unsafe chair was an "activity" conducted on the premises within s. 3(2)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was before the court. In that case Madam Justice Allan found that a chair was clearly excluded from the definition of "premises" in s. 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that accordingly "the defendant had no statutory duty as an occupier to ensure that the chair upon which the plaintiff sat was safe". At para. 16 Her Ladyship posed the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Tymar have a duty of care towards the plaintiff either as an occupier under s-s. 1 and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as a landlord under s.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At para. 23 Her Ladyship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"Premises" as defined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include the land and structures but not the chattels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Her Ladyship then referred to other decisions of this court, being </w:t>
      </w:r>
      <w:r>
        <w:rPr>
          <w:rFonts w:ascii="arial" w:eastAsia="arial" w:hAnsi="arial" w:cs="arial"/>
          <w:b/>
          <w:i/>
          <w:color w:val="000000"/>
          <w:sz w:val="20"/>
          <w:lang w:val="en-US" w:eastAsia="en-US" w:bidi="ar-SA"/>
        </w:rPr>
        <w:t>Allen v. Holtslag</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[1983] B.C.J. No. 1069</w:t>
        </w:r>
      </w:hyperlink>
      <w:r>
        <w:rPr>
          <w:rFonts w:ascii="arial" w:eastAsia="arial" w:hAnsi="arial" w:cs="arial"/>
          <w:color w:val="000000"/>
          <w:sz w:val="20"/>
          <w:lang w:val="en-US" w:eastAsia="en-US" w:bidi="ar-SA"/>
        </w:rPr>
        <w:t xml:space="preserve"> (29 June 1983) Cranbrook No. 202/81 (B.C.S.C.) and </w:t>
      </w:r>
      <w:r>
        <w:rPr>
          <w:rFonts w:ascii="arial" w:eastAsia="arial" w:hAnsi="arial" w:cs="arial"/>
          <w:b/>
          <w:i/>
          <w:color w:val="000000"/>
          <w:sz w:val="20"/>
          <w:lang w:val="en-US" w:eastAsia="en-US" w:bidi="ar-SA"/>
        </w:rPr>
        <w:t>Wray v. MacLeod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but nevertheless concluded that in her view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does not extend to "the chattels situated on the premises". At paras. 30 and 31 Her Ladyship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sitting in a chair is not "an activity" conducted on the premises within s. 3(2)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a chattel such as a chair is clearly excluded from the definition of "premises" in s. 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defendant had no statutory duty ... either as an occupier under s. 1 ... to ensure that the chair upon which the plaintiff sat was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 similar conclusion was reached in </w:t>
      </w:r>
      <w:r>
        <w:rPr>
          <w:rFonts w:ascii="arial" w:eastAsia="arial" w:hAnsi="arial" w:cs="arial"/>
          <w:b/>
          <w:i/>
          <w:color w:val="000000"/>
          <w:sz w:val="20"/>
          <w:lang w:val="en-US" w:eastAsia="en-US" w:bidi="ar-SA"/>
        </w:rPr>
        <w:t>Howells v. Southland Canada, Inc.,</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[1995] B.C.J. No. 397</w:t>
        </w:r>
      </w:hyperlink>
      <w:r>
        <w:rPr>
          <w:rFonts w:ascii="arial" w:eastAsia="arial" w:hAnsi="arial" w:cs="arial"/>
          <w:color w:val="000000"/>
          <w:sz w:val="20"/>
          <w:lang w:val="en-US" w:eastAsia="en-US" w:bidi="ar-SA"/>
        </w:rPr>
        <w:t xml:space="preserve">, New Westminster Registry No. S013266. In that case Sigurdson J., dealing with another chair case, followed the conclusion of Justice Allan in </w:t>
      </w:r>
      <w:r>
        <w:rPr>
          <w:rFonts w:ascii="arial" w:eastAsia="arial" w:hAnsi="arial" w:cs="arial"/>
          <w:b/>
          <w:i/>
          <w:color w:val="000000"/>
          <w:sz w:val="20"/>
          <w:lang w:val="en-US" w:eastAsia="en-US" w:bidi="ar-SA"/>
        </w:rPr>
        <w:t>Wiley</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At para. 23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by no means clear that a statutory duty is owed to the plaintiff to ensure that the chair was reasonably safe. An issue that has been considered but not resolved is whether the statutory duty of care arises in connection with chattels on the premises, such as chairs or ladders. Since this case was argued, a decision of this court has been handed down by Allan J. in </w:t>
      </w:r>
      <w:r>
        <w:rPr>
          <w:rFonts w:ascii="arial" w:eastAsia="arial" w:hAnsi="arial" w:cs="arial"/>
          <w:i/>
          <w:color w:val="000000"/>
          <w:sz w:val="20"/>
          <w:lang w:val="en-US" w:eastAsia="en-US" w:bidi="ar-SA"/>
        </w:rPr>
        <w:t>Wiley v. Tymar Management Inc.,</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[1994] B.C.J. No. 3045</w:t>
        </w:r>
      </w:hyperlink>
      <w:r>
        <w:rPr>
          <w:rFonts w:ascii="arial" w:eastAsia="arial" w:hAnsi="arial" w:cs="arial"/>
          <w:color w:val="000000"/>
          <w:sz w:val="20"/>
          <w:lang w:val="en-US" w:eastAsia="en-US" w:bidi="ar-SA"/>
        </w:rPr>
        <w:t xml:space="preserve"> (29 December 1994), Powell River No. 89 046 (B.C.S.C.) wherein she considered the applicability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chattels situated on premises. After reviewing some conflicting authority within British Columbia, the court held at page 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sitting in a chair is not an "activity" conducted on the premises within s. 3(2)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a chattel such as a chair is clearly excluded from the definition of "premises" in s. 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conclude that the defendant had no statutory duty - either as an occupier under section 1 or as a landlord under section 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 to ensure that the chair upon which the plaintiff sat was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It seems to me that the only difference between a ladder and a chair may be the degree of inherent danger each of these chattels may represent, but they still remain chattels. In light of Justice Allan's finding in </w:t>
      </w:r>
      <w:r>
        <w:rPr>
          <w:rFonts w:ascii="arial" w:eastAsia="arial" w:hAnsi="arial" w:cs="arial"/>
          <w:b/>
          <w:i/>
          <w:color w:val="000000"/>
          <w:sz w:val="20"/>
          <w:lang w:val="en-US" w:eastAsia="en-US" w:bidi="ar-SA"/>
        </w:rPr>
        <w:t>Wiley</w:t>
      </w:r>
      <w:r>
        <w:rPr>
          <w:rFonts w:ascii="arial" w:eastAsia="arial" w:hAnsi="arial" w:cs="arial"/>
          <w:color w:val="000000"/>
          <w:sz w:val="20"/>
          <w:lang w:val="en-US" w:eastAsia="en-US" w:bidi="ar-SA"/>
        </w:rPr>
        <w:t xml:space="preserve"> I find that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does not apply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classic definition of persons to whom a duty of care is owed is set out in </w:t>
      </w:r>
      <w:r>
        <w:rPr>
          <w:rFonts w:ascii="arial" w:eastAsia="arial" w:hAnsi="arial" w:cs="arial"/>
          <w:b/>
          <w:i/>
          <w:color w:val="000000"/>
          <w:sz w:val="20"/>
          <w:lang w:val="en-US" w:eastAsia="en-US" w:bidi="ar-SA"/>
        </w:rPr>
        <w:t>Donoghue v. Stevenson</w:t>
      </w:r>
      <w:r>
        <w:rPr>
          <w:rFonts w:ascii="arial" w:eastAsia="arial" w:hAnsi="arial" w:cs="arial"/>
          <w:color w:val="000000"/>
          <w:sz w:val="20"/>
          <w:lang w:val="en-US" w:eastAsia="en-US" w:bidi="ar-SA"/>
        </w:rPr>
        <w:t>, [1932] A.C. 562, where at p. 580 the House of Lords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Persons who are so closely and directly affected by my act that I ought reasonably to have them in contemplation as being so affected when I am directing my mind to the acts or omissions which are called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have also considered, against the facts as I have found them, the "but for" test and the "material contribution" test as those tests exist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such as this. I am satisfied that there is an absence of any evidence to support a finding of fact that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Barnes. I have similarly concluded that it is not even possible to make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this case I am satisfied that there was no breach of any duty that was owed by the defendant Ms. Barnes to the plaintiff. The plaintiff had positioned the ladder and was aware of the damp surface of the deck upon which it was placed. While she had some initial concerns about its placement she nevertheless ascended it. She did not ask for assistance in descending the ladder. She was knowledgeable in the use of ladders and the defendant was not. The position of the ladder had not changed from when she first ascended it. She did not request Ms. Barnes to hold the ladder. Even if I am wrong and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applies, then this is surely a situation where the risks were assumed by the plaintiff (s. 3(3)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There is certainly no evidence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Ms. Barnes and as far as Mr. Barnes is concerned, although he would be an occupier if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applies, there is certainly no assertion or allegation by the plaintiff that he had any awareness that his wife and the plaintiff would be on the roof that day. As such no agency is established and there can be no liability under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the end result the plaintiff's claim is dismissed. Unless the parties otherwise wish to address the issue of costs, costs are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E.G. CHAMBERLIST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8" style="position:absolute;z-index:2517800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Park v. El Malak, [2015] B.C.J. No. 266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Davies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15-19,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M123489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Baikjoon Park, Plaintiff, and Maikel Maher Sanad Abd El Malak,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(171 paras.)</w:t>
      </w:r>
    </w:p>
    <w:p>
      <w:pPr>
        <w:jc w:val="both"/>
        <w:rPr>
          <w:rFonts w:ascii="arial" w:eastAsia="arial" w:hAnsi="arial" w:cs="arial"/>
          <w:sz w:val="20"/>
          <w:lang w:val="en-US" w:eastAsia="en-US" w:bidi="ar-SA"/>
        </w:rPr>
      </w:pPr>
      <w:bookmarkStart w:id="120" w:name="Counsel_19"/>
      <w:bookmarkEnd w:id="1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9"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B.A. McIntosh.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H.D. Neumann, M. Sheirer (Articling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1" w:name="Judgment_19"/>
      <w:bookmarkEnd w:id="121"/>
      <w:r>
        <w:pict>
          <v:line id="_x0000_s1120" style="position:absolute;z-index:251729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Subject to Rule 15-1</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2" w:name="B.M. DAVIES J."/>
            <w:bookmarkEnd w:id="122"/>
            <w:r>
              <w:rPr>
                <w:rFonts w:ascii="arial" w:eastAsia="arial" w:hAnsi="arial" w:cs="arial"/>
                <w:b/>
                <w:color w:val="000000"/>
                <w:sz w:val="30"/>
                <w:lang w:val="en-US" w:eastAsia="en-US" w:bidi="ar-SA"/>
              </w:rPr>
              <w:t>B.M. DAVIES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Baikjoon Park, is a successful businessman whose primary employment is in the management of a gas station and convenience store in Valemount,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Park was injured in a low velocity collision on September 18, 2010, when, while leaving a shopping mall in North Vancouver, B.C., the vehicle he was driving was struck from behind by a vehicle driven by the defendant Maikel Maher Sanad Abd El Malak.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collision occurred when Mr. Park stopped his vehicle shortly after leaving a stop sign at a marked exit from the shopping mall. Mr. Park made that second stop because of concerns with oncoming traffic from the left on Westview Drive onto which he was planning to make a right 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who had also left the stop sign where he had been stopped behind Mr. Park's vehicle failed to stop at the Westview Drive intersection when Mr. Park did and struck Mr. Park's vehicle causing less than $1,000 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Park seeks recovery of damages for the injuries he has suffered. He claims:</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losses for pain and suffering and loss of enjoyment of life;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future income earning capacity;</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the cost of his future care; and</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denies that he was negligent in failing to stop and in striking Mr. Park's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alternative, the defendant says that Mr. Park's claims for damages allegedly suffered in the collision are unproven, exaggerated and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also says that any damages suffered by Mr. Park must be substantially reduced because of Mr. Park's pre-existing medical conditions which would have eventually caused him to suffer the same medical difficulties which Mr. Park says were caused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Park explained that the second stop after leaving the stop sign was because of obscured vision caused by a McDonalds restaurant sign that prevented full view of possible approaching traffic from the left in the curb lane on Westview Drive into which he would have to enter to complete a right hand turn from the parking lot onto Westview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admitted on examination for discovery and at trial that both his car and that of the plaintiff were stopped at the stop sign on that part of the shopping centre that allows vehicles to exit the centre and enter Westview Drive. He also admitted that Mr. Park's car moved forward and that Mr. Park brought the car to a second full stop before entering onto Westview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further admitted that he saw Mr. Park bring his vehicle to that second stop while his own vehicle was still moving forward from the stop sign. He then hit the brakes of his own vehicle which did not stop until it impacted the rear bumper of Mr. Park's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Cue v. Breitkreuz</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2010 BCSC 617</w:t>
        </w:r>
      </w:hyperlink>
      <w:r>
        <w:rPr>
          <w:rFonts w:ascii="arial" w:eastAsia="arial" w:hAnsi="arial" w:cs="arial"/>
          <w:color w:val="000000"/>
          <w:sz w:val="20"/>
          <w:lang w:val="en-US" w:eastAsia="en-US" w:bidi="ar-SA"/>
        </w:rPr>
        <w:t xml:space="preserve"> at para. 15, N. Smith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Where there has been a rear-end collision, the onus shifts to the following driver to show that he or she was not at fault: </w:t>
      </w:r>
      <w:r>
        <w:rPr>
          <w:rFonts w:ascii="arial" w:eastAsia="arial" w:hAnsi="arial" w:cs="arial"/>
          <w:i/>
          <w:color w:val="000000"/>
          <w:sz w:val="20"/>
          <w:lang w:val="en-US" w:eastAsia="en-US" w:bidi="ar-SA"/>
        </w:rPr>
        <w:t>Robbie v. King</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2003 BCSC 1553</w:t>
        </w:r>
      </w:hyperlink>
      <w:r>
        <w:rPr>
          <w:rFonts w:ascii="arial" w:eastAsia="arial" w:hAnsi="arial" w:cs="arial"/>
          <w:color w:val="000000"/>
          <w:sz w:val="20"/>
          <w:lang w:val="en-US" w:eastAsia="en-US" w:bidi="ar-SA"/>
        </w:rPr>
        <w:t xml:space="preserve"> at para. 13. It is also the case that the driver of a following vehicle must allow a sufficient distance to stop safely in the event of a sudden or unanticipated stop by the vehicles ahead: </w:t>
      </w:r>
      <w:r>
        <w:rPr>
          <w:rFonts w:ascii="arial" w:eastAsia="arial" w:hAnsi="arial" w:cs="arial"/>
          <w:i/>
          <w:color w:val="000000"/>
          <w:sz w:val="20"/>
          <w:lang w:val="en-US" w:eastAsia="en-US" w:bidi="ar-SA"/>
        </w:rPr>
        <w:t>Pryndik v. Manju</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2001 BCSC 502</w:t>
        </w:r>
      </w:hyperlink>
      <w:r>
        <w:rPr>
          <w:rFonts w:ascii="arial" w:eastAsia="arial" w:hAnsi="arial" w:cs="arial"/>
          <w:color w:val="000000"/>
          <w:sz w:val="20"/>
          <w:lang w:val="en-US" w:eastAsia="en-US" w:bidi="ar-SA"/>
        </w:rPr>
        <w:t xml:space="preserve"> at para. 21, aff'd </w:t>
      </w:r>
      <w:hyperlink r:id="rId372" w:history="1">
        <w:r>
          <w:rPr>
            <w:rFonts w:ascii="arial" w:eastAsia="arial" w:hAnsi="arial" w:cs="arial"/>
            <w:i/>
            <w:color w:val="0077CC"/>
            <w:sz w:val="20"/>
            <w:u w:val="single"/>
            <w:shd w:val="clear" w:color="auto" w:fill="FFFFFF"/>
            <w:lang w:val="en-US" w:eastAsia="en-US" w:bidi="ar-SA"/>
          </w:rPr>
          <w:t>2002 BCCA 639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Rai v. Fowler</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2007 BCSC 1678</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find that the defendant has failed to discharge the onus to show he was not at fault in following too closely behind Mr. Park's vehicle after leaving the stop sign and before colliding with Mr. Park's lead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also find that Mr. Park was not negligent in proceeding cautiously or in stopping the second time before completing the right hand turn onto Westview Drive, given the obstructed view of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result, I find that defendant is 100% at fault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caused the collision and for the damages suffered by Mr. Park as a consequence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DAMAGES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the collision occurred on September 18, 2010, Mr. Park was 56 years old. He is now 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Mr. Park's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the time of the collision Mr. Park was in generally good health and led an active lifestyle both at work and otherwise. He testified that before the collision in addition to his work he enjoyed an active outdoor lifestyle in which he enjoyed golfing, snowmobiling and skating. For more sedentary leisure time he particularly enjoyed reading historical treatises.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many respects Mr. Park's life and enjoyment of it was driven by the business ventures in which he was involved, including a gas station and convenience store in Valemount which he operated and in which business he was the primary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For many years after coming to Canada from Korea, Mr. Park, his wife and their two children all lived in Valemount where he and his wife owned and operated the gas station and convenience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About 18 years ago, however, Mrs. Park and their children (a son now 28 and a daughter now 23) moved to Vancouver. Mr. Park still continued to operate the gas business and since then Mr. and Mrs. Park have had a long distance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Before the collision Mr. Park would travel the 672 km from Valemount to the Lower Mainland once every two or three months for visits and would also take annual vacations in Korea and other parts of Asia.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Park still lives in Valemount where he still works seven days a week when he is not visiting his family or on vacation. Mr. and Mrs. Park now own a home in West Vancouver where she resides full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the time of the collision Mr. Park and his son were also the owners and operators of a restaurant in Kamloops at which Mr. Park occasionally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Park testified that before the collision he was not bothered by the lengthy driving trips from Valemount to Vancouver of about 7 hours, or to Kamloops of about 3.5 hours which he took to be with his family or to attend at the Kamloops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Park says that his ability to work is now compromised by his injuries which preclude as much heavy lifting as he once did and has required him to hire more staff because of that, as well as because of his far more frequent absences for medical appointments.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Mr. Park's Post-accident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the collision of September 18, 2010, Mr. Park drove from Vancouver to Valemount. A few days after his arrival in Valemount he noticed increasing stiffness and pain in his neck and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When the pain persisted he went to a walk-in clinic in Valemount on September 23, 2010. After examination at that clinic he was prescribed Ibuprofen for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Park subsequently decided that he wished to be looked after by a Korean doctor and to that end drove to Vancouver where he saw Dr. Juan Kim for the first time on September 28,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Thereafter Dr. Kim became Mr. Park's treating physician. Dr. Kim also provided a medical legal report and testified on Mr. Park's behalf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Kim was an honest and forthright witness whose evidence was largely consistent with Mr. Park's own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that I can safely rely upon Dr. Kim's clinical records and testimony as accurately recording Mr. Park's complaints to him over the course of his attendances. I also agree with Dr. Kim's assessment of Mr. Park as being "quite stoic in nature and not the type to complain too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That assessment informs and supports my own assessment of Mr. Park as a credible witness who did not exaggerate his injuries, his suffering from them or their effect upon his work and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accordingly do not accept the defendant's submission that I should treat Mr. Park's evidence with caution because of the relatively low impact of the injury causing collision, or otherwise generally question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also specifically reject the propositions hinted at by counsel for the defendant but not squarely put to Mr. Park that he had not driven to Vancouver on the many trips he recorded, that he worked and resided in Valemount less than he testified, or that his mileage expenses should not be accepted because they were not verified by gas receipts.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While, as I will later discuss, I am of the view that some of the mileage costs claimed are unreasonable when examined from a special damages perspective (because some similar treatment could likely have been obtained in Kamloops rather than in Vancouver) I do not doubt that Mr. Park made each of the trips for medical appointments for which he claimed mileage compensation and about which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find that he made those many trips notwithstanding disruption to his life and work and the discomfort caused by them because he was comfortable in dealing with the medical practitioners in the Lower Mainland to whom he was 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Mr. Park first saw Dr. Kim on September 28, 2010, he complained primarily of headaches, neck pain, and pain in both his upper and lower back. Dr. Kim ordered x-rays and also prescribed muscle relaxants for pain and stiffness.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Park returned to see Dr. Kim on October 15, 2010. He then still suffered from neck and back pain including lower back pain and stiffness but was now also experiencing numbness of his right buttock, some tingling in his lower extremities primarily on the right side, and poor sleep. He reported that while his symptoms varied in intensity they were for the most part constant. Dr. Kim continued prescribing muscle relaxants.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Concerning the x-rays which Dr. Kim had ordered on September 28, 2010, that were taken on September 30, 2010, Dr. William Craig (an expert in physical and rehabilitative medicine who testified at trial) wrote in his report of August 15, 2012,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had x-rays of his lumbar spine September 30, 2010. There were moderate degenerative changes at L4/5 with lesser changes at L1 -- L4. There was a moderate curvature convexed right with an apex at L2/3 and left apex at L4/5. There were moderate degenerative changes in the facets at L4/5. The facets are the posterior spinal joints.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X-rays of his neck that day revealed moderate degenerative changes at C4 -C7 with associated foraminal encroachment. The foramen is the exit point for the spinal nerves. There was a decrease in the normal cervical curvature. There were mild degenerative changes in the C3 -- C7 facets. There was a moderate scoliosis convexed left with an apex at C5.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After that second visit to see Dr. Kim on October 15, 2010, Mr. Park did not again see Dr. Kim for issues related to the collision for 11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meantime, however, he had, as recommended and referred by Dr. Kim, attended at approximately 20 chiropractic sessions with Dr. Scott Park in Coquitlam between October 15, 2010 and April 26,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September 28, 2011, when Mr. Park did re-attend upon Dr. Kim, he was again assessed as having suffered a whiplash injury in the collision. Concerning that visit and others that followed regularly thereafter, Dr. Kim wrote in a report dated June 9, 2014: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Throughout his course of injury, his symptoms of neck pain, back pain, leg pain and paresthesia, sleep disturbance, irritability, and functional impairment have persisted to varying degrees.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for treatments, he has been treated with the following measures: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Somatic pain: pain killers, muscle relaxants, medication for neuropathic pain. he has seen a chiropractor, acupuncturist, registered massage therapist, physiotherapist, active rehabilitation. His symptoms of neck and back pain have responded to the above mentioned treatment modalities and he finds relief from such treatments however relief is temporary, until symptoms return or relapse.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 has consulted a neurosurgeon and has also been evaluated by a specialist in physical medicine and rehabilitation. As per Dr. Heran's report, Mr. Park reports overall that he is still symptomatic.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 sleep impairment: nortriptyline, amitriptyline.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Those observations are consistent with Mr. Park's evidence, as well as with Dr. Kim's clinical notes of the 12 attendances upon Dr. Kim between September 28, 2011 and May 14, 2014, during which time Mr. Park's symptoms "waxed and waned," but remained largely unalleviated.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That is so notwithstanding Dr. Kim's recommendations that Mr. Park would benefit from the various passive treatments for which he was referred, including acupuncture, massage, shiatsu and deep tissue massage, all of which Mr. Park attended for a total of more than 36 sessions over the period from October 8, 2011 to October 21,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All of those treatments were given to Mr. Park in the Lower Mainland and many required him to travel from Valemount.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well as those attendances upon acupuncturists, massage therapists and other medical professionals, Mr. Park also attended physiotherapy and active rehabilitation sessions as recommended by Dr. Kim in attempting to obtain relief from his physical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addition to his numerous attendances upon Dr. Kim, Mr. Park was also seen by Dr. William Craig for medical legal assessment at the request of his counsel and by Dr. Navraj Heran, a neurosurgeon on referral from Dr. Kim.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Both Dr. Craig and Dr. Heran provided expert reports and appeared at trial for cross-examination. The evidence of both was largely consistent with that of Mr. Park and Dr. Kim, and I find I can safely rely upon the evidence of both experts, notwithstanding the suggestions to the contrary made by counsel for the defendant who did not adduce any contradictory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also important to note that at the request of Dr. Kim, during the course of his treatment, Mr. Park attended upon Dr. Jason Clement of Canadian Magnetic Imaging ("CMI") on December 24, 2012, for an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evidence from that December 24, 2012 MRI and the interpretation of it is important because of its impact upon the issues of causation which I will soon discuss in more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accept the following evidence from Dr. Heran's report of May 15, 2014, concerning his interpretation of the results of that MRI: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Reviewing the MRI scan of his lumbar spine performed December 24, 2012 at CMI there is degenerative disc disease at multiple levels with height loss at L1-2 with a disc protrusion posteriorly that migrates somewhat inferiorly, less so superiorly with mild left sided foraminal narrowing but no significant right sided involvement. There is also some lateral recess narrowing on the left side with contact of the left sided L2 nerve root. The L2-3 level demonstrates generalized bulging of the disc but no significant foraminal narrowing nor lateral recess stenosis. Similar findings are identified at L3-4 but, as a consequence, there is a moderate degree of right sided foraminal stenosis and only mild on the left. At the L4-5 level there is severe loss of height of the disc with severe narrowing of the right exiting foramen and compression of his right L4 nerve root. The radiologist mentioned that the nerve root looks swollen. I find it hard to establish this. The L5-S1 level demonstrates bilateral pars defects with no slip of L5 on S1. There is no evidence of nerve root impingement at this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Heran then went on to observe: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gentleman presented clinical with a right sided L4 radiculopathy. This was supported by the imaging with evidence of a right L4 nerve being impinged within the foramen at the L4-5 level. From a management standpoint a consideration for decompression would have been premature given that the majority of disc problems do heal, albeit sometimes over many years. Furthermore, the multiple levels of pathology would increase the likelihood of postoperative need for further surgery which would be then complicated by scarring. Furthermore, the muscle spasms and surgical intervention may result in accentuated strains upon his back. I recommended to him further conservative therapy given that he was not requiring significant management for this i.e. no medications. If his symptoms were to worsen, a consideration for a right sided L4 nerve root block could be made. It would be reasonable to have a follow up MRI scan if his symptoms were to persist to see what the state of his spine was like a year from this last study i.e. December 2013. We put in a request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No follow-up MRI was obtained in December of 2013 but Dr. Heran testified that the length of time in the public system to obtain one could be very long and there is no evidence that Mr. Park refused to cooperate in relation to any follow-up.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has never been any surgery or other invasive procedures performed on Mr. Park to date and I disallowed expert evidence concerning the prospects or impact of such on Mr. Park's prognosis for further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did so because of late delivery of a further report from Dr. Heran, as well as the speculative nature of the opinion from him that counsel for Mr. Park sought to adduce.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Concerning the history of Mr. Park's injuries, the present state of his health, as well as his prospect for future recovery, I accept the following opinion evidence from Dr. Kim in his report of June 9, 2014, which I find to be consistent with the entirety of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Diagnosis and Clinical Impression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Considering the past history and clinical findings, response to treatment, age and general health of the patient, it is my clinical impression that Mr. Park suffered: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injury to the cervical spine, thoracic spine and lumbar spine as a consequence of the above noted motor vehicle crash. He reveals clinical and radiological findings that indicate injury to the cervical and lumbar facet joints and associated soft tissue elements (i.e. ligaments, tendons, muscles, fascia, and joint capsules), as well as to the cervical and lumbar intervertebral discs. There is evidence of nerve root compression of the fourth right lumbar nerve root as it exits the bony foramen, due to compression by disc material. Mr. Park has clinical symptoms of right leg paresthesias and right buttock numbness which clinically correlate with MRI findings of his lumbar spine.</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Myofascial and discogenic pain with associated pain referral and protective muscle spasm.</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Secondary Insomnia.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have asked my opinion with respect to his prognosis. Mr. Park has attended our clinic since September of 2010. During that time his progress has been gradual but positive.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all measures his symptoms do persist. The mobility of his spine is still restricted by pain and there are still residuals emanating from cervical and lumbar paraspinal muscles. He does report improvement with respect to sleep.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his symptoms will continue to persist and improvement is likely to continue however gradually. In the long term I expect his to improve with continued active rehabilitation and reinforcement with returning to work and staying as functional as possible. The extent of this recovery is unknown. Should Mr. Park pursue regular physical fitness and activity as well as a healthy lifestyle, the likelihood of future complications such as flair ups will be reduced in my opinion. Despite this, having sustained injury to his spine, predisposes him to continued and accelerated degeneration of his spine in part due to altered biomechanics and neurological motor function and control as he compensates for pain, immobility and spinal dysfunction.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 up MRI scan of his lumbar spine, along with neurosurgical opinion will re assess whether neurosurgery is a valid option in the future for Mr. Park; at this time there is no clear surgical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also find the evidence of Dr. Craig to be of assistance in assessing Mr. Park's present condition and prognosis. In his report of June 26, 2014, Dr. Craig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Park is now over three and a half years out from the September 18, 2010 accident and continues to be symptomatic in his neck, low back, and right leg. Given the significant degenerative changes in his lumbosacral spine, the prognosis is fair to poor for resolution of his leg symptoms, even with further treatment. I feel that there is some room for improvement in his symptoms with further treatment. I would expect that there is a reasonable probability that he will be less symptomatic with prolonged sitting and standing with further treatment. I suspect though that he will continue to be symptomatic with more vigorous physical activities such as lifting or carrying, or attempted running or if he was to return to skiing. I would agree with Dr. Heran that given the moderate to significant degenerative changes in his lumbosacral spine that he would have been at risk for developing a radiculopathy in the future even if he had not had the September 18, 2010 accident. I would agree with Dr. Heran that this likely would have been further in the future. Had he not been involved in the September 18, 2010 accident, on the balance of probabilities, he likely would not be having right lumbar radicular symptoms at present.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would be at risk of aggravation of their current symptoms or a more prolonged period of recovery if there was another work, recreational, or motor vehicle related injury, due to injuries from this accident. There is a slightly increased risk of accelerated degenerative changes in his neck and back, due to injuries from this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further treatment, I would expect that he should be able to tolerate driving better. I would expect that he should be able to increase his hours over time, but given that symptoms have been present for this long, the prognosis is guarded for a return to the hours he was working previously, and being able to do all elements of his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expect with further treatment he should be able to return to playing full games of golf, but the prognosis for a return to skiing is fair to poor. He would be at risk of aggravation of his current symptoms if he had a fall skiing and the jarring motions would likely exacerbate his low back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further treatment, I would expect that he should be capable of the majority of light to household tasks and light yard tasks.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is likely at increased risk of requiring back surgery due to injuries from the September 18, 2010 accident.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I noted above, evidence of the existence of degenerative disc disease affecting areas of Mr. Park's spine as identified by x-rays taken on September 30, 2010, after the collision, and by the MRI conducted on December 24, 2012, at Dr. Kim's request, raise issues concerning the extent that Mr. Park's injuries were caused by the collision and, if so, whether and to what extent any pre-existing conditions should limit his claims for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assisted in deciding those causation issues by the expert evidence of Dr. Kim, Dr. Craig, and Dr. Heran, all of whom offered their medical opinions on the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a background to those opinions it is necessary to observe that prior to the collision of September 18, 2010, which is the subject of these proceedings, Mr. Park had attended on Dr. Timothy Kam who was then his family doctor on July 22, 2008, concerning complaints of right-sided hip pain as well as pain in his right large toe and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At that time Mr. Park's wife and children resided in the Kerrisdale area of Vancouver where Dr. Kam had his practice. Mr. and Mrs. Park subsequently moved to West Vancouver and Mr. Park did not see Dr. Kam after the July 22, 2008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 is no record of any recurrence of such complaints until after the collision of September 18, 2010, which is the subject of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Park testified that the episode of pain for which he visited Dr. Kam on July 22, 2008, was a one-time occurrence. Under cross-examination he explained that he did not return to see Dr. Kam as his family physician after the September 18, 2010 collision because he felt more comfortable with a Korean doctor and therefore saw Dr. Kim who also became his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Kam did not testify at trial but his clinical notes were produced and were the subject of comment by both Dr. Craig and Dr. Heran.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Concerning the July 22, 2008 episode, Dr. Craig opined in his report of June 26, 2014: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had the opportunity to review some additional records from Dr. Kam. The September 6, 2008 note commented on pain in his right great toe and right low back. On examination, he was tender with palpation of the right first toe and had mild pain in the right lumbar muscles. Dr. Kam's impression was the pain was soft tissue in nature. The July 22, 2008 note comments on pain behind his right hip that was affecting his walking. He would get this if he was sitting more than 20 minutes. He was having pain down his right leg. There was occasional right leg weakness recorded. Dr. Kam's impression was that Mr. Park had inflammation of his right lateral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Concerning causation, Dr. Craig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Neck: It is my opinion that Mr. Park likely had a moderate soft tissue injury to his right neck as a result of the September 18, 2010 accident with a cervical facet arthropathy lower on the differential. He may have had an acute injury to the posterior spinal joints or alternatively developed an arthropathy due to persisting muscle spasm in this region.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Low Back: It is my opinion that Mr. Park likely had a moderate soft tissue injury to his low back and possible lumbosacral disc injury as a result of the September 18, 2010 accident. I would agree with Dr. Heran that the 2008 records suggest a prior right lumbosacral radiculopathy. He would have, therefore, been more susceptible to a recurrent radiculopathy from subsequent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Heran's opinion on the injuries suffered by Mr. Park in the 2010 collision and on causation is found in his report of May 14, 2014, where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SUMMARY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Park is an older male who presents with an episode in 2008 of right sided hip region pain. Reviewing the records, this episode appeared to span two months but the exact duration is not clear. He then had recurrence of this following the motor vehicle accident of 2010. There was in addition, myofascial injuries to the neck and low back which have been well documented by the physicians involved in his care as well as the other treating practitioners. He appears to have had intermittent problems with a radiculopathy as it was not well delineated by the assessment of Dr. Craig during the independent medical examination. It was quite clearly evident at the time of my examination in 2013.</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DIAGNOSES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Myofascial injuries involving cervical and lumbar spine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Re-aggravation of right sided L4 radiculopathy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Upon review of the records and the background of having seen Mr. Park before, I am convinced that the myofascial injuries are directly as a consequence of the motor vehicle accident of 2010. Had this motor vehicle accident not occurred, Mr. Park would not have been rendered symptomatic with these diagnoses.</w:t>
      </w:r>
      <w:r>
        <w:rPr>
          <w:rFonts w:ascii="arial" w:eastAsia="arial" w:hAnsi="arial" w:cs="arial"/>
          <w:color w:val="000000"/>
          <w:sz w:val="20"/>
          <w:lang w:val="en-US" w:eastAsia="en-US" w:bidi="ar-SA"/>
        </w:rPr>
        <w:t xml:space="preserve"> He has demonstrated significant improvement. He did have a prior motor vehicle accident that rendered him transiently symptomatic. This did not have any long term or permanent sequelae. He returned back to his baseline. Had the 2010 motor vehicle accident not occurred, Mr. Park would not have been rendered symptomatic in these areas.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right sided L4 radiculopathy is more difficult to delineate in terms of etiology. Based on my review of the records I do believe that the episode in 2008 was a radiculopathy into his right leg. Given the imaging findings that he has subsequently demonstrated in the distribution vaguely described in the clinical records, it is likely that was either an L4 or an L5 radiculopathy. It is unlikely it was S1. T</w:t>
      </w:r>
      <w:r>
        <w:rPr>
          <w:rFonts w:ascii="arial" w:eastAsia="arial" w:hAnsi="arial" w:cs="arial"/>
          <w:color w:val="000000"/>
          <w:sz w:val="20"/>
          <w:u w:val="single"/>
          <w:lang w:val="en-US" w:eastAsia="en-US" w:bidi="ar-SA"/>
        </w:rPr>
        <w:t>he problem appeared to have resolved and was asymptomatic for approximately two years before the motor vehicle accident of 2010.</w:t>
      </w:r>
      <w:r>
        <w:rPr>
          <w:rFonts w:ascii="arial" w:eastAsia="arial" w:hAnsi="arial" w:cs="arial"/>
          <w:color w:val="000000"/>
          <w:sz w:val="20"/>
          <w:lang w:val="en-US" w:eastAsia="en-US" w:bidi="ar-SA"/>
        </w:rPr>
        <w:t xml:space="preserve"> This motor vehicle accident rendered him again symptomatic in the same distribution although not immediately. It is likely the combination of the myofascial strains upon his spinal axis acting upon an already tight neuroforamen at the L4-5 level on the right side that redeveloped his symptoms. </w:t>
      </w:r>
      <w:r>
        <w:rPr>
          <w:rFonts w:ascii="arial" w:eastAsia="arial" w:hAnsi="arial" w:cs="arial"/>
          <w:color w:val="000000"/>
          <w:sz w:val="20"/>
          <w:u w:val="single"/>
          <w:lang w:val="en-US" w:eastAsia="en-US" w:bidi="ar-SA"/>
        </w:rPr>
        <w:t>However, had the motor vehicle accident not occurred, Mr. Park was probably at risk for development of such problem with time. The likelihood is that he would have been rendered symptomatic with an L4 radiculopathy at some point had the motor vehicle accident not occurred either way, but this would have likely been many years later, possibly between 5-10 years.</w:t>
      </w:r>
      <w:r>
        <w:rPr>
          <w:rFonts w:ascii="arial" w:eastAsia="arial" w:hAnsi="arial" w:cs="arial"/>
          <w:color w:val="000000"/>
          <w:sz w:val="20"/>
          <w:lang w:val="en-US" w:eastAsia="en-US" w:bidi="ar-SA"/>
        </w:rPr>
        <w:t xml:space="preserve"> His persistent features have demonstrated that this was not likely related to a focal disc herniation although I did hope that he would improve with time if a focal disc herniation were evident.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accept Dr. Heran's opinions both as a treating physician and an expert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Dr. Heran's opinions, as well as those of Dr. Craig and Dr. Kim, lead me to conclude that in assessing Mr. Park's damages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deduction for an otherwise appropriate award must be made for his pre-existing but then asymptomatic medical conditions which put him at risk for the development of some of the injuries from which he has suffered at some point in the future even if the collision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need to make such a deduction is founded upon the analysis of causation and damages enunciated by the Supreme Court of Canada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and cases decided thereafter which discuss difficult questions involved in the quantification of damages in cases where the evidence establishes that the plaintiff suffered from pre-existing injuries or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on the issue of quantification generally, as a matter of first principles, Major J. wrote at para. 32 for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one. It is therefore necessary not only to determine the plaintiff's position after the tort but also to assess what the "original position" would have been. It is the difference between these positions, the "original position" and the "injured position", which is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Concerning the issue of pre-existing injuries or conditions raised by the evidence in this case,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Major J. then went on to discuss the "Thin Skull" and "Crumbling Skull" doctrines. At paras. 34 and 35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respondents argued that the plaintiff was predisposed to disc herniation and that this is therefore a case where the "crumbling skull" rule applies.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[1990] O.J. No. 2314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 v. J.C. Hutton Proprietary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Counsel for the defendant has submitted that all aspects of Mr. Park's ongoing back problems are related to his pre-existing disc problems that would have occurred in any event. He also submits that the low velocity of the collision supports that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defendant's submission ignores the overwhelming cumulative effect of the evidence of Dr. Heran, Dr. Craig and Dr. Kim, all of whom have opined that Mr. Park's injuries were caused by the collision and that his pre-existing back conditions were asymptomatic at the time of the collision and were rendered symptomatic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alternative, the defendant submitted that given that Mr. Park is now more than six years from the first episode of radiculopathy suffered in 2008 and more than four years from the 2010 collision, his present complaints would likely have manifested in any event so that his damages should be very substantially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Counsel for Mr. Park acknowledged that some deduction must be made for Mr. Park's pre-accident back conditions and the evidence of Dr. Heran that Mr. Park was at risk of suffering at least some of the back and radiculopathy problems from which he now suffers. He also, however, noted that the time frame for any likely onset of back injuries arising from disc degeneration of from 5 to 10 years given by Dr. Heran was admitted by Dr. Heran to be an arbitrary assessment and also that Dr. Heran testified that the period would run from 2013 when he first saw Mr.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Park's counsel accordingly submitted that any deduction for pre-existing medical frailty should be minimal and applied only to matters that arise from his present back conditions which would likely not have arisen but for the accident until at least 2018 to 2023. Mr. McIntosh submitted that in all of the circumstances a deduction of "no more than 10% of the total damages award" should be made for Mr. Park's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After considering the totality of the evidence, including the facts that Mr. Park's injuries, other than those that are back related, have improved significantly since the collision and that the extent to which his present back conditions would likely have occurred on or after the age of 70, even without the exacerbation and acceleration of those injuries by the collision, I have determined that a 20% reduction of the otherwise appropriate awards in this case is necessary to ensure that Mr. Park is not overcompensated with respect to his post collision conditions not caused by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purpose of non-pecuniary damages in personal injury cases is to compensate the injured party for their pain and suffering, loss of enjoyment of life and loss of enjoyment of amenities caused by the fault of a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Kirkpatrick J.A. set out a useful, non-exhaustive list of factors that offer guidance as to what may influence an award of non-pecuniary damages. The list included the:</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Kirkpatrick J.A.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375"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With those considerations in mind I will now assess the compensation to which I consider Mr. Park is entitled for his pain, suffering, and loss of enjoyment of life for the injuries he suffered as a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behalf of Mr. Park, Mr. McIntosh asserted that an appropriate award of non-pecuniary damages, without deduction for his pre-existing conditions, would be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support of that submission he referred me to the following decisions involving plaintiffs who had suffered serious soft tissue neck and back injuries including some cases involving exacerbation of pre-existing disc problems: </w:t>
      </w:r>
      <w:r>
        <w:rPr>
          <w:rFonts w:ascii="arial" w:eastAsia="arial" w:hAnsi="arial" w:cs="arial"/>
          <w:i/>
          <w:color w:val="000000"/>
          <w:sz w:val="20"/>
          <w:lang w:val="en-US" w:eastAsia="en-US" w:bidi="ar-SA"/>
        </w:rPr>
        <w:t>Zawislak v. Karbovanec</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2012 BCSC 666</w:t>
        </w:r>
      </w:hyperlink>
      <w:r>
        <w:rPr>
          <w:rFonts w:ascii="arial" w:eastAsia="arial" w:hAnsi="arial" w:cs="arial"/>
          <w:color w:val="000000"/>
          <w:sz w:val="20"/>
          <w:lang w:val="en-US" w:eastAsia="en-US" w:bidi="ar-SA"/>
        </w:rPr>
        <w:t xml:space="preserve"> ($100,000); </w:t>
      </w:r>
      <w:r>
        <w:rPr>
          <w:rFonts w:ascii="arial" w:eastAsia="arial" w:hAnsi="arial" w:cs="arial"/>
          <w:i/>
          <w:color w:val="000000"/>
          <w:sz w:val="20"/>
          <w:lang w:val="en-US" w:eastAsia="en-US" w:bidi="ar-SA"/>
        </w:rPr>
        <w:t>Valuck v. Challandes</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2012 BCSC 324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Valuck</w:t>
      </w:r>
      <w:r>
        <w:rPr>
          <w:rFonts w:ascii="arial" w:eastAsia="arial" w:hAnsi="arial" w:cs="arial"/>
          <w:color w:val="000000"/>
          <w:sz w:val="20"/>
          <w:lang w:val="en-US" w:eastAsia="en-US" w:bidi="ar-SA"/>
        </w:rPr>
        <w:t xml:space="preserve">] (100,000); </w:t>
      </w:r>
      <w:r>
        <w:rPr>
          <w:rFonts w:ascii="arial" w:eastAsia="arial" w:hAnsi="arial" w:cs="arial"/>
          <w:i/>
          <w:color w:val="000000"/>
          <w:sz w:val="20"/>
          <w:lang w:val="en-US" w:eastAsia="en-US" w:bidi="ar-SA"/>
        </w:rPr>
        <w:t>MacAulay v. Field</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2014 BCSC 937</w:t>
        </w:r>
      </w:hyperlink>
      <w:r>
        <w:rPr>
          <w:rFonts w:ascii="arial" w:eastAsia="arial" w:hAnsi="arial" w:cs="arial"/>
          <w:color w:val="000000"/>
          <w:sz w:val="20"/>
          <w:lang w:val="en-US" w:eastAsia="en-US" w:bidi="ar-SA"/>
        </w:rPr>
        <w:t xml:space="preserve"> ($75,000); </w:t>
      </w:r>
      <w:r>
        <w:rPr>
          <w:rFonts w:ascii="arial" w:eastAsia="arial" w:hAnsi="arial" w:cs="arial"/>
          <w:i/>
          <w:color w:val="000000"/>
          <w:sz w:val="20"/>
          <w:lang w:val="en-US" w:eastAsia="en-US" w:bidi="ar-SA"/>
        </w:rPr>
        <w:t>Peso v. Hollaway</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2012 BCSC 1763</w:t>
        </w:r>
      </w:hyperlink>
      <w:r>
        <w:rPr>
          <w:rFonts w:ascii="arial" w:eastAsia="arial" w:hAnsi="arial" w:cs="arial"/>
          <w:color w:val="000000"/>
          <w:sz w:val="20"/>
          <w:lang w:val="en-US" w:eastAsia="en-US" w:bidi="ar-SA"/>
        </w:rPr>
        <w:t xml:space="preserve"> ($100,000); and </w:t>
      </w:r>
      <w:r>
        <w:rPr>
          <w:rFonts w:ascii="arial" w:eastAsia="arial" w:hAnsi="arial" w:cs="arial"/>
          <w:i/>
          <w:color w:val="000000"/>
          <w:sz w:val="20"/>
          <w:lang w:val="en-US" w:eastAsia="en-US" w:bidi="ar-SA"/>
        </w:rPr>
        <w:t>Crane v. Lee</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2011 BCSC 898</w:t>
        </w:r>
      </w:hyperlink>
      <w:r>
        <w:rPr>
          <w:rFonts w:ascii="arial" w:eastAsia="arial" w:hAnsi="arial" w:cs="arial"/>
          <w:color w:val="000000"/>
          <w:sz w:val="20"/>
          <w:lang w:val="en-US" w:eastAsia="en-US" w:bidi="ar-SA"/>
        </w:rPr>
        <w:t xml:space="preserve">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Neumann, on behalf of the defendant, suggested that any award of damages should be minimal because of the low impact velocity of the collision caused by the defendant and what he says is at best a "mild to at one time moderate whiplash injury" which should have resolved far earlier than Mr. Park and his doctors have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As I have earlier discussed, Mr. Neumann also suggested that Mr. Park's pre-existing degenerative disc conditions should preclude any recovery because his ongoing back problems are related to pre-existing disc problems that would have occurred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support of those submissions Mr. Neumann provided authorities which included awards for non-pecuniary damages from a low of $3,500 to a high of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Other cases are of some, but limited, assistance in determining an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Each person who endures a debilitating injury is unique and the nature of the injuries suffered by plaintiffs and their life circumstances will rarely be identical.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must, however, observe that the authorities relied upon by the defendant are of little assistance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To the extent that the defendant relies on the relatively low velocity impact of the collision in which Mr. Park suffered his injuries as a basis for discrediting the seriousness of his injuries, that submission ignores the medical evidence and does a disservice to Mr.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While counsel suggested that I should disbelieve Mr. Park, and accused him of "case building" by reason of his frequent attendance upon medical professionals, that proposition was never directly put to Mr. Park and is contrary to the totality of the evidence, including Dr. Kim's assessment, with which I agree, that Mr. Park is "quite stoic in nature and not the type to complain too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the other hand, the cases cited by counsel for Mr. Park establish to my satisfaction that for injuries akin to those suffered by Mr. Park an award in the range of $75,000 to $100,000 (before deduction for his pre-existing medical conditions) is necessary and appropriate to compensate for his non-pecuniary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reach that conclusion with specific reference to the following evidence which I accept:</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Kim's prognosis that despite all medical measures undertaken, Mr. Park's symptoms persist and have now persisted for more than five years and will continue to with perhaps some (but gradual) improvement.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Heran's prognosis and recommendations as recorded in his opinion of June 26, 2014,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recommendations that Dr. Craig makes for management based on the fact that he does not believe that Mr. Park has reached maximal medical improvement in his primary medical legal report are somewhat conflictual as clearly Mr. Park has developed L4 radiculopathy into his right leg likely before and definitely after the assessment with Dr. Craig and this confounds any abilities to recover overall. The myofascial components of his pain definitely have improved. The optimistic approach to him being able to do all of his usual activities back in a setting where only intermittent exacerbations would be incurred is therefore not supported by the presence of the L4 radiculopathy either. Dr. Craig does appropriately note that there is potential for slightly increased risk of accelerated degenerative changes in his neck and back due to the injuries from this accident. This is more importantly for the lumbar spine where he already has prominent degenerative changes already resulting in narrowing of the space where the nerves pass through in a setting where he has already been symptomatic in such distribution.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Mr. Park is now well over two to three years out from the motor vehicle accident which is the time one would expect him to be plateaued from his myofascial injuries. Your records support that he has reached a point where he has intermittent neck pain, albeit not a major concern by the time he saw me, as well as persistent low back pain, albeit much improved than when it first started following the motor vehicle accident. What I don't know is whether the L4 radiculopathy i.e. the radiation into his right leg, will improve with time. This is possible, however, not probable, given the imaging abnormalities. Subsequent MRI scan has not yet been performed. A comparative MRI scan which I have already ordered, requesting this to be performed around December 2014, will be valuable for further delineation of true causation for the right sided L4 radiculopathy as it is likely to be from height loss, disc settling and osteophytes as opposed to a disc herniation, with the former not getting better with time. If it were to persist, then a recommendation for intraspinous device for decompression of the nerve root indirectly is what I would propose. I would not recommend an aggressive surgery with instrumentation or aggressive open surgery with laminectomy for decompression. For this reason I would like to see Mr. Park following his MRI scan of around December 2014.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this point in time I feel that Mr. Park is limited from all moderate to heavier activities yet is able to participate in all of his usual daily activities of light to moderate nature. Assistance would be required for heavier lifting, repetitive activities requiring bending and twisting maneuvers. His recreational activities have also been affected and this is well outlined.</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Craig's prognosis to which I earlier referred and quoted at para. 57 of these reasons.</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Park's evidence which I accept, that he is now able to be less physically active and unable to enjoy outdoor activities that he used to enjoy, is burdened by headaches when trying to read historical treatises which he used to very much enjoy, and finds that he is more tired from the standing his work requires and also less able to do the heavier lifting that he previously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do, however, find that Mr. Park's pain and suffering and loss of enjoyment of life are less than that suffered by the plaintiffs in those cases in which the plaintiffs were awarded general damages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Although Mr. Park has suffered pain that is chronic, it does however, wax and wane. He is also still able to enjoy travel to Asia although of a more sedentary nature than before the collision. He is still also able to make the long drive from Valemount to Vancouver although with more frequent stops and discomfort. The sparse evidence of the need for future surgical or other invasive medical intervention is also insufficient to establish entitlement to compensation for such eventualities.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all of the circumstances I find that an award of $80,000 would appropriately compensate Mr. Park for his past, present, and future pain and suffering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By application of the 20% reduction I have previously found to be necessary to compensate him only for the change from his "original" position that has been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award Mr. Park $64,000 to compensate him for his non-pecuniary losses.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This case is unlike many others in that Mr. Park has advanced a claim for loss of future income capacity but has not pursued one for past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Park's decision to not pursue a past loss of earnings is somewhat puzzling since he did testify about the need to hire more staff to operate his gas station and convenience store in the years that followed the collision because of its effect upon his own ability to do all of that which he had previously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part, the work limitations about which he testified as requiring the hiring of more casual staff than had previously been the case arose with respect to his more limited physical capacity to do work stocking shelves with heavier items, as well as his lack of stamina and discomfort arising from many hours of standing at a cash register on a seven day per week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More significantly, his many attendances away from his business in Valemount to attend in Vancouver for medical treatments since the collision, all of which involved at least two to three days away from his business in Valemount, resulted in the need to hire more staff to cover work he could otherwise have done as he had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Park also led some evidence about his inability to devote as much time as he previously had to the restaurant business in Kamloops. I am, however, satisfied by the totality of the evidence that the loss of profit from that venture was probably caused more by business factors rather than his physical limitations caused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only financial information that Mr. Park produced related to the additional staffing costs which the gas station business incurred post collision were his own income tax returns which showed that historically in the tax years from 2005 until 2010 (except in 2007) he had been attributed T4 income from his business ventures of approximately $25,000 to $27,000.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For some reason unknown and unexplained to me, in the tax year 2007 he paid tax on T4 attributed income of only $11,250.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After the collision for the tax year 2011, Mr. Park was attributed T4 income of $17,800; in 2012, T4 income of $448; and in 2013, T4 income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No income information was provided for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Park testified that the much reduced attribution of T4 income to him in 2012 and 2013 was a result of increased costs and reduction of profits arising because he could not do the work he would otherwise have done in his business ventures which at least in part had to be replaced by casual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All of that evidence could have been tendered in support of a modest claim for past loss of earnings but, as I have noted, no such claim was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Counsel for Mr. Park did, however, rely on that same evidence as the basis for a claim for a modest award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He advanced that claim based upon Mr. Park's testimony that he intends to work for another nine years (until he is 70) and is still limited by his injuries in the work he can do, and hurts himself when he does too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McIntosh submitted that an award of one year of T4 income of about $25,000 (similar to that lost in 2012) would appropriately and reasonably compensate Mr. Park for the risk of future loss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response to that claim the defendant submits that there is no independent proof of Mr. Park's reduced work capacity, including no specific evidence of those casual employees who had to be hired to replace work Mr. Park might otherwise have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defendant submits that the lack of that readily available corroborative evidence should cause me to wholly discount the T4 evidence relied upon by Mr. Park to support a theory of income loss attributable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 submits that since no past loss has been reliably proven, any claim for future loss is speculative at best and no award should be made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our Court of Appeal settled the question of how claims for lost impaired earning capacity can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After a long discussion and review of different approaches that had been applied in past cases, Garson J.A. stated for the court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[1990] B.C.J.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 xml:space="preserve">Parypa, </w:t>
      </w:r>
      <w:hyperlink r:id="rId386"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It is unfortunate that counsel for Mr. Park failed to adduce corroborative evidence of the cost of employing past replacement labour to support Mr. Park's evidence about what he could no longer do in his business enterprises.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do not, however, doubt that Mr. Park's business did incur costs in substituted labour because of his limitations and his frequent absences for work caused by the collision. The sheer number of absences from the business alone substantiates the reliability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Even if the number of trips to Vancouver was unreasonable from a special damages perspective (as I will later discuss) he would still have had to take many trips (although of perhaps shorter duration) to Kamloops to receive the medical treatments that he received on the advice of Dr. Kim.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have accordingly concluded that the lack of corroboration of the cost of replacement workers arising due to Mr. Park's injuries caused by the defendant is not fatal to his claim for 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Also, Mr. Park's tax returns and his own evidence which I accept do offer some evidence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find that the evidence establishes a real and substantial possibility that Mr. Park will suffer a future income loss because of a continuation of the effect of his injuries upon his work capacity, as well as the risk of accelerated degenerative change or aggravation from future traumatic or non-traumatic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Having said that, I am also satisfied that the quantification of that loss must be approached with caution given Mr. Park's failure to adduce available independent corroborative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all of the circumstances I find that an award of $15,000 will appropriately compensate Mr. Park for his future loss of earning capacity. That award must be reduced by the 20% I have previously found to be necessary to compensate him only for the change from his "original" position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accordingly award Mr. Park $12,000 to compensate him for his loss of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Because Mr. Park's claims for special damages are similar in substance to his claims for compensation for his future care costs I have determined to first address his special damages claim. The determination of that claim will inform the decisions I have reached concerning the appropriate compensation for his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Park's claim for special damages is comprised of two parts: the unpaid costs of past medical interventions totalling $2,403.14; and, uncompensated mileage costs of $23,642, based upon 47,284 kilometers of travel (primarily between Valemount and Vancouver) for medical interventions at $.50 per kilometer.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defendant initially objected to almost all treatment costs incurred after September 2011 (the date when unpaid claims commenced) on the basis that they were not initiated by medical professionals or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However, as I understood the defendant's submissions in argument, the defendant no longer took that position and did not oppose Mr. Park's special damages claim except with respect to mileage.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To the extent I may have misapprehended the defendant's position in argument, I am in any event satisfied that even without any concession all of the special damages claimed by Mr. Park with respect to medical intervention and treatment after September 28, 2011, have been proven as special damages, entitling Mr. Park to an award of $2,403.14, as claimed under that aspect of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 reach that conclusion by application of the principles recently enunciated by Saunders J. in </w:t>
      </w:r>
      <w:r>
        <w:rPr>
          <w:rFonts w:ascii="arial" w:eastAsia="arial" w:hAnsi="arial" w:cs="arial"/>
          <w:i/>
          <w:color w:val="000000"/>
          <w:sz w:val="20"/>
          <w:lang w:val="en-US" w:eastAsia="en-US" w:bidi="ar-SA"/>
        </w:rPr>
        <w:t>Redl v. Sellin,</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2013 BCSC 581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Redl</w:t>
      </w:r>
      <w:r>
        <w:rPr>
          <w:rFonts w:ascii="arial" w:eastAsia="arial" w:hAnsi="arial" w:cs="arial"/>
          <w:color w:val="000000"/>
          <w:sz w:val="20"/>
          <w:lang w:val="en-US" w:eastAsia="en-US" w:bidi="ar-SA"/>
        </w:rPr>
        <w:t>], in which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w:t>
      </w:r>
      <w:r>
        <w:rPr>
          <w:rFonts w:ascii="arial" w:eastAsia="arial" w:hAnsi="arial" w:cs="arial"/>
          <w:color w:val="000000"/>
          <w:sz w:val="20"/>
          <w:u w:val="single"/>
          <w:lang w:val="en-US" w:eastAsia="en-US" w:bidi="ar-SA"/>
        </w:rPr>
        <w:t>Generally speaking, claims for special damages are subject only to the standard of reasonableness</w:t>
      </w:r>
      <w:r>
        <w:rPr>
          <w:rFonts w:ascii="arial" w:eastAsia="arial" w:hAnsi="arial" w:cs="arial"/>
          <w:color w:val="000000"/>
          <w:sz w:val="20"/>
          <w:lang w:val="en-US" w:eastAsia="en-US" w:bidi="ar-SA"/>
        </w:rPr>
        <w:t xml:space="preserve">. However, as with claims for the cost of future care (see </w:t>
      </w:r>
      <w:r>
        <w:rPr>
          <w:rFonts w:ascii="arial" w:eastAsia="arial" w:hAnsi="arial" w:cs="arial"/>
          <w:i/>
          <w:color w:val="000000"/>
          <w:sz w:val="20"/>
          <w:lang w:val="en-US" w:eastAsia="en-US" w:bidi="ar-SA"/>
        </w:rPr>
        <w:t>Juraski v. Beek</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2011 BCSC 982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when a claimed expense has been incurred in relation to treatment aimed at promotion of a plaintiff's physical or mental well-being, evidence of the </w:t>
      </w:r>
      <w:r>
        <w:rPr>
          <w:rFonts w:ascii="arial" w:eastAsia="arial" w:hAnsi="arial" w:cs="arial"/>
          <w:color w:val="000000"/>
          <w:sz w:val="20"/>
          <w:u w:val="single"/>
          <w:lang w:val="en-US" w:eastAsia="en-US" w:bidi="ar-SA"/>
        </w:rPr>
        <w:t>medical justification for the expense is a factor in determining reasonableness</w:t>
      </w:r>
      <w:r>
        <w:rPr>
          <w:rFonts w:ascii="arial" w:eastAsia="arial" w:hAnsi="arial" w:cs="arial"/>
          <w:color w:val="000000"/>
          <w:sz w:val="20"/>
          <w:lang w:val="en-US" w:eastAsia="en-US" w:bidi="ar-SA"/>
        </w:rPr>
        <w:t xml:space="preserve">. I accept the argument expressed through Dr. Frobb, that a patient may be in the best position to assess her or his subjective need for palliative therapy. I also accept the plaintiff's counsel's argument that in the circumstances of any particular case, it may be possible for a plaintiff to establish that reasonable care equates with a very high standard of care. In the words of Prof. K. Cooper-Stephenson in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(2d ed., 1996) at p. 166: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prior to the Supreme Court's endorsement of the restitution principle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Arnold v. Teno</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in the area of special damages the courts had been prepared to allow optimum care, and damages were awarded for expenses of a character that stretched far beyond the resources of even an affluent Canadian.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being said, and while Dr. Frobb's paradigm of the patient becoming their own physician may have at least a superficial appeal, plaintiffs are not given </w:t>
      </w:r>
      <w:r>
        <w:rPr>
          <w:rFonts w:ascii="arial" w:eastAsia="arial" w:hAnsi="arial" w:cs="arial"/>
          <w:i/>
          <w:color w:val="000000"/>
          <w:sz w:val="20"/>
          <w:lang w:val="en-US" w:eastAsia="en-US" w:bidi="ar-SA"/>
        </w:rPr>
        <w:t>carte blanche</w:t>
      </w:r>
      <w:r>
        <w:rPr>
          <w:rFonts w:ascii="arial" w:eastAsia="arial" w:hAnsi="arial" w:cs="arial"/>
          <w:color w:val="000000"/>
          <w:sz w:val="20"/>
          <w:lang w:val="en-US" w:eastAsia="en-US" w:bidi="ar-SA"/>
        </w:rPr>
        <w:t xml:space="preserve"> to undertake any and all therapies which they believe will make them feel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All of the medical interventions claimed by Mr. Park after September 28, 2011, were recommended by either Dr. Kim or another professional to whom Mr. Park was referred to by Dr. Kim.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Except with respect to where those interventions were incurred (which impacts on the mileage claim) all of the expenses incurred were also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That proven damage award of $2,403.14 award must, however, be reduced by 20% to take account of his pre-accident conditions as previously discussed, resulting in an award of $1,923.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do, however, agree with the defendant that the mileage claim aspect of special expenses is in its totality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While I agree that case law supports a mileage charge of $.50 per kilometer for the use of a private vehicle for necessary medical attention (see: </w:t>
      </w:r>
      <w:r>
        <w:rPr>
          <w:rFonts w:ascii="arial" w:eastAsia="arial" w:hAnsi="arial" w:cs="arial"/>
          <w:i/>
          <w:color w:val="000000"/>
          <w:sz w:val="20"/>
          <w:lang w:val="en-US" w:eastAsia="en-US" w:bidi="ar-SA"/>
        </w:rPr>
        <w:t>Valuck</w:t>
      </w:r>
      <w:r>
        <w:rPr>
          <w:rFonts w:ascii="arial" w:eastAsia="arial" w:hAnsi="arial" w:cs="arial"/>
          <w:color w:val="000000"/>
          <w:sz w:val="20"/>
          <w:lang w:val="en-US" w:eastAsia="en-US" w:bidi="ar-SA"/>
        </w:rPr>
        <w:t xml:space="preserve"> at para. 86), I am not satisfied that it was reasonable to travel the distances which Mr. Park travelled.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say that because while it was reasonable to travel to Vancouver to see Dr. Kim as a Korean speaking physician in whom to repose his care, as well as to see Dr. Craig and Dr. Heran, it was not reasonable to take all chiropractic, acupuncture, massage, active rehabilitation and shiatsu treatment in the Lower Mainland, rather than in the nearer centre of Kamloops or other larger centres than Valemount (including the much nearer Jasper, Alberta) where practitioners of such passive therapy would almost certainly have been available to provide such services and ought to have been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am also satisfied that Mr. Park did not sufficiently account in his mileage claim for the number of visits to Vancouver he would likely have made in any event for family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After discounting his claim by the amount of travel that I consider to have been unreasonable, I find that an award of $10,000 will fairly compensate Mr. Park for his costs of his necessary travel arising as a consequence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will also adjust that award downward by 20% to account for his pre-existing medical conditions, resulting in an award of $8,000 for this aspect of his special damages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Park's special damages will accordingly be allowed in the total amount of $9,923.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Park claims a total of $4,610 for the costs of his anticipated future medical care arising from the lasting impact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Park's specific claims are for:</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 sessions of psychotherapy at a cost of $2,000;</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24 sessions with a kinesiologist at a cost of $1,440;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18 sessions of physiotherapy at a cost of $1,170.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addition to those costs, Mr. Park claims $5,000 in future mileage costs (10,000 km at $.50 per km) in order to attend upon the referenced medical professionals to obtain that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our Court of Appeal reviewed principles that govern the assessment of cost of future care awards. At paras. 28-30, Bennett J.A., for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(1978), 83 D.L.R. (3d) 452</w:t>
        </w:r>
      </w:hyperlink>
      <w:r>
        <w:rPr>
          <w:rFonts w:ascii="arial" w:eastAsia="arial" w:hAnsi="arial" w:cs="arial"/>
          <w:color w:val="000000"/>
          <w:sz w:val="20"/>
          <w:lang w:val="en-US" w:eastAsia="en-US" w:bidi="ar-SA"/>
        </w:rPr>
        <w:t xml:space="preserve"> at 462, Dickson C.J.C. 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theory a claim for the cost of future care is a pecuniary claim for the amount which may reasonably be expected to be expended in putting the injured party in the position he would have been in if he had not sustained the injury. Obviously, a plaintiff who has been gravely and permanently impaired can never be put in the position he would have been in if the tort had not been committed. To this extent,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is not possible. Money is a barren substitute for health and personal happiness, but to the extent, within reason, that money can be used to sustain or improve the mental or physical health of the injured person it may properly form part of a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purpose of the award for costs of future care is to restore, as best as possible with a monetary award, the injured person to the position he would have been in had the accident not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The award is "based on what is reasonably necessary on the medical evidence to promote the mental and physical health of the plaintiff: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and adopted in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Bennett J.A. also went on to state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The failure of the trial judge to perform an analysis of each item sought by the plaintiff with respect to whether there was "some evidentiary link between the physician's assessment of pain, disability and recommended treatment and the care recommended by a qualified health professional" was a legal error.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Counsel for Mr. Park asserts that all of the future care costs sought have been established as being medically necessary because of the recommendations made by Dr. Craig and Dr. Kim for the future treatment of Mr. Park's pain and suffering arising from the collision which continue to wax and wane on a persistent basis, notwithstanding the numerous similar treatments he had already received for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defendant submits that none of the costs sought should be awarded. He correctly states that Dr. Heran does not promote ongoing passive therapy and that while Dr. Craig does recommend such treatment he suggests that those recommendations should be read as being related primarily to neck related treatments, not the low back ailments which have been Mr. Park's main concern since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defendant also says there is no up-to-date evidence about either the number or duration of treatments which Dr. Craig and Dr. Kim have recommended in the past so that if any such treatments are allowed as future care costs their number should be more limited than suggested by counsel for Mr.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As required by </w:t>
      </w:r>
      <w:r>
        <w:rPr>
          <w:rFonts w:ascii="arial" w:eastAsia="arial" w:hAnsi="arial" w:cs="arial"/>
          <w:i/>
          <w:color w:val="000000"/>
          <w:sz w:val="20"/>
          <w:lang w:val="en-US" w:eastAsia="en-US" w:bidi="ar-SA"/>
        </w:rPr>
        <w:t>Gingas</w:t>
      </w:r>
      <w:r>
        <w:rPr>
          <w:rFonts w:ascii="arial" w:eastAsia="arial" w:hAnsi="arial" w:cs="arial"/>
          <w:color w:val="000000"/>
          <w:sz w:val="20"/>
          <w:lang w:val="en-US" w:eastAsia="en-US" w:bidi="ar-SA"/>
        </w:rPr>
        <w:t>, I will now consider each of the items of future care for which Mr. Park suggests an award should be made.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Ten sessions of psychotherapy at a cost of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This claim emanates from the third recommendation in the report of Dr. Kim dated June 9, 2014, in which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help optimize future improvement and minimize flair ups as well as improve Mr. Park's quality of life the following recommendations are made:</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Continued supervised physical activity and exercise so that intensity and duration of exercise is graduated appropriately and he does not [reinjure] himself.</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Pharmacological management of his musculoskeletal symptoms.</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Psychotherapy for symptoms of stress due to frustration and impairment. Provision for referral for psychiatric assessment which also may include pharmacological management for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difficulty with the claim for future care costs presented by counsel for Mr. Park is that the evidence does not support the quantification of the claim other than as to the hourly cost of the type of treatment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Given the length of time during which Mr. Park has suffered from stress due to frustration and impairment to which psychotherapy would be addressed without previously resorting to such treatment, I am not satisfied that the 10 sessions for which compensation is sought by counsel are all medically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Kim's recommendations are, however, worthy of some consideration. I will allow one half of the amounts claimed, reduced by 20%, by reason of Mr. Park's pre-existing medical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award will be $800.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Twenty-four sessions with a kinesiologist at a cost of $1,440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Craig recommended active rehabilitation treatment for Mr. Park's injuries. He also testified that he did not consider such treatment to be passive and in any event stated that ongoing active rehabilitation would aid in Mr. Park's recovery. Dr. Kim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will accordingly allow the compensation sought for this therapy of $1,440, reduced by 20%, by reason of Mr. Park's pre-existing medical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award will be $1,150.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Eighteen sessions of physiotherapy at a cost of $1,170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Heran is not in favour of such further passive treatment while Dr. Craig is, as is Dr. Kim.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evidence also does establish that physiotherapy offers short term relief of Mr. Park's suffering which is still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find that the number of sessions sought is also not unreasonable given the waxing and waning of Mr. Park's injuries since 18 sessions would comprise only two sessions per year until age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have concluded that the treatment sought is medically necessary to promote Mr. Park's physical and mental health by offering him occasional relief. I accordingly award the amount claimed, less 20%, by reason of Mr. Park's pre-existing medical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award will be $935.</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Mileage claims for further medical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total I have allowed 47 additional treatment sessions to be taken over a period of about 10 years. I am satisfied that most of those sessions can be pursued either in Kamloops which is closer to Valemount or, alternatively in Vancouver often when Mr. Park makes his usual trips to visit his wife and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An award of $2,000, reduced by 20%, will in my opinion adequately compensate Mr. Park for mileage for the ongoing care I have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award for future mileage cost will be $1,600.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The total award for the cost of Mr. Park's future care needs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$4,485.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SUMMARY OF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In result, Mr. Park is entitled to payment by the defendant of the following amounts for the damages he has suffered as a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$64,000;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$12,000;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 $9,923;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$4,485.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$90,408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Unless there are matters of which I am unaware which may require further submissions, the plaintiff is entitled to recover his assessable costs and disbursements throughout related to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DAVIES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1" style="position:absolute;z-index:2517811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Aberdeen v. Langley (Township), [2006] B.C.J. No. 3408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Groves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February 14,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M024554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3408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1980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155 A.C.W.S. (3d) 804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Aberdeen, Plaintiff, and Township of Langley, Joseph Zanatta, Ann Cassels, Ann Cassels d.b.a. Nathan Creek Nursery,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2"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3" w:name="Keywords_18"/>
      <w:bookmarkEnd w:id="123"/>
      <w:r>
        <w:rPr>
          <w:rFonts w:ascii="arial" w:eastAsia="arial" w:hAnsi="arial" w:cs="arial"/>
          <w:b/>
          <w:color w:val="000000"/>
          <w:sz w:val="20"/>
          <w:lang w:val="en-US" w:eastAsia="en-US" w:bidi="ar-SA"/>
        </w:rPr>
        <w:t>Civil procedure — Trials — Juries — Setting aside jury notice — Application by one of the defendants to set aside a jury notice in a motor vehicle accident case dismissed — Case was not sufficiently complex and the issues were not so complex that a properly instructed jury could not make the appropriate determinations.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4" w:name="Case Summary_15"/>
            <w:bookmarkEnd w:id="12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Zanatta to strike a jury notice -- Aberdeen sued for damages for injuries sustained in a bicycle accident -- He claimed he was driving his bicycle down an incline in the defendant Township of Langley he came upon a vehicle driven by Zanatta that crossed into his lane -- Aberdeen took evasive action, passed through the shoulder of the road and abutted against a metal guardrail installed by the Township -- There was a gap between the guardrail and a cement guardrail -- Aberdeen claimed he fell through the gap and was injured -- HELD: Application dismissed -- Zanatta failed to prove that the case would require a prolonged examination on either documents or accounts, scientific or local investigation, that could not be made conveniently by a jury -- He also failed to show that the issues were intricate and complex that the court had to exercise its discretion and set aside the notice -- Issues in this case were liability and damages -- Juries in motor vehicle cases were regularly required to make these determinations -- Liability issued in this case were not complex -- Jury would have to determine the credibility of Aberdeen and Zanatta but that was not a complex issue -- Question of the Township's liability was also not complex -- Issue of Aberdeen's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likewise not complex -- Regarding damages the most significant issue was how much Aberdeen should receive for his future care -- This was also not complex.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5" w:name="Legislation Cited_11"/>
      <w:bookmarkEnd w:id="1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3"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35, Rule 35(4)(a), Rule 39, Rule 39(25), Rule 39(27), Rule 39(27)(b)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6" w:name="Counsel_20"/>
      <w:bookmarkEnd w:id="1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4"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M.J. Slater, A.C.R. Parsons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Township of Langley: A. Hobkirk, B.P.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Zanatta, Cassels and Nathan Creek Nursery: R. Hungerford, M. Giles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7" w:name="Judgment_20"/>
      <w:bookmarkEnd w:id="127"/>
      <w:r>
        <w:pict>
          <v:line id="_x0000_s1125" style="position:absolute;z-index:2518312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8" w:name="GROVES J. (orally)"/>
            <w:bookmarkEnd w:id="128"/>
            <w:r>
              <w:rPr>
                <w:rFonts w:ascii="arial" w:eastAsia="arial" w:hAnsi="arial" w:cs="arial"/>
                <w:b/>
                <w:color w:val="000000"/>
                <w:sz w:val="30"/>
                <w:lang w:val="en-US" w:eastAsia="en-US" w:bidi="ar-SA"/>
              </w:rPr>
              <w:t>GROVES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litigation in which the plaintiff seeks damages for significant physical injuries resulting from a bicycle accident on the 29th of June, 2002, in Langley,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allegations in the statement of claim appear to be that the plaintiff was driving his bike down an incline on a road in the Township of Langley which may or may not be noted as a bike route. It is alleged that in the course of travelling downhill through a series of "S" curves the plaintiff came upon a vehicle allegedly driven by the individual defendant Zanatta which the plaintiff says crossed the centre line from the direction in which it was going into the oncoming lane, the direction in which the plaintiff was going, causing the plaintiff to have to take evasive action. The plaintiff ended up passing through the shoulder of the road and abutted against a metal guardrail installed along the road by the defendant Township of Langley. Apparently the guardrail ended prior to a cement "no-post" guardrail beginning, creating a gap in the restraint along the road. It is through this gap in restraint along the road that the plaintiff says he fell. In the course of falling down an embankment, he was injured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allegations against who I will call the individual defendant, being Zanatta, Cassels and Nathan Creek Nursery, are that the driver of the vehicle, Zanatta, breached his duty of care by crossing the road into the oncoming lane, causing the plaintiff Aberdeen to take the evasive action.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Township of Langley relate to the construction of the metal guardrail and cement no-post, as well as potentially in regards to the status of gravel on the shoulder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application before me, heard on Tuesday, October 3rd, is the Zanatta defendant's application to strike a jury notice. This is the first such application to strike a jury notice in this proceeding. The application to strike the jury notice is dismissed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analysis begins with Rule 39(27). This is the rule which deals with striking a jury notice. Rule 39(27)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in the cases of defamation, false imprisonment and malicious prosecution, a party to whom a notice under subrule (26) has been delivered may apply</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seven days for an order that the trial or part of it be heard by the court without a jury on the ground that</w:t>
      </w:r>
    </w:p>
    <w:p>
      <w:pPr>
        <w:numPr>
          <w:numId w:val="2"/>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which cannot be made conveniently with a jury, or</w:t>
      </w:r>
    </w:p>
    <w:p>
      <w:pPr>
        <w:numPr>
          <w:numId w:val="3"/>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for an order that the trial be heard by the court without a jury on the ground that it relates to one of the matters referred to in subrule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regards to section (b) of Rule 39(27), it is not argued that any of the exceptions in subrule (25)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note in reading Rule 39, that there is a seven-day notice requirement to indicate a desire to have a jury notice struck. I note from the pleadings that the notice of trial was taken out in June of 2005. Though there may be some delay in serving that notice on the various defendants, it is likely that by June or July of 2005 the seven-day time period would have expired. This is as such a very late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true that Rule 35(4)(a) allows a judge or master at a pretrial conference, which is how this application was framed, to do a number of things, including set aside a jury notice. In doing so at a pretrial conference a judge or master must apply the same criteria as set out in Rule 39(27).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That being said, I have concerns about the very late nature of the application generally, before getting into its merits. No explanation is provided as to why the applicant has left this application so late. The applicant is represented by learned counsel who have had conduct of this matter for a number of years. Counsel, in their considerable preparation for trial, would have continuously turned their mind to the fact that this was a jury trial. They would have retained experts for independent medical examinations but also to rebut expert reports of the plaintiff with that in mind. There is no explanation provided as to why counsel could not have foreseen the difficulties that they wish to now rely on in an effort to strike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application, in my view, could have been brought much earlier if in fact the concerns now raised were legitimate.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pretrial rule allowing the striking of a jury notice is, in my view, reserved for cases that, through perhaps no fault, or through fault, or through a change in the complexity or the nature of the case, cause the various parties or the applicant to determine later on in the case that a jury is no longer appropriate. Quite often applications to strike a jury are made and evidence is provided as to the complexity of the case at a later stage as opposed to where it was at an earlier stage. Here I note that in terms of the complexity, at least as to trial time, the trial was originally set in 2005 for 25 days. It is still estimated to be 25 days. That of course does not mean that the case is not more complex or less complex, but it is a factor which to my mind has some merit for consideration when one considers the complexity under an application properly brought under Rule 39 as opposed to an application brought a year and a half later under Rule 35. Delay, for whatever it is worth, though, is not the determining factor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for the determining factor, I agree almost entirely with the argument put forward by counsel for the plaintiff. Here clearly the onus is on the applicant to establish that it is appropriate to strike the jury notice and that the complexity of this litigation is such that it would fall within the criteria under Rule 39. The applicant must present sufficient evidence to establish that the case will require a prolonged examination on either documents or accounts, scientific or local investigation that cannot be made conveniently by a jury, or that the issues are intricate and complex such that the court ought to exercise its discretion to set aside a properly filed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are a number of cases provided by counsel for the plaintiff which stand for the proposition that in the absence of this proof, the order must not be granted. Here I find that the proof required is not met by the applicant. In coming to this conclusion I have to look at really what a jury has to decide in this case. There are really two large areas of consideration for this jury, liability and damages. British Columbia juries in motor vehicle type cases are regularly required to make these determinations. That is nothing novel. That is nothing new. Here, in my view the liability issues are not complex. In regards to the individual defendants, the question for the jury to determine is did Mr. Zanatta cross the traffic line and was that negligent? The liability of the individual defendants will require, I am advised, the jury to make a credibility assessment, because Mr. Zanatta says one thing about that and Mr. Aberdeen and his witness say something different. That is not a complex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regards to liability vis-à-vis the Township of Langley, the question will be whether the Township of Langley created the gap between the metal guardrail and the no-post guardrail and whether or not that design is faulty, whether or not that design establishes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Township of Langley. Again not a complex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third potential liability question may be a question of the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Again, that is not a complex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for the damages, the most significant issue on damages in my view, and this is again as suggested by counsel for the plaintiff and not seriously disputed, the amount which Mr. Aberdeen should receive for his cost of future care. Clearly Mr. Aberdeen, in regards to non-pecuniary loss, something that juries often have to grapple with, is someone who would likely fall within the upper limits of damages for pain and suffering. The cost of future care issue may be a large dollar item but is not a complex issue, in my view. The jury will be asked to assess the non-pecuniary loss of future income, special damages, an in-trust claim and the claim for cost of future care, but none of these are of such a complex nature that juries are not required regularly in British Columbia to make determinations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is not a sufficiently complex case, nor are the issues so complex that a jury properly instructed cannot in fact make the determination that juries for many years have been required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For those reasons, the application as indicated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GROVES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6"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Barton v. Canada (Royal Canadian Mounted Police), [2000] B.C.J. No. 2661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29, 30 and December 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Cranbrook Registry No. 9681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2661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1519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102 A.C.W.S. (3d) 225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Larry Barton, plaintiff, and Paul Thalhofer and the Attorney General on behalf of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7"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9" w:name="Keywords_19"/>
      <w:bookmarkEnd w:id="129"/>
      <w:r>
        <w:rPr>
          <w:rFonts w:ascii="arial" w:eastAsia="arial" w:hAnsi="arial" w:cs="arial"/>
          <w:b/>
          <w:color w:val="000000"/>
          <w:sz w:val="20"/>
          <w:lang w:val="en-US" w:eastAsia="en-US" w:bidi="ar-SA"/>
        </w:rPr>
        <w:t xml:space="preserve">Torts — Trespass — Assault and battery — Battery, what constitutes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particular persons and relationships — Police officers.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0" w:name="Case Summary_16"/>
            <w:bookmarkEnd w:id="1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accused, Barton, against Constable Thalhofer of the RCMP and the Attorney General of British Columbia for damages for battery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an incident which occurred during Barton's arrest for impaired driving. Someone telephoned the RCMP to advise that Barton was driving while impaired. Thalhofer intercepted Barton's vehicle and told him five times to pull his vehicle over to the right. Barton conceded that he was instructed to do so twice. Thalhofer noted various indicia of impairment, including a strong odour of alcohol, blood shot eyes and slurred speech. Other indicia included a failure to follow Thalhofer's instructions and Barton's perceived lack of responsiveness. Thalhofer told Barton that he was under arrest. As Barton made no immediate move, Thalhofer started to pull Barton out of the truck. When Barton's feet hit the ground Barton slipped and fell on his face. Thalhofer checked Barton and found him to be breathing. He then handcuffed him. Thalhofer denied that he flung or pushed Barton on to the ground. He also denied that he kneed Barton in the back or neck. He lifted Barton and leaned him over the fender of the police vehicle, patted him down, then placed him in the back seat of the police vehicle. Barton said that he was not given a chance to get out of the truck, never heard Thalhofer say he was under arrest and the next thing he knew, Thalhofer came down on his back with his knee and he lost consciousness.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1" w:name="Holdings of Court_13"/>
            <w:bookmarkEnd w:id="13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did not accept the evidence of the defence through Barton and his friend. Baron and his friend were mistaken in their judgment because their judgment was impaired by alcohol. Barton did not show on a balance of probabilities that Thalhofer's actions amounted to battery or that Thalhofer was negligent in handling Barton. Barton had thus not made out on a balance of probabilities that his injuries were either the consequence of a battery by Thalhofer or a result of any negligent action by Thalhofer.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2" w:name="Counsel_21"/>
      <w:bookmarkEnd w:id="1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8"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 Buddenhagen, for the plaintiff. R. Young,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3" w:name="Judgment_21"/>
      <w:bookmarkEnd w:id="133"/>
      <w:r>
        <w:pict>
          <v:line id="_x0000_s1129" style="position:absolute;z-index:2517831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4" w:name="MELNICK J."/>
            <w:bookmarkEnd w:id="134"/>
            <w:r>
              <w:rPr>
                <w:rFonts w:ascii="arial" w:eastAsia="arial" w:hAnsi="arial" w:cs="arial"/>
                <w:b/>
                <w:color w:val="000000"/>
                <w:sz w:val="30"/>
                <w:lang w:val="en-US" w:eastAsia="en-US" w:bidi="ar-SA"/>
              </w:rPr>
              <w:t>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Larry Barton (Mr. Barton) brings this action against Cst. Paul Thalhofer (Cst. Thalhofer) of the Royal Canadian Mounted Police (RCMP) and the Attorney General on behalf of Her Majesty the Queen in Right of the Province of British Columbia (the Attorney General) for damages for battery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an incident in which Cst. Thalhofer arrested Mr. Barton for impaired driving.</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January 13, 1999, Mr. Barton was living in Hosmer, a community located between Fernie and Sparwood. There he operated a business which included a radiator repair shop and an auto body shop as well as used car sales. For the purpose of the latter, Mr. Barton had a truck capable of transporting two automobiles. It was a "cab over" design; the driver and passenger seat were located above the engine and the front wheels of the unit. The rear consisted of a short eight-foot wide flat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January 13, 1999, Mr. Barton and his friend, Darryl Gillis (Mr. Gillis), drove into Sparwood so that Mr. Barton could do some banking and put fuel in the truck for an intended trip to Calgary the following day. On their way home they were flagged over to the shop of a friend and former employee of Mr. Barton who invited them in for a beer. They had just purchased a box of six beer themselves and took that along. They had previously stopped off for what Mr. Gillis reported was one beer each at a pub. While at Mangled Radiators, his friend's place of business, Mr. Barton says he consumed four to five bottles of beer. Mr. Gillis says that he had a similar amount. They were at Mangled Radiators for approximately three hours, leaving at just after 7:00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Apparently, someone at the party was concerned that Mr. Barton should not be driving and telephoned the RCMP to advise that he was on the highway. Thus, an RCMP dispatcher alerted patrol cars in the area with the result that Cst. Thalhofer, accompanied in his vehicle by Aux. Cst. Christenson, proceeded toward Sparwood from Fernie while Cst. Small of the Sparwood detachment headed in the opposite direction. Cst. Thalhofer was the first to come across Mr. Barton driving his truck approaching Hosmer from the direction of Sparwood. After the vehicles met, Cst. Thalhofer did a U-turn and put on his emergency lights. This failed to attract the attention of Mr. Barton and so he put on his siren. For his part, Mr. Barton says that he saw the police vehicle but assumed that the vehicle wished to pass him rather than attract his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any event, after the siren was put on, Mr. Barton brought his vehicle to a stop. According to Cst. Thalhofer, the vehicle was stopped in the traffic lane in which Mr. Barton had been driving. Aux. Cst. Christenson gave evidence to the same effect. According to Mr. Barton, he pulled over to the right as far as he could so that the right-hand side of his cab was against a snow bank. Mr. Gillis gave evidence to the same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Cst. Thalhofer says that he approached the driver's side of the vehicle and told Mr. Barton five times to pull his vehicle over to the right. Mr. Barton concedes that he was instructed to do so twice.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evidence differs widely as to how far, at that point, Mr. Barton was from his shop and residence located a short distance to the West on Highway 3. According to Cst. Thalhofer, it was about 500 metres. According to Mr. Barton, it was about 75 feet. According to Mr. Gillis, the distance was about 200 feet while Aux. Cst. Christenson estimated the distance at 200 yards.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Barton says that he indicated to Cst. Thalhofer that instead of pulling over to the right he would pull ahead into his shop yard, a manoeuvre that involved driving a short distance down the highway and pulling to the left across the highway into the yard. However, it was Cst. Thalhofer's impression at the time that Mr. Barton had understood his instructions to pull over to the right and that he would do so. He had no recollection of Mr. Barton saying that he would rather drive the short distance home. Cst. Thalhofer said that he had only allowed Mr. Barton to pull his vehicle off the highway to the right out of sympathy for him because he had once himself been a tow truck driver and knew how embarrassing it was to have one's tow truck towed by another company. Mr. Barton's truck could be described as being in the tow truck family of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If Mr. Barton made the above statement to Cst. Thalhofer, it is evident that Cst. Thalhofer did not hear him because, when Mr. Barton drove off in his vehicle, turned left across the highway and parked in his shop yard, Cst. Thalhofer quickly followed him with his emergency equipment activated. Cst. Thalhofer pulled the police vehicle roughly parallel with the driver's side of Mr. Barton's truck, got out, and again approached the driver's side of Mr. Barton's vehicle. He noted that the surface of the parking lot was very slippery because of ice and warned Aux. Cst. Christenson to be careful of his footing.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What happened when Cst. Thalhofer got to the truck is central to this law 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According to Cst. Thalhofer, he opened the driver's door of the truck and said, "Larry get out of the truck". In response to a query from Mr. Barton as to why he should do so, Cst. Thalhofer said that he told Mr. Barton that he was under arrest. As Mr. Barton apparently made no immediate move, Cst. Thalhofer started to pull Mr. Barton out of the truck. At this point, the truck's engine was still running and Mr. Gillis was still seated in the passenger's seat. Cst. Thalhofer said that he had a concern that Mr. Barton, having taken off on him once contrary to his instructions, might do it again and thus be a danger to the public driving a vehicle that size. When he first stopped Mr. Barton, Cst. Thalhofer had noted various indicia of impairment by alcohol on Mr. Barton including a strong odour of alcohol, blood shot eyes, and slurred speech. To this he could now add a failure to follow his instructions and his perceived lack of responsiveness in Mr. Barton.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Cst. Thalhofer said that he started to pull Mr. Barton from the vehicle with his right hand and then grasped him with his left hand. It was Cst. Thalhofer's recollection that, as he alighted from the vehicle, Mr. Barton started to twist to the right, away from him. He said that when Mr. Barton's feet hit the ground Mr. Barton slipped and fell on his face. He said that at first he was concerned that Mr. Barton might be seriously injured so he checked Mr. Barton and found him to be breathing. He then handcuffed him. According to Cst. Thalhofer, the incident happened so fast that he couldn't say that he had tried to stop Mr. Barton's fall as one second he had him, and the next Mr. Barton had fallen. Nor could he say for certain if Mr. Barton's feet were on the step when he fell but he was sure that Mr. Barton's feet were on the ice. He denied that he flung or pushed Mr. Barton on to the ground. He also denied that he kneed Mr. Barton in the back or neck. He said he did go down to ensure that Mr. Barton was okay. He said he had no reason to knee him in the back. He said that he put the handcuffs on Mr. Barton not only because it was RCMP policy to do so but, in the circumstances that he was facing, he didn't know what Mr. Barton would do as he hadn't followed his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Subsequently, Cst. Thalhofer lifted Mr. Barton up, leaned him over the fender of the police vehicle, patted him down, then placed him in the back seat of the police vehicle. He said that the driveway at that point was flat although it was icy, the ice having a rugged surface with jagged edges of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 to Aux. Cst. Christenson, he got out of the police vehicle and observed events from approximately ten feet away. He said that Cst. Thalhofer approached the truck, opened the driver's door and climbed up on the running board. He said he could not hear what was being said but he could hear conversation. He could hear Cst. Thalhofer speaking to Mr. Barton. He said he saw Cst. Thalhofer place his right hand on Mr. Barton's right arm while the Constable hung on to the steering wheel of the vehicle with his left hand. He said that Mr. Barton turned slightly and slid out of the vehicle on to the ground at which point Mr. Barton's knees buckled and he went straight down and on to his face. Cst. Thalhofer had retained his hold on Mr. Barton, said Aux. Cst. Christenson, which caused Cst. Thalhofer to be pulled down on to the ground. Thereafter, both were on the ground back to back. He said that Cst. Thalhofer then turned to him and motioned for him to give Cst. Thalhofer the handcuffs that he was holding after which Cst. Thalhofer turned again to Mr. Barton, pulled his hands back, and handcuffed him. He said he never saw Cst. Thalhofer put his knees on Mr. Barton's back or neck. He denied that Cst. Thalhofer had thrown Mr. Barton onto the ice. He said he was not concerned for Mr. Barton's safety nor was he concerned that Cst. Thalhofer was trying to hurt Mr. Barton.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time of this incident, Aux. Cst. Christenson described Cst. Thalhofer as pumped up, angry, but not out of control. He agreed that at the criminal trial in Provincial Court he had described Cst. Thalhofer as mad.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Barton and Mr. Gillis provided quite a different version of events. According to Mr. Barton, Cst. Thalhofer approached his vehicle, the driver's door flew open and Cst. Thalhofer then pulled him out of the vehicle and onto the ground. He says he landed face and chest first. He said that he wasn't given a chance to get out of the truck, never heard Cst. Thalhofer say that he was under arrest, and the next thing he knew Cst. Thalhofer came down on his back with his knee and he lost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Gillis says that after coming to a stop in the yard, and as the truck was being shut down, the police vehicle pulled up to their left and slid to a stop. He said they were just getting ready to alight from the cab of the truck and Larry was starting to say good evening to Cst. Thalhofer when the driver's door opened, hyper-extending beyond the usual stops in the hinge causing a "crack, crack" noise. He saw Mr. Barton being pulled out of the truck by the scruff of the neck or shoulder on to the ground. He said that 18 inches below the driver's door is a step and that he could see the soles of both of Mr. Barton's feet on the step. At that moment, he said, Mr. Barton's head or upper body hit the ground while the soles of his feet were still up on the step. He then heard a commotion and saw Cst. Thalhofer come down on Mr. Barton's upper back with his knee. He was so frightened, he said, that he was going to lock the cab doors for fear of his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was another participant to this incident although he did not observe Mr. Barton being removed from the truck by Cst. Thalhofer. Cst. Steven Small arrived at the scene when Mr. Barton had already been placed in the back seat of Cst. Thalhofer's police vehicle. He said he saw Aux. Cst. Christenson seated in the front passenger's seat and Cst. Thalhofer in the driver's seat of the vehicle turned and engaged in conversation with Mr. Barton in the back seat. Although he could not hear what was being said, he assumed that Cst. Thalhofer was reading Mr. Barton's rights to him so he didn't interfere. He noted Mr. Gillis near the rear of the vehicle. He mentioned to Mr. Gillis that Mr. Barton had a nasty cut on his head. According to Cst. Small, Mr. Gillis told him Mr. Barton had slipped and fallen on the ice and cut his head. He agreed that he had not given evidence at the criminal trial of Mr. Barton but that he had received a telephone call from Cst. Thalhofer about these civil proceedings (which were commenced on February 17, 1999, just weeks after the incident and months before the commencement of the criminal trial on August 10, 1999) asking him if he would prepare a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Colleen Barton, Mr. Barton's wife, also came out of their nearby home after having been alerted by her daughter, Carly. Apparently, both of Mr. Barton's daughters saw the incident from their home which, he said, upset them considerably. When she arrived on the scene, Mr. Barton was already in the back of the police vehicle. Ms. Barton was obviously very angry with her husband absent knowing anything of the circumstances of what had occurred in the shop driveway. It was obvious that she was angry because of what she perceived to be her husband's probable drunken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Cst. Thalhofer and Aux. Cst. Christenson took Mr. Barton to the Fernie District Hospital where Cst. Thalhofer escorted him inside, still handcuffed, while Aux. Cst. Christenson returned to the police detachment. At the hospital, Mr. Barton was examined by Dr. Shane Soetaert who observed Mr. Barton refuse Cst. Thalhofer's request to provide a sample of his blood for analysis. He sutured the cut under Mr. Barton's left eye. He described Mr. Barton as intoxicated based on a number of indicia of such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Soetaert said two to three hours later he was called back to the emergency ward of the hospital from his home when Ms. Barton, who had in the meantime picked up Mr. Barton from the police detachment, returned him as he was complaining of discomfort and pain. Dr. Soetaert described Mr. Barton's neck as being slightly tender and that he may have sustained a slight neck injury. He agreed that he was annoyed with being recalled to the hospital. In cross-examination he described Mr. Barton as initially being very angry and that Mr. Barton's mood changed to one of being very regretful during the course of treatment. According to Dr. Soetaert, Mr. Barton sounded very drunk.</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Canadian Law Dictionary, (Toronto: Law and Business Publications, 1980) described battery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wilful and unlawful use of force on the person of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Concise Oxford Dictionary, (Oxford: Oxford University Press, 1982) defines the word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Infliction of blows, or of any menacing touch to clothes or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Black's Law Dictionary, (6th ed.) (St. Paul, Minn.: West Group, 1991) defines the word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Intentional and wrongful physical contact with a person without his or her consent that entails some injury or offensive touching.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If Cst. Thalhofer, angry at the actions of Mr. Barton in moving his vehicle to a place other than to which he had been directed, approached Mr. Barton's truck, threw open the door and, without more, flung him head first from the vehicle on to the ice (which is the effect of the evidence of Mr. Barton and Mr. Gillis) I would have no difficulty in concluding that action constituted battery for which he was responsible to Mr. Barton. The burden on a plaintiff in a civil action is that the court must be satisfied on a balance of probabilities that the version of events presented by the plaintiff is what occurred. In this case, I am not satisfied on a balance of probabilities that Mr. Barton has made out his claim in battery against Cst. Thalhofer.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Firstly, I do not accept the evidence of Mr. Gillis and Mr. Barton that Mr. Barton initially pulled his vehicle as far to the right as possible. I accept the evidence of Cst. Thalhofer and Aux. Cst. Christenson that Mr. Barton stopped his vehicle in his travelled lane of the highway. I conclude that Mr. Gillis and Mr. Barton were mistaken in their judgment as to where the vehicle was initially brought to a stop probably because their judgment was impaired by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Probably both Cst. Thalhofer and Mr. Barton are in error of their estimates how far Mr. Barton moved his vehicle from the point where he first brought it to a stop on the highway to the yard of his shop on the other side of the highway. I find that Aux. Cst. Christenson's estimate is the most probable. I accept that Cst. Thalhofer followed Mr. Barton in his police vehicle with his emergency equipment activated. It is improbable that he would have done that had he been going a distance as short as 75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accept the evidence of Aux. Cst. Christenson that he heard Cst. Thalhofer speaking to Mr. Barton prior to seeing Cst. Thalhofer grab Mr. Barton and remove him from the vehicle. That makes it more probable in my mind that Cst. Thalhofer in fact again requested that Mr. Barton exit the vehicle and that his assisting Mr. Barton to do so was probably a result of Mr. Barton either questioning why he should, as related by Cst. Thalhofer, or being unduly slow in reacting to the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agree with Mr. Buddenhagen's submission that it is improbable that Mr. Barton alighted from the vehicle in the manner described by Cst. Thalhofer, that is, with his back toward Cst. Thalhofer. Had that been the case, it is probable that he would have fallen forward towards the vehicle if he lost his footing on the ice. However, Aux. Cst. Christenson's memory of the incident was of Mr. Barton alighting from the vehicle facing outward, more consistent with the location of a blood spot on the ice which was, I take from the evidence and an analysis of two photographs in evidence, probably approximately six feet from the driver's door of the cab of the truck. Further, the location of the blood spot on the ice makes it appear improbable to me that Mr. Barton, five feet nine inches in height, could have created that blood spot with his face while the soles of his feet remained up on the running board or step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Buddenhagen suggested that I should ignore the evidence of Cst. Small. However, Cst. Small's evidence that Mr. Gillis, minutes after the incident, described Mr. Barton as having slipped on the ice (and conversely, saying absolutely nothing about the scene of brutality both described in this court room) lends weight to the version of events provided by Aux. Cst. Christenson and Cst. Thalhofer.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accept the evidence of Aux. Cst. Christenson that Cst. Thalhofer did not knee Mr. Barton in the back. I note that when Mr. Barton later consulted with Dr. Mark Binsted of Elk Valley Chiropractic in Fernie, he told Dr. Binsted that after he was pulled from his truck and went face first into the ground, Cst. Thalhofer had then kneeled into the back of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Barton provided evidence in the form of an opinion from a Dr. Peter Fisher, a medical doctor and forensic injury reconstruction and evaluation expert who specializes in, among other things, the biodynamics of impact trauma. It was Dr. Fisher's opinion that when a person slips on a slippery surface, such as ice, that is not significantly inclined upward or downward, that person's feet fly forward in front of him or her causing a backward and downward fall so that the person generally lands on his or her buttocks. He added that falling forward occurs when a person trips or stumbles and, in such circumstances, a natural and voluntary protection mechanism to avoid injury takes over causing the person to use his or her hands and upper extremities in front of the body, which commonly causes wrist sprains or fractures. Dr. Fisher described this protective reaction as an automatic defence reaction irrespective of "habbitus, age or state of mind". Unfortunately, Dr. Fisher does not specifically address the dynamics of any of the versions of the incident provided in evidence so as to, for example, negate the possibility that Mr. Barton, in being dragged from his vehicle could not have then slipped on the ice and fallen forward, given that the motion of his body would have been downward and forward away from the vehicle. I conclude that Dr. Fisher's evidence is interesting but of no assistance to me given the specific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Whatever occurred during the course of this incident between Cst. Thalhofer and Mr. Barton, I am not convinced on a balance of probabilities that Cst. Thalhofer's actions amounted to battery of Mr. Barton. Given Mr. Barton's probable state of drunkenness, given that Cst. Thalhofer was justifiably concerned with the possibility that, having done it once, Mr. Barton might take off yet again in his vehicle, and given that Mr. Barton, due to his drunkenness was probably questioning why he should alight from his vehicle, it is understandable that Cst. Thalhofer decided to assist him in doing so. One can argue that Cst. Thalhofer should have shown more restraint, and should have been more patient with Mr. Barton. However, in the exigencies of the circumstances facing him, I cannot say that he was wrong to do what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That, of course, does not end the matter. Mr. Barton's alternative submission is that, having placed him under arrest before assisting him from his vehicle, Cst. Thalhofer owed him a duty of care not to be negligent in the manner in which he was handled. In this respect, Mr. Barton relies upon Kirby v. British Columbia (Attorney General) </w:t>
      </w:r>
      <w:hyperlink r:id="rId408" w:history="1">
        <w:r>
          <w:rPr>
            <w:rFonts w:ascii="arial" w:eastAsia="arial" w:hAnsi="arial" w:cs="arial"/>
            <w:i/>
            <w:color w:val="0077CC"/>
            <w:sz w:val="20"/>
            <w:u w:val="single"/>
            <w:shd w:val="clear" w:color="auto" w:fill="FFFFFF"/>
            <w:lang w:val="en-US" w:eastAsia="en-US" w:bidi="ar-SA"/>
          </w:rPr>
          <w:t>(1997), 41 B.C.L.R. (3d) 45</w:t>
        </w:r>
      </w:hyperlink>
      <w:r>
        <w:rPr>
          <w:rFonts w:ascii="arial" w:eastAsia="arial" w:hAnsi="arial" w:cs="arial"/>
          <w:color w:val="000000"/>
          <w:sz w:val="20"/>
          <w:lang w:val="en-US" w:eastAsia="en-US" w:bidi="ar-SA"/>
        </w:rPr>
        <w:t xml:space="preserve"> (B.C.S.C.) a decision of Mr. Justice Bauman. In that case, after having arrested Mr. Kirby, the arresting officers propped him up against a van while in a very drunken condition. They then left Mr. Kirby unattended. He fell, striking his head on the pavement. Mr. Justice Bauman concluded that, having taken Mr. Kirby into custody, their relationship with him at that time was analogous to that of jailer and prisoner. He referred to the decision of our Court of Appeal in Funk v. Clapp </w:t>
      </w:r>
      <w:hyperlink r:id="rId409" w:history="1">
        <w:r>
          <w:rPr>
            <w:rFonts w:ascii="arial" w:eastAsia="arial" w:hAnsi="arial" w:cs="arial"/>
            <w:i/>
            <w:color w:val="0077CC"/>
            <w:sz w:val="20"/>
            <w:u w:val="single"/>
            <w:shd w:val="clear" w:color="auto" w:fill="FFFFFF"/>
            <w:lang w:val="en-US" w:eastAsia="en-US" w:bidi="ar-SA"/>
          </w:rPr>
          <w:t>(1986), 35 B.C.L.R. (2d) 222</w:t>
        </w:r>
      </w:hyperlink>
      <w:r>
        <w:rPr>
          <w:rFonts w:ascii="arial" w:eastAsia="arial" w:hAnsi="arial" w:cs="arial"/>
          <w:color w:val="000000"/>
          <w:sz w:val="20"/>
          <w:lang w:val="en-US" w:eastAsia="en-US" w:bidi="ar-SA"/>
        </w:rPr>
        <w:t xml:space="preserve"> in which Mr. Justice Seaton stated at 225: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relationship of gaoler and prisoner is such that carelessness on the part of the former may cause damage to the latter. It follows that there is a duty to be careful (see Anns v. Merton London Borough Council, [1978] A.C. 728). Mr. Funk was entitled to have his gaolers exercise reasonable care to protect him from foreseeable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the facts as I have found them, I conclude that Mr. Barton has not established that Cst. Thalhofer was probably negligent in handling him. I agree that Cst. Thalhofer knew that the surface of the driveway was slippery. He had informed Aux. Cst. Christenson to be careful. He did not, apparently, warn Mr. Barton to be careful. However, one cannot ignore the overlay of what I have found to be exigent circumstances which were the reason for Cst. Thalhofer's pulling Mr. Barton from the driver's seat of his vehicle. Police officers must certainly treat members of the public with whom they are dealing with dignity and respect consistent with the circumstances. However, the overall protection of the public, and their own safety, are factors which do not always permit police officers to operate in that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What happened to Mr. Barton was unfortunate. I accept that it very much upset his two young daughters who saw the incident from their home. One cannot overlook the fact, however, that it was Mr. Barton's decision to drink and drive that put him in that position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Other than those portions of the record of evidence in the Provincial Court trial that were referred to by counsel in the course of cross-examination, I do not know what evidence was before the Provincial Court Judge. I was told that Cst. Small was not a witness in that proceeding and that all charges against Mr. Barton were dismissed. On the basis of the evidence before me, I can only observe that, in being acquitted of all charges, Mr. Barton was a most fortunate man. In that respect, he has arguably had his reward.</w:t>
      </w:r>
      <w:r>
        <w:rPr>
          <w:rFonts w:ascii="arial" w:eastAsia="arial" w:hAnsi="arial" w:cs="arial"/>
          <w:sz w:val="20"/>
          <w:lang w:val="en-US" w:eastAsia="en-US" w:bidi="ar-SA"/>
        </w:rPr>
        <w:cr/>
      </w:r>
    </w:p>
    <w:p>
      <w:pPr>
        <w:numPr>
          <w:numId w:val="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For the reasons stated above, I conclude that Mr. Barton has not made out, on a balance of probabilities, that the injuries suffered by him were either the consequence of a battery by Cst. Thalhofer or as a result of any negligent action by Cst. Thalhofer. Mr. Barton's action is dismissed. The defendants are entitled to their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0" style="position:absolute;z-index:2518323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Bodnarchuk v. Dearin Estate, [2002] B.C.J. No. 3096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Hunter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13,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28541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3096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1830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123 A.C.W.S. (3d) 778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Garry Bodnarchuk, plaintiff, and Estate of Joseph Henry Dearin, deceased,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1"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5" w:name="Keywords_20"/>
      <w:bookmarkEnd w:id="135"/>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Occupier and premises defined — Duty of occupier.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6" w:name="Case Summary_17"/>
            <w:bookmarkEnd w:id="1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Dearin Estate to dismiss Bodnarchuk's claim for damages. Before Dearin's death, he rented half of a duplex to Bodnarchuk. Bodnarchuk agreed to do some exterior painting of the duplex building. Dearin put together a scaffold in Bodnarchuk's presence to be used for the painting. At Dearin's request, Bodnarchuk assisted in the assembly of the scaffold. While he was painting, Bodnarchuk fell from the scaffold and injured himself. Bodnarchuk claimed that Dearin negligently assembled the scaffold, or in the alternative, failed to meet the duty of care required under the Occupiers Liability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7" w:name="Holdings of Court_14"/>
            <w:bookmarkEnd w:id="13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Bodnarchuk failed to prove that Dearin was negligent in assembling or constructing the scaffold. The scaffold qualified as Dearin's premises under the Occupiers Liability Act, but there was no evidence that Dearin acted with reckless disregard for Bodnarchuk's safety.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8" w:name="Legislation Cited_12"/>
      <w:bookmarkEnd w:id="1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2"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Occupiers Liability Act, ss. 2, 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9" w:name="Counsel_22"/>
      <w:bookmarkEnd w:id="1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3"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 Babki, for the plaintiff. D.G. Blois, as agent for S.A. Besanger,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0" w:name="Judgment_22"/>
      <w:bookmarkEnd w:id="140"/>
      <w:r>
        <w:pict>
          <v:line id="_x0000_s1134" style="position:absolute;z-index:25183334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March 27, 2003.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1" w:name="HUNTER J. (orally)"/>
            <w:bookmarkEnd w:id="141"/>
            <w:r>
              <w:rPr>
                <w:rFonts w:ascii="arial" w:eastAsia="arial" w:hAnsi="arial" w:cs="arial"/>
                <w:b/>
                <w:color w:val="000000"/>
                <w:sz w:val="30"/>
                <w:lang w:val="en-US" w:eastAsia="en-US" w:bidi="ar-SA"/>
              </w:rPr>
              <w:t>HUNTER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estate applies under Rule 18A for an order dismissing the plaintiff's claim for damages. The plaintiff seeks judgment on the liability issue and an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July 27th, 1998, the plaintiff, Mr. Bodnarchuk, was a tenant of the deceased Mr. Dearin. While counsel were unclear about it, it seems that the defendant owned a duplex and the plaintiff, Mr. Bodnarchuk, rented one-half from him. The circumstances are that the plaintiff, while painting the outside of the defendant's duplex, was on a scaffold. He moved along the boards on top of the scaffold to a point where his weight caused the board or boards to lift up at the opposite end, and, as a result, he fell approximately eight feet to the ground and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had agreed to do some exterior painting of the front of the defendant's duplex building for $180.00. On the morning of July 27th, Dearin and Bodnarchuk met outside the building. Dearin put together a scaffold in Bodnarchuk's presence to be used for the painting. At Dearin's request, Bodnarchuk assisted in the assembly of the scaffolding. Bodnarchuk was present for the approximately one hour that it took to assemble the scaffolding.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Bodnarchuk had painted the inside of Dearin's house the year before. Over the years, Bodnarchuk had painted houses for others. He had assembled and used scaffolding on earlier painting jobs. Bodnarchuk said there was nothing that he noted during assembly of the scaffolding that caused him concern about the safety of the scaffolding. Nor was he concerned about the scaffolding when standing on it before he fell. He was wearing rubber thongs on his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was injured in this fall, suffering a comminuted fracture of his left heel and he bruised his left wrist. Mr. Bodnarchuk claims that Mr. Dearin was negligent in assembling or constructing the scaffolding, or alternatively, that Mr. Dearin failed to meet the duty of care required of an occupier under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estate argued that the Occupiers Liability Act does not apply because the "scaffolding" is excluded by the definition of "premises" in Section 2 of the Act. "Premises" is defined in Section 2,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Premises include</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land and structures or either of them, excepting portable structures and equipment other than those described in paragraph (c);</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trailers and portable structures designed or used for a residence, business or shelter.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Section 2 of the Act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3 (4), and sections 4 and 9, this Act determines the care that an occupier is required to show toward persons entering on the premises in respect of dangers to them, or to their property on the premises, or to the property on the premises of persons who have not themselves entered on the premises, that are due to the state of the premises, or to anything done or omitted to be done on the premises, and for which the occupier is responsible by law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Allen v. Holtslag </w:t>
      </w:r>
      <w:hyperlink r:id="rId360" w:history="1">
        <w:r>
          <w:rPr>
            <w:rFonts w:ascii="arial" w:eastAsia="arial" w:hAnsi="arial" w:cs="arial"/>
            <w:i/>
            <w:color w:val="0077CC"/>
            <w:sz w:val="20"/>
            <w:u w:val="single"/>
            <w:shd w:val="clear" w:color="auto" w:fill="FFFFFF"/>
            <w:lang w:val="en-US" w:eastAsia="en-US" w:bidi="ar-SA"/>
          </w:rPr>
          <w:t>[1983] B.C.J. No. 1069</w:t>
        </w:r>
      </w:hyperlink>
      <w:r>
        <w:rPr>
          <w:rFonts w:ascii="arial" w:eastAsia="arial" w:hAnsi="arial" w:cs="arial"/>
          <w:color w:val="000000"/>
          <w:sz w:val="20"/>
          <w:lang w:val="en-US" w:eastAsia="en-US" w:bidi="ar-SA"/>
        </w:rPr>
        <w:t>, the occupier supplied a ladder to the plaintiff to clean the chimney from outside the house. The top rung collapsed when stepped on by the plaintiff. Ganser J. found that the ladder constituted part of the premises in concluding that it was within the scope of Section 2 of the Act as relating to "anything done or omitted to be done on the premises and for which the occupier is responsible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am satisfied that the scaffolding, like the ladder in Allen v. Holtslag is covered by the last phrase in Section 2 of the Act. The defendant estate relies on Greck v. Chin </w:t>
      </w:r>
      <w:hyperlink r:id="rId416" w:history="1">
        <w:r>
          <w:rPr>
            <w:rFonts w:ascii="arial" w:eastAsia="arial" w:hAnsi="arial" w:cs="arial"/>
            <w:i/>
            <w:color w:val="0077CC"/>
            <w:sz w:val="20"/>
            <w:u w:val="single"/>
            <w:shd w:val="clear" w:color="auto" w:fill="FFFFFF"/>
            <w:lang w:val="en-US" w:eastAsia="en-US" w:bidi="ar-SA"/>
          </w:rPr>
          <w:t>[1981] B.C.J. No. 520</w:t>
        </w:r>
      </w:hyperlink>
      <w:r>
        <w:rPr>
          <w:rFonts w:ascii="arial" w:eastAsia="arial" w:hAnsi="arial" w:cs="arial"/>
          <w:color w:val="000000"/>
          <w:sz w:val="20"/>
          <w:lang w:val="en-US" w:eastAsia="en-US" w:bidi="ar-SA"/>
        </w:rPr>
        <w:t>, where the court concluded that a ladder did not come within the definition of "premises" in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For the reasons expressed by Ganser J. in Allen (supra), I am satisfied that the scaffolding fits within the last few words of Section 2 of the Act. In any event, Section 2 does not appear to have been considered by the court in Greck (supra). For those reasons, Greck is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occupier's duty of care is outlined in Section 3 of the Act. I quote from it in part: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 . . on the premises . . . will be reasonably safe in using the premises.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 or</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relieves an occupier of premises of a duty to exercise, in a particular case, a higher standard of care which, in that case, is incumbent on the person because of an enactment or rule of law imposing special standards of care on particular classes of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 have concluded that the plaintiff has not made out its claim in these proceedings. The onus lies upon the plaintiff to prove his claim on the balance of probabilities. The plaintiff has not proved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Dearin in assembling or constructing the scaffold. There is no evidence that the scaffold was improperly assembled or constructed.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claims the scaffold was unsafe in that the board on which the plaintiff was standing gave way. On the evidence, I cannot conclude that the board gave way. The scaffolding was assembled entirely in the presence of the plaintiff. In fact, the plaintiff provided some help to the defendant in assembling it. The plaintiff had to know that the board or boards across the top of the scaffolding were not attached to the scaffold. Unfortunately, in doing the painting, he walked too far toward one end of the board, causing the other end to lift and dropping him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duty on the occupier Dearin, as described in Section 3 of the Act, is to take that care that in all the circumstances is reasonable to see that Mr. Bodnarchuk will be reasonably safe in using the scaffolding. This is not a situation where the occupier invited the plaintiff to use the scaffold without the plaintiff having an opportunity to satisfy himself as to its worthiness.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As I said, Mr. Bodnarchuk was present and assisted in its assembly. He had used scaffolding before on other painting jobs. I am satisfied that Mr. Bodnarchuk willingly assumed the risk and, entirely due to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fell from the scaffolding. There is no evidence that Mr. Dearin acted with reckless disregard for Mr. Bodnarchuk's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have been asked to assess the plaintiff's damages, in any event. The contusion to his left wrist resolved within a matter of days. He sustained a (indiscernible) displaced comminuted fracture of the left heel. He wore a cast on his left foot for five to six weeks and then used crutches for six months. After this, he walked with a cane. He described constant pain in his left heel for two months following the accident for which he was prescribed Tylenol 3. He described the discomfort as continuing for two years. He has suffered from pain and stiffness caused by this injury, which has interfered with his ability to work and engage in leisure and day-to-day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Bodnarchuk sustained an injury to his left ankle in the 1970's while employed on a pipeline. Apparently, this was not a bone injury, but in that accident, the tendons were almost separated between the leg and the foot. That continues to be a problem, apparently including a "drop foot" condition in his left foot. He also has prostate cancer. It is possible that the heel fracture suffered in this fall could lead an arthritic condition in the future, although the nuclear medicine scan findings of May, 2002, with regard to the prostate cancer, while suggesting possible arthritic cages, indicate that the arthritis tends to be more mid-foot than in the 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assess his general damages at $20,000.00.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Bodnarchuk was receiving Social Assistance at the time of this accident and had been for some time previously. I am not satisfied that he has made out a claim for future loss of income. I assess his past loss of income at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has proved special damages of $22.00 for orthotics and that amount will be included in the damage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will have its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BLOIS: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BLOIS: Just a submission on costs. There was in this case an offer to settle delivered, and I can pass that and the date of receipt of the offer up. There's an acknowledgement of delivery there, you'll see dated July 16, 2001, and the offer was for a sum of cash, $5,000.00. According to the Rule 37.4, which is also passed up, the appropriate order for costs would be double costs from the date of acceptance -- date of receipt of the offer, and I am seeking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COURT: What is the purpose of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BLOIS: The purpose of the letter is to show the date the offer was received, which is the date according to the Rule that double costs start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COURT: Oh, I see. Yes, Mr. Babki?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BABKI: No submissions on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COURT: All right. I will make the order sought with regard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HUNTER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March 27, 2003</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Corrigendum to the Oral Reasons for Judgment issued by Mr. Justice R.E. Powers for Mr. Justice R.B. Hunter (now retired) stating that the neutral citation number given to those reasons should read: "2002 BCSC 1830" and not "2003 BCSC 466".</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5"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Cahoon v. Wendy's Restaurant of Canada Inc., [2000] B.C.J. No. 762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Burnyeat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1 - 3,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13, 2000.</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C981118</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762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629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96 A.C.W.S. (3d) 522</w:t>
      </w:r>
    </w:p>
    <w:p>
      <w:pPr>
        <w:spacing w:before="120" w:line="260" w:lineRule="atLeast"/>
        <w:rPr>
          <w:lang w:val="en-US" w:eastAsia="en-US" w:bidi="ar-SA"/>
        </w:rPr>
      </w:pPr>
      <w:r>
        <w:rPr>
          <w:rFonts w:ascii="arial" w:eastAsia="arial" w:hAnsi="arial" w:cs="arial"/>
          <w:color w:val="000000"/>
          <w:sz w:val="20"/>
          <w:lang w:val="en-US" w:eastAsia="en-US" w:bidi="ar-SA"/>
        </w:rPr>
        <w:t>Between Sheldon James Cahoon, plaintiff, and Wendy's Restaurant of Canada Inc. and Interwest Restaurants Inc.,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36" style="position:absolute;z-index:25168281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42" w:name="Keywords_21"/>
      <w:bookmarkEnd w:id="142"/>
      <w:r>
        <w:rPr>
          <w:rFonts w:ascii="arial" w:eastAsia="arial" w:hAnsi="arial" w:cs="arial"/>
          <w:b/>
          <w:color w:val="000000"/>
          <w:sz w:val="20"/>
          <w:lang w:val="en-US" w:eastAsia="en-US" w:bidi="ar-SA"/>
        </w:rPr>
        <w:t xml:space="preserve">Torts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Duty of occupier — Invitees — Standard of care of invitees — Invitees' liability of particular occupiers (incl. duty and standard of care) — Sidewalks, walkways, ramps, etc.</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43" w:name="Case Summary_18"/>
            <w:bookmarkEnd w:id="143"/>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Cahoon against Wendy's Restaurant and Interwest Restaurants for damages for personal injury. Cahoon claimed to have stepped into a pit and fallen upon exiting the defendants' restaurant. He alleged that a painted line misled him into believing that he was stepping onto a surface that was level with the sidewalk. The medical evidence showed that Cahoon sustained a severe ankle strain, and also indicated a previous ankle injury. He claimed damages for loss of capacity to work, and special damages of $779. </w:t>
            </w:r>
            <w:r>
              <w:rPr>
                <w:lang w:val="en-US" w:eastAsia="en-US" w:bidi="ar-SA"/>
              </w:rPr>
              <w:cr/>
            </w:r>
          </w:p>
          <w:p>
            <w:pPr>
              <w:spacing w:before="120" w:line="260" w:lineRule="atLeast"/>
              <w:ind w:left="240"/>
              <w:jc w:val="both"/>
              <w:rPr>
                <w:lang w:val="en-US" w:eastAsia="en-US" w:bidi="ar-SA"/>
              </w:rPr>
            </w:pPr>
            <w:bookmarkStart w:id="144" w:name="Holdings of Court_15"/>
            <w:bookmarkEnd w:id="144"/>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area in which the accident allegedly occurred was reasonably safe for occupants such as Cahoon. Cahoon was under a duty to be aware of his surroundings and there was nothing about the premises which would have misled Cahoon in any way. Cahoon was in a hurry and ran without the care that was incumbent upon him. The accident was therefore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Cahoon. </w:t>
            </w:r>
            <w:r>
              <w:rPr>
                <w:lang w:val="en-US" w:eastAsia="en-US" w:bidi="ar-SA"/>
              </w:rPr>
              <w:cr/>
            </w:r>
          </w:p>
          <w:p>
            <w:pPr>
              <w:rPr>
                <w:lang w:val="en-US" w:eastAsia="en-US" w:bidi="ar-SA"/>
              </w:rPr>
            </w:pPr>
          </w:p>
        </w:tc>
      </w:tr>
    </w:tbl>
    <w:p>
      <w:pPr>
        <w:jc w:val="both"/>
        <w:rPr>
          <w:lang w:val="en-US" w:eastAsia="en-US" w:bidi="ar-SA"/>
        </w:rPr>
      </w:pPr>
      <w:bookmarkStart w:id="145" w:name="Legislation Cited_13"/>
      <w:bookmarkEnd w:id="14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37" style="position:absolute;z-index:2517340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Occupiers Liability Act, </w:t>
      </w:r>
      <w:hyperlink r:id="rId162"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(1).</w:t>
      </w:r>
      <w:r>
        <w:rPr>
          <w:lang w:val="en-US" w:eastAsia="en-US" w:bidi="ar-SA"/>
        </w:rPr>
        <w:cr/>
      </w:r>
    </w:p>
    <w:p>
      <w:pPr>
        <w:keepNext/>
        <w:spacing w:before="240" w:line="340" w:lineRule="atLeast"/>
        <w:rPr>
          <w:lang w:val="en-US" w:eastAsia="en-US" w:bidi="ar-SA"/>
        </w:rPr>
      </w:pPr>
      <w:bookmarkStart w:id="146" w:name="Counsel_23"/>
      <w:bookmarkEnd w:id="146"/>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38" style="position:absolute;z-index:2517852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L.C. Boulton, for the plaintiff. D.H. Taylor and T.R. Darby, for the defendants.</w:t>
      </w:r>
      <w:r>
        <w:rPr>
          <w:lang w:val="en-US" w:eastAsia="en-US" w:bidi="ar-SA"/>
        </w:rPr>
        <w:cr/>
      </w:r>
    </w:p>
    <w:p>
      <w:pPr>
        <w:spacing w:after="240"/>
        <w:rPr>
          <w:lang w:val="en-US" w:eastAsia="en-US" w:bidi="ar-SA"/>
        </w:rPr>
      </w:pPr>
      <w:bookmarkStart w:id="147" w:name="Judgment_23"/>
      <w:bookmarkEnd w:id="147"/>
      <w:r>
        <w:pict>
          <v:line id="_x0000_s1139" style="position:absolute;z-index:25183436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48" w:name="BURNYEAT J."/>
            <w:bookmarkEnd w:id="148"/>
            <w:r>
              <w:rPr>
                <w:rFonts w:ascii="arial" w:eastAsia="arial" w:hAnsi="arial" w:cs="arial"/>
                <w:b/>
                <w:color w:val="000000"/>
                <w:sz w:val="30"/>
                <w:lang w:val="en-US" w:eastAsia="en-US" w:bidi="ar-SA"/>
              </w:rPr>
              <w:t>BURNYEAT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When he was leaving the Wendy's Restaurant on Grandview Highway in Vancouver on April 18, 1997, Mr. Cahoon fell and injured his ankle. The questions which arise are whether the defendants had fulfilled their obligations pursuant to the Occupiers Liability Act and, if not, what damages have been suffered by Mr. Cahoon.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Cahoon was 33 at the time of the accident. While he had previously been an active fisher, he was going to school in 1997 in anticipation of starting his own business. On the day in question, he had lunch in North Vancouver, he was driving on the freeway to go to a meeting in Coquitlam, he received a page and, as he thought that it might relate to his meeting, he stopped at the Wendy's Restaurant on Grandview Highway to use the telephone, he telephoned to confirm that his 1:00 p.m. meeting would be proceeding, he went into Wendy's to get something to drink, he found that the line up was too long, he used the washroom and he then exited the door leading back to the parking lot where his car was parked had been in an unauthorized spot. After he exited from the door, he stepped off the sidewalk onto what he says appeared to be the wheelchair ramp leading up to the sidewalk but, instead, stepped on to the part of the surface of the parking lot which was adjacent to but lower than the wheelchair ramp. My notes reflect the following testimony of Mr. Cahoon in this regard: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Went out the door, stepped outside onto the sidewalk, looked at the ramp, looked at my van, proceeded to walk, the next thing I know I stepped off the sidewalk - stepped into this pit, my ankle went over and I was laying on the sidewalk - actually on the ramp.</w:t>
      </w:r>
    </w:p>
    <w:p>
      <w:pPr>
        <w:spacing w:before="120" w:line="260" w:lineRule="atLeast"/>
        <w:ind w:left="720"/>
        <w:rPr>
          <w:lang w:val="en-US" w:eastAsia="en-US" w:bidi="ar-SA"/>
        </w:rPr>
      </w:pPr>
      <w:r>
        <w:rPr>
          <w:rFonts w:ascii="arial" w:eastAsia="arial" w:hAnsi="arial" w:cs="arial"/>
          <w:color w:val="000000"/>
          <w:sz w:val="20"/>
          <w:lang w:val="en-US" w:eastAsia="en-US" w:bidi="ar-SA"/>
        </w:rPr>
        <w:t>The way it was painted - painted line from my point of view I stepped within the line. I was led to believe the level was equal with the sidewalk so I was surprised. I felt I was misled by that line.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MEDICAL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Cahoon was taken by ambulance to Burnaby Hospital. The "Crew Report" completed by a member of the Emergency Health Services Commission described the "mechanism of injury/history of illness" as follows: "PT. tripped over curb inverting R. ankle. Unable to weight bear."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"Emergency/Ambulatory Care" form completed at the Burnaby Hospital, the "diagnosis" was shown as "severe ankle strain" and the radiology report noted: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Prominent soft tissue swelling overlies the lateral malleolus and there is a small to moderate sized ankle joint effusion. Mild to moderate anterior soft tissue swelling is also present. No definite underlying bony abnormality is noted. There is no dislocation and no definite fracture is identified. The ankle mortise is intact.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Cahoon was seen by a Dr. Robson on April 21, April 25 and May 26, 1997. In his clinical notes April 1, 1997, Dr. Robson notes: "Slipped on sidewalk @ Wendy's. Seen at hosp. @ x-rayed. Was told 6 mos. to heal. Marked swelling, bruising laterally." Mr. Cahoon was provided with a fiberglass cast and "boot" on April 25, 1997 and the "admission record" of the Peace Arch Hospital on that date noted: "Grade GRII Sprain R. ankle."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examination of Dr. Rao of Peace Arch Hospital on May 16, 1997 noted: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 tiny oval bony density at the tip of the medial malleolus measuring 5.2 mm in dimension could represent an avulsion fracture fragment either due to recent or old injury, or accessory apophysis. No other bone or join abnormality. Ankle mortise is normal.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It is on the basis of this examination that the defendants submit that the problems presently being experienced by Mr. Cahoon are as a result of an "old injury" and not the accident on April 18, 1997. In the evidence presented on behalf of the plaintiff, the existence of an old injury is denied.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PHYSIOTHERAPY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Cahoon saw a physiotherapist, Mr. Fahrni, on May 20, May 21, and May 22, 1997. The clinical records of Mr. Fahrni indicated that the injury occurred as a result of tripping "over curb" at Wendy's Restaurant. There is a notation on May 22, 1997 of "improving mobility and strength". As the medical coverage for therapy was no longer available, as the plaintiff was without funds to continue with physiotherapy, and as the plaintiff testified that he was exercising on his own doing the exercises which had recommended to him by the physiotherapist and by his own doctor, the plaintiff did not see a physiotherapist after May, 1997. In his testimony, the plaintiff confirmed that various medical advisors had recommended physiotherapy but that he did not undertake physiotherapy that had been recommended. It is on the basis of the failure of the plaintiff to continue with the recommended physiotherapy that the defendants submit that the plaintiff has failed to mitigate any damages which were actually caused by the accident on April 18, 1997.</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PAIN AND SUFFERING AND REDUCED ACTIVITIES AS A RESULT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testified that there was continuous pain for 6 weeks afterwards, that he had to elevate his leg and that it was excruciating when he had to lower it. The plaintiff testified that karate became a "major part my life" in 1993, that he diligently trained and that he subsequently entered into a number of tournaments where he did very well. He described karate as "very fulfilling spiritually: and creating "real good camaraderie." The plaintiff testified that, as a result of the accident, he has not been in a position to return to karate and he has not been able to return to the active exercise program that he previously undertook. As a result of diminished exercise, the plaintiff has gone from 205 pounds to about 225 pounds. He said that this was because of lack of cardio-vascular exercise. The plaintiff testified that he was "more careful now", "still weakness all the time so this type of accident won't happen again."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makes no claim for past loss of income. However, the plaintiff does claim that the accident has diminished his capacity to work as a fisher in situations where excessive stress is put on his ankle and that, accordingly, he should be compensated for that loss of capacity. The plaintiff submits that this diminished capacity has resulted in him being unable to earn in excess of $80,000 a year which was the amount he could have earned if he was in a position to undertake off-shore fishing. In this regard, the defendants submit that Mr. Cahoon had no history of off-shore fishing and that the evidence does not support a finding that the capacity of the plaintiff to work as a fisher has been diminished. The plaintiff also claims special damages of $779.20. If the defendants are found to be liable, the defendants take no objection to the special damages claimed.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APPLICABLE PROVISION OF THE OCCUPIERS' LIABILITY ACT, 1996, R.S.B.C., c. 337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the person's property, on the premises, and on property on the premises of a person, whether or not that person personally enters on the premises, will be reasonably safe in using the premises.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WHAT HAPPENED THAT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testified that he was wearing Nike running shoes on the day of the accident he was moving at a "steady pace", he was "walking steadily - not in a rush", he was looking in the direction of where his van was parked and of the wheelchair access ramp, he stepped into an area where a line on the surface of the road "guided me to walk within it" and he stepped instead into the "pit" which was directly beside the ramp rather than on the wheelchair access ramp.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Mike Lutsiak was sitting at one of the tables just outside the door on the day of the accident. Mr. Lutsiak was interviewed by an adjuster on November 5, 1997. At that time, Mr. Lutsiak provided the following statement: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watched this guy come running out of the door. As he came out he misread the ledge of the ramp and he fell forward. He did a little somersault. When he tried to get up he stood up and then he had to sit down again because his ankle was sore. He sat down immediately. He asked me to get the manager for him, which I did. While the manager was calling, I believe, an ambulance, the fella asked if I saw what happened. It said yet [yes?] and if you hadn't been in a hurry you wouldn't have fallen. At that point he said there shouldn't have been a ledge there. I simply said it is for wheelchair access you shouldn't have run out the door. He didn't come straight out the door, he came out at an angle.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Tony Thanh was the manager of the Wendy's at the time. At his discovery on February 18, 1999, Mr. Thanh was asked the following questions and gave the following answers: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What did he say?</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He say, you know, he walk off the curb and then he twist his ankle.</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Walked off the curb and twisted his ankle, is that what he said?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As far as I can recall it.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And did he point out to you that there was no demarcation line where the - this edge of the wheelchair ramp, there was no line indicating where that edge was?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can't remember that.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Oh. Did he complain to you that he felt that that area was unsafe?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He did.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AREA OUTSIDE THE WENDY'S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Photographs of the area outside the restaurant were taken the day after the accident. Looking toward the building, the entrance and exit door is to the left and a patio area with tables, chairs, and a flower and shrub planter is to the right. There is a sidewalk which joins the two areas. The sidewalk width is 4 feet 11 inches. That sidewalk is at the same level as the patio and the entrance and exit door. The patio area is surrounded by the same sidewalk. The telephone used by the plaintiff is to the right of the patio area. The distance between the exit door and the patio is about 10 to 15 feet. The sidewalk is separated from the surface of the surrounding parking area by a curb. The sidewalk is approximately 4 to 5 inches in height above the surface of the parking lot.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Directly beside the patio area is a marked handicapped access ramp. The ramp has a width of approximately 5 feet. The ramp joins the sidewalk at approximately 5 feet 4 inches from the entrance/exit door to the left of the ramp. The ramp leads gradually from the parking lot level up to the level of the sidewalk. A painted line on the asphalt marks the left side of the ramp. That line ends at the right edge of a line of concrete traffic barriers which separate vehicles from that portion of the asphalt surface of the parking area which serves as a walkway at parking lot level. The painted line therefore ends approximately 4 to 5 feet before the sidewalk. If the painted line was extended, it would be about 6 inches to 12 inches to left of the handicapped access ramp. The portion of the parking lot leading up to the handicapped access ramp and a small part of the handicapped access ramp itself was marked with white diagonal lines which were about every 3 feet on the asphalt surface of the parking lot. The area to the left side of the ramp is approximately 4 to 5 inches lower than the sidewalk.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submits that someone walking out of the door at Wendy's could safely assume that the painted line if extended would mark the left boundary of all of the ramp and that there would be no reason to believe that the ramp was, in fact, between 6 inches to 12 inches to the right of the painted line if extended. In the circumstances, the plaintiff submits that the structure of the ramp and the location of the painted line were such as to make that portion of the premises unsafe rather than reasonably safe.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PRIOR SAFE 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defendants submit that there have never been accidents in this location before and that this is the best indication that this particular area is "reasonably safe" for those using the premises. While "prior safe use" will not be determinative, prior safe use has been found to be a relevant factor in determining whether premises are reasonably safe: Jolley v. Pacific National Exhibition, </w:t>
      </w:r>
      <w:hyperlink r:id="rId424" w:history="1">
        <w:r>
          <w:rPr>
            <w:rFonts w:ascii="arial" w:eastAsia="arial" w:hAnsi="arial" w:cs="arial"/>
            <w:i/>
            <w:color w:val="0077CC"/>
            <w:sz w:val="20"/>
            <w:u w:val="single"/>
            <w:shd w:val="clear" w:color="auto" w:fill="FFFFFF"/>
            <w:lang w:val="en-US" w:eastAsia="en-US" w:bidi="ar-SA"/>
          </w:rPr>
          <w:t>[1986] B.C.J. No. 2284</w:t>
        </w:r>
      </w:hyperlink>
      <w:r>
        <w:rPr>
          <w:rFonts w:ascii="arial" w:eastAsia="arial" w:hAnsi="arial" w:cs="arial"/>
          <w:color w:val="000000"/>
          <w:sz w:val="20"/>
          <w:lang w:val="en-US" w:eastAsia="en-US" w:bidi="ar-SA"/>
        </w:rPr>
        <w:t xml:space="preserve">; Crerar v. Dover </w:t>
      </w:r>
      <w:hyperlink r:id="rId425" w:history="1">
        <w:r>
          <w:rPr>
            <w:rFonts w:ascii="arial" w:eastAsia="arial" w:hAnsi="arial" w:cs="arial"/>
            <w:i/>
            <w:color w:val="0077CC"/>
            <w:sz w:val="20"/>
            <w:u w:val="single"/>
            <w:shd w:val="clear" w:color="auto" w:fill="FFFFFF"/>
            <w:lang w:val="en-US" w:eastAsia="en-US" w:bidi="ar-SA"/>
          </w:rPr>
          <w:t>[1984] 3 W.W.R. 236</w:t>
        </w:r>
      </w:hyperlink>
      <w:r>
        <w:rPr>
          <w:rFonts w:ascii="arial" w:eastAsia="arial" w:hAnsi="arial" w:cs="arial"/>
          <w:color w:val="000000"/>
          <w:sz w:val="20"/>
          <w:lang w:val="en-US" w:eastAsia="en-US" w:bidi="ar-SA"/>
        </w:rPr>
        <w:t xml:space="preserve"> (B.C.S.C.); Trojan v. Buenavista Holdings Ltd., </w:t>
      </w:r>
      <w:hyperlink r:id="rId426" w:history="1">
        <w:r>
          <w:rPr>
            <w:rFonts w:ascii="arial" w:eastAsia="arial" w:hAnsi="arial" w:cs="arial"/>
            <w:i/>
            <w:color w:val="0077CC"/>
            <w:sz w:val="20"/>
            <w:u w:val="single"/>
            <w:shd w:val="clear" w:color="auto" w:fill="FFFFFF"/>
            <w:lang w:val="en-US" w:eastAsia="en-US" w:bidi="ar-SA"/>
          </w:rPr>
          <w:t>[1987] B.C.J. No. 2919</w:t>
        </w:r>
      </w:hyperlink>
      <w:r>
        <w:rPr>
          <w:rFonts w:ascii="arial" w:eastAsia="arial" w:hAnsi="arial" w:cs="arial"/>
          <w:color w:val="000000"/>
          <w:sz w:val="20"/>
          <w:lang w:val="en-US" w:eastAsia="en-US" w:bidi="ar-SA"/>
        </w:rPr>
        <w:t xml:space="preserve">; and Coleman v. Yen Hoy Enterprises Ltd. et al, </w:t>
      </w:r>
      <w:hyperlink r:id="rId427" w:history="1">
        <w:r>
          <w:rPr>
            <w:rFonts w:ascii="arial" w:eastAsia="arial" w:hAnsi="arial" w:cs="arial"/>
            <w:i/>
            <w:color w:val="0077CC"/>
            <w:sz w:val="20"/>
            <w:u w:val="single"/>
            <w:shd w:val="clear" w:color="auto" w:fill="FFFFFF"/>
            <w:lang w:val="en-US" w:eastAsia="en-US" w:bidi="ar-SA"/>
          </w:rPr>
          <w:t>[2000] B.C.J. No. 403</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case at bar, I can have no confidence in the record keeping of the defendants. Accordingly, I am not in a position to reach the conclusion that there has been prior safe use. While an incident report was filed by the manager relating to the accident of the plaintiff, the defendants could not find that report in any of its files. As to the question of whether reports of other accidents "may not be available", Mr. Semper on behalf of the defendants testified at trial": That's possible." In those circumstances, the records maintained by the defendants are such that I cannot conclude that prior safe use is a factor to be considered in this case.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SUBSEQUENT STEPS TAKEN BY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relies on the subsequent steps taken by the defendants to support the submission that the parking lot area and the area beside the wheelchair access ramp were not reasonably safe and that remedial measures were necessary. About one year after the accident, a number of steps were taken: (a) all curbs were painted bright yellow; (b) the white hash marks leading up to the handicapped access ramp were repainted; (c) yellow hash marks were added to the actual part of the wheelchair access ramp that elevated from the parking lot surface to the sidewalk; (d) all of the left part of the wheelchair ramp was marked with a bright yellow line; (e) the right edge of the last concrete abutment separating the parking area from the sidewalk area was marked yellow; (f) the remainder of the concrete abutments were repainted bright white; and (g) a faded white line marking a former parking spot close to the wheelchair access ramp was painted black.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Semper on behalf of the defendants testified that the lines were not painted as a result of the plaintiff's fall. He insisted that the painting company merely painted over existing lines and that any new lines or painting was done strictly at the instigation of the painting company.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his discovery, Mr. Thanh stated that he had a discussion with the District Manager of the defendants, that the District Manager decided what was to be done and that the instructions received were to merely paint over the same lines that were already in the parking lot. Mr. Thanh also testified that it was his decision to paint the lines on the wheelchair access ramp yellow but he denied that this extra painting was in any way associated with the plaintiff's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Any "remedial" steps taken by the defendants are not to be considered as proof that such steps were required to make the premises "reasonably safe." The defendants only have to make the premises "reasonably safe." The defendants do not have to provide an environment which guarantees against all possible accidents. Steps taken after an accident may well only change an already reasonably safe area to an area which is more than reasonably safe. On the other hand, steps taken after an accident may well convert an unsafe area to an area which is then reasonably safe. What is done after the fact is merely a factor to be considered in answering the question of whether the area at the time of the accident was reasonably safe for occupants of the premises.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WHERE DID THE ACCIDENT OCCUR?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was some uncertainty about where the plaintiff actually fell. My notes record that Mr. Lutsiak testified that the plaintiff: "... came running out of the door and cut straight across the curb and fell." "It looked like he missed the step." "Straight out of the door at an angle." Under cross-examination, Mr. Lutsiak was asked whether he had any clear recollection of the path taken by the plaintiff and he stated according to my notes: "I remember because I would not have come out at that angle." His November 5, 1997 interview with an adjuster tends to substantiate Mr. Lutsiak's statement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What was recorded in the "Crew Report" as having been said by Mr. Cahoon, what is recorded in Dr. Robson's clinical notes on April 1, 1997 and what is recorded in the clinical records of Mr. Fahrni, the physiotherapist, all indicate that the plaintiff tripped over the curb or slipped on the sidewalk. Those records and reports do not indicate the plaintiff stepping into an area beside the ramp and appear to support the testimony of Mr. Lutsiak.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his discovery on February 18, 1999, the plaintiff was asked where he fell and he marked a photograph with an x to indicate where he had fallen. This x indicated that he had fallen beside the ramp. At trial, the plaintiff changed his testimony and indicated that he had marked the x on the photograph not at the location where he fell but rather where he had stepped. My notes indicate the following testimony: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obviously misunderstood what you said - my ankle went in there but I fell forward - I misunderstood your question.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reviewing all the evidence, I am satisfied that I should prefer the inference to be drawn by the information apparently provided by Mr. Cahoon to the ambulance attendants, his doctor and his physiotherapist and by the testimony of Mr. Lutsiak as to where the fall took place. From the pictures taken the next day and from the other evidence which is before me, I am satisfied that Mr. Cahoon stepped off the sidewalk almost immediately and did not take several steps before stepping off the sidewalk at the location where he states he was incorrectly led to believe that he was stepping on to the raised surface of the ramp rather than into a "pit."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the assumption that the accident took place almost immediately outside the exit door, I am satisfied that this area was reasonably safe for occupants such as Mr. Cahoon. However, even if I wrong in my finding about where the accident occurred, I am still satisfied that the ramp and the area immediately beside the ramp was also reasonably safe for occupants such as Mr. Cahoon. With even a minimal amount of attention paid, the edge of the sidewalk and the actual edge of the ramp were there to be seen. The test to be applied is one of reasonableness not perfection. The plaintiff was under a duty to be aware of his surroundings and I am satisfied that there was nothing about the premises which would mislead the plaintiff in any way. This accident could have been avoided by a modicum of awareness on the part of the plaintiff. Instead, I find that the plaintiff was in a rush to get his meeting and to retrieve his vehicle from an unauthorized parking spot and that he exited the door "on the run" and without the care and awareness that was incumbent upon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evidence was that Mr. Cahoon had been at this location before. He also entered the restaurant only a few minutes earlier using the sidewalk adjacent to the entrance and exit door. There was nothing unusual about the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curb, the ramp and the actual edge of the ramp should have been seen by Mr. Cahoon when he exited the premises. I find that the premises were reasonably safe even for occupants who were exiting quickly as might be expected of some customers who are not using the "drive-thru" feature available at the restaurant but who nevertheless wished not to eat any food purchased at the restaurant. This activity was reasonably foreseeable and the premises were reasonably safe for that type of customer as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There is nothing which would allow me to conclude that the premises were not reasonably safe for occupants and, accordingly, I conclude that the accident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claim of the plaintiff is dismissed and the defendants will be entitled to their Party and Party (Scale 3)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BURNYEAT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Carlson v. Steeves, 2008 CHFL para. 15,528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Martinson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March 3,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S056407</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2008</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2008 CHFL para. 15,528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2008 BCSC 270</w:t>
        </w:r>
      </w:hyperlink>
    </w:p>
    <w:p>
      <w:pPr>
        <w:spacing w:before="120" w:line="260" w:lineRule="atLeast"/>
        <w:rPr>
          <w:lang w:val="en-US" w:eastAsia="en-US" w:bidi="ar-SA"/>
        </w:rPr>
      </w:pPr>
      <w:r>
        <w:rPr>
          <w:rFonts w:ascii="arial" w:eastAsia="arial" w:hAnsi="arial" w:cs="arial"/>
          <w:color w:val="000000"/>
          <w:sz w:val="20"/>
          <w:lang w:val="en-US" w:eastAsia="en-US" w:bidi="ar-SA"/>
        </w:rPr>
        <w:t>Carlson v. Steeves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41" style="position:absolute;z-index:25168384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49" w:name="Keywords_22"/>
      <w:bookmarkEnd w:id="149"/>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 alleged doctor failed to disclose results of blood test, and if doctor had disclosed results, he would have undergone further testing and followed recommended treatment — Action dismissed — Doctor breached duty to disclose results, and reasonable person in plaintiff's position would have undergone re-testing suggested and would have followed recommended treatment had he been told, but plaintiff failed to prove on balance of probabilities that but for doctor's failure to disclose results he would not have gone on to develop pancreatitis.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50" w:name="Case Summary_19"/>
            <w:bookmarkEnd w:id="150"/>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based on an alleged failure to disclose material information. In the summer of 2001, the plaintiff, Carlson, had an attack of acute pancreatitis and was hospitalized until March 2002. Carlson alleged that the defendant, Dr. Steeves, his family doctor, failed to disclose the results of a blood test taken in August 1998 and the consequences of those results. The test results showed grossly elevated triglyceride levels which indicated that he was at an increased risk of developing pancreatitis. Carlson alleged that if he had been told about the elevated triglyceride levels, their associated imminent risk relating to pancreatitis, and the life-threatening nature of pancreatitis, he would have undergone further testing and followed the recommended treatment. </w:t>
            </w:r>
            <w:r>
              <w:rPr>
                <w:lang w:val="en-US" w:eastAsia="en-US" w:bidi="ar-SA"/>
              </w:rPr>
              <w:cr/>
            </w:r>
          </w:p>
          <w:p>
            <w:pPr>
              <w:spacing w:before="120" w:line="260" w:lineRule="atLeast"/>
              <w:ind w:left="240"/>
              <w:jc w:val="both"/>
              <w:rPr>
                <w:lang w:val="en-US" w:eastAsia="en-US" w:bidi="ar-SA"/>
              </w:rPr>
            </w:pPr>
            <w:bookmarkStart w:id="151" w:name="Holdings of Court_16"/>
            <w:bookmarkEnd w:id="151"/>
            <w:r>
              <w:rPr>
                <w:rFonts w:ascii="arial" w:eastAsia="arial" w:hAnsi="arial" w:cs="arial"/>
                <w:color w:val="000000"/>
                <w:sz w:val="20"/>
                <w:lang w:val="en-US" w:eastAsia="en-US" w:bidi="ar-SA"/>
              </w:rPr>
              <w:t>HELD: The claim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Dr. Steeves had a duty to disclose the triglyceride test results and their implications to Carlson, and he breached that duty by not doing so. Dr. Steeves thought the triglyceride test results were valid on their face. He knew that if the results were correct, Carlson was at an increased risk of developing pancreatitis. He also knew that acute pancreatitis is a very serious, extremely painful, life-threatening illness. One of his fundamental duties as a physician was to gather information, identify risks, and warn patients about those risks. He had gathered all the information he needed. Carlson had a right to be told the results of the blood tests, that there was a low risk of a life-threatening illness if the test results were correct, that it was important to follow up and get further testing, and that there was an appropriate course of treatment available to him. Dr. Steeves did not tell him any of those things. Even if Dr. Steeves was concerned about the validity of the test, he was required to act on it while waiting for re-testing to take place. The duty to disclose required Dr. Steeves to immediately notify Carlson of the results when he received them in August 1998. It was not appropriate to simply note the results in the clinical record so they would be there if Carlson made an appointment to see him. A reasonable person in Carlson's position would have undergone the re-testing suggested and would have followed the recommended treatment had he been told.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However, Carlson had failed to prove on a balance of probabilities that but for Dr. Steeves' failure to disclose the triglyceride results, he would not have gone on to develop pancreatitis. It was more likely than not that Carlson's pancreatitis was caused by alcohol consumption. Alcohol use is one of the most common causes of pancreatitis. Elevated triglyceride levels are a much more rare cause. The Court was satisfied that on a re-testing, the triglyceride results would likely have been significantly different from and much lower than initially reported in August 1998. In such a case, where the risk was not nearly so serious or imminent, the Court doubted that Carlson would have heeded Dr. Steeves' warnings and modified his lifestyle. He had historically ignored warnings about the implications of his numerous risk factors. Even if the re-testing showed significantly elevated triglyceride levels and Carlson did initially follow Dr. Steeves' advice to modify his lifestyle, doing so would likely have reduced the levels significantly within several months. The onset of the pancreatitis did not happen for two years and eight months. Carlson had not proven on a balance of probabilities that such lifestyle changes would have been permanent or long-lasting, particularly once the levels were reduced. The "but for" test had not been met. </w:t>
            </w:r>
            <w:r>
              <w:rPr>
                <w:lang w:val="en-US" w:eastAsia="en-US" w:bidi="ar-SA"/>
              </w:rPr>
              <w:cr/>
            </w:r>
          </w:p>
          <w:p>
            <w:pPr>
              <w:rPr>
                <w:lang w:val="en-US" w:eastAsia="en-US" w:bidi="ar-SA"/>
              </w:rPr>
            </w:pPr>
          </w:p>
        </w:tc>
      </w:tr>
    </w:tbl>
    <w:p>
      <w:pPr>
        <w:jc w:val="both"/>
        <w:rPr>
          <w:lang w:val="en-US" w:eastAsia="en-US" w:bidi="ar-SA"/>
        </w:rPr>
      </w:pPr>
      <w:bookmarkStart w:id="152" w:name="Counsel_24"/>
      <w:bookmarkEnd w:id="15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42" style="position:absolute;z-index:2517350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P. McGivern for the plaintiff; R. Samtani and A. Turner for the defendant.</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7862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Harandi v. Khan, [2003] B.C.J. No. 1068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18 - 21,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M003661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1068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714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122 A.C.W.S. (3d) 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Hamid Harandi and Katayoun Harandi, plaintiffs, and Mohammed Khan,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4"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3" w:name="Keywords_23"/>
      <w:bookmarkEnd w:id="153"/>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Intervening causes (novus actus interveniens) — Damage awards — Neck injuries — Soft tissue injuries — General damage awards — Pain and suffering, loss of amenities and other nonpecuniary damages — Aggravation of pre-existing condition.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4" w:name="Case Summary_20"/>
            <w:bookmarkEnd w:id="1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Harandi against Khan for damages for injuries sustained in a motor vehicle accident in September 1998. Harandi had injured his back in 1997. However, he claimed he was fully recovered by the time of the accident. Harandi was 39 years old at the time of the accident. He was struck on the driver's side of his vehicle as he drove through an intersection. He sustained bruising to his left side temple, eye, shoulder and hip. For the first two weeks after the accident, he did not consult a doctor because his symptoms were low grade. Subsequently, he complained to his doctor about pain in his neck, low back and right shoulder. He also had a stabbing pain down his right leg and pain in both his feet. He experienced headaches and numbness in his right hand. He attended physiotherapy in June and July 1999. By his final visit he felt better. The only symptom he had was tightness. Harandi only missed two days of work due to the accident. In January 2000, Harandi suffered severe whiplash in a skiing accident. He complained of pain and a burning sensation in his lower back and into his right leg.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5" w:name="Holdings of Court_17"/>
            <w:bookmarkEnd w:id="15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Harandi was awarded nonpecuniary damages of $12,000. He had a lower back condition at the time of the accident that was significant and manifest. However, Harandi suffered soft tissue injuries in the accident that significantly aggravated the injury to his lower back. He also suffered soft tissue injuries to his neck. His injuries were not disabling, as he was able to continue his employment. However, the injuries resulted in considerable pain and restricted his sporting activities. They restricted his ability to sit or drive for long periods of time. The accident symptoms had resolved themselves by the time of the skiing accident, and any subsequent problems were only from that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6" w:name="Counsel_25"/>
      <w:bookmarkEnd w:id="1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5"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Ronald G. Fox, for the plaintiffs. Christopher J. Andison,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7" w:name="Judgment_24"/>
      <w:bookmarkEnd w:id="157"/>
      <w:r>
        <w:pict>
          <v:line id="_x0000_s1146" style="position:absolute;z-index:2517872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8" w:name="ROSS J."/>
            <w:bookmarkEnd w:id="158"/>
            <w:r>
              <w:rPr>
                <w:rFonts w:ascii="arial" w:eastAsia="arial" w:hAnsi="arial" w:cs="arial"/>
                <w:b/>
                <w:color w:val="000000"/>
                <w:sz w:val="30"/>
                <w:lang w:val="en-US" w:eastAsia="en-US" w:bidi="ar-SA"/>
              </w:rPr>
              <w:t>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Hamid Harandi, seeks damages for injuries suffered in a motor vehicle accident that occurred on September 3, 1998. Mr. Harandi's claim is for non-pecuniary damages and special damages for the reimbursement of expenses incurred for physiotherapy and massage therapy. Counsel advised at the outset of the proceedings that the claim by Katayoun Harandi was not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Harandi had suffered an earlier injury to his back in July 1997 and a subsequent injury while skiing in January 2000. The principle issue in the litigation is the relative contribution to the symptoms suffered by Mr. Harandi of each of these three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 second and related issue is the nature and timing of those symptoms. Mr. Harandi's evidence with respect to his symptoms is substantially inconsistent with the accounts that he gave to medical practitioners at the time he was seeking treatment. I have concluded that Mr. Harandi was not a reliable historian of his injuries. In particular, I concluded that he was no longer able, at the time he gave testimony, to accurately separate what symptoms he was experiencing, at what time and in what severity. For example, he testified that he had no pain in his feet prior to the motor vehicle accident. However, it is clear from the clinical reports that bilateral foot pain was a consistent symptom following his 1997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the other hand, he acknowledged that he would provide his physicians or therapists with complete, honest and truthful information. He would tell his therapists anything significant. He agreed that he was aware it was important to tell significant information to the treating professionals in order to receive appropriate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Accordingly, where there is a discrepancy between Mr. Harandi's account given in his testimony at trial and what he reported to his caregivers at the time of treatment, I have accepted the histories Mr. Harandi provided to his caregivers.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Harandi was born on November 2, 1958. He is married and has two children, aged 10 and 12. He is a real estate developer. At the time of the motor vehicle accident that gave rise to these proceedings, he was 39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Harandi is an active man; sports have played an important part in his life. He has played tennis, squash, soccer and participates in cycling, swimming, and skiing. He was a member of the Arbutus Club and worked out on a regular basis in the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FIRST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July 1997 Mr. Harandi suffered an injury playing squash. He suffered pain to his lower back such that he was required to extend a trip to London for several days. He spent five days in bed. At first he treated himself with Tylenol and anti-inflammatory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visited his family physician, Dr. Koelink, upon his return. At that time he described his symptoms as low back pain radiating into the right side of the leg. On examination he was found to have positive valsalva signs, that is, coughing and sneezing producing pain in his back and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Harandi attended physiotherapy with Gordon W. Stokes in July 1997 and again, commencing in October 1997, at Aldergrove Physiotherapy &amp; Rehab Centre. The clinical notes from Gordon Stokes describe acute low back pain, with referred pain in the right posterior leg and bilateral heel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clinical notes from the Aldergrove Centre indicate that Mr. Harandi was continuing to suffer from lower back pain, radiating into his right leg, with bilateral foot pain, aggravated with weight bearing. The pain is described as severe. Muscle spasms at L5/S1 are also reported.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Harandi also sought chiropractic treatment in November 1997. He described his condition as becoming very painful that month. The pain was described as sharp, radiating down his right thigh and into the soles of his feet bilaterally. Positive valsalva signs were present with sitting and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Harandi attended Dr. Koelink again in November and December 1997 in relation to this condition. He continued to complain of low back pain radiating to his right buttock and posterior thigh. He continued to have positive valsalva signs. Dr. Koelink referred Mr. Harandi to the Vancouver General Hospital Rehab Treatment Centre. Mr. Harandi received treatment there for several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 CT Scan was obtained December 2, 1997 at L3-4, 4-5 and 5-1 levels. Some slight generalized disc bulging was seen at L4-5 and L5-1, but no focal protrusions. This finding was considered by Dr. Koelink to be clinically unremarkable and not related to the pain that Mr. Harandi was continuing to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Harandi did not consult his physician again with respect to the pain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testified that he was continuing to experience back pain at the time of the motor vehicle accident, but by that time his pain was 90%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approximately noon on September 3, 1998, Mr. Harandi was driving southbound on Richards Street proceeding on a green light through the intersection with Pender Street. He was struck on the front driver's side by the van driven by the defendant. He was wearing his seat 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Harandi was thrown to the right then back, striking the driver's side door. He sustained bruising to the left side temple, eye, shoulder and hip. He did not lose consciousness, but he testified that he felt cold, dizzy and confused. The police attended as did an ambulance which was waived off. Mr. Harandi went home, took Tylenol and 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Harandi spent one or two days at home after the accident, but then returned to work. He did not miss any further work as a result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For the first two weeks following the accident, Mr. Harandi's symptoms were of a low grade nature, not of sufficient concern to cause Mr. Harandi to seek medical advice. He consulted Dr. Koelink on September 25, 1998 with respect to his continuing symptoms. At that time he described pain in his intrascapular region, neck, low back and right shoulder. He reported a stabbing pain down his right leg and pain in both feet. He was experiencing headaches and some numbness in his right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Koelink reports that on examination there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...reduction in range of motion of the cervical spine. Lateral flexion was limited to 20 [degrees] and rotation to left 30 [degrees] and right 45 [degrees]. Spinal curves of the spine were noted, convex to the left at mid thoracic spine with a compensatory curve to the right mid lumbar spine. Range of motion of the lumbar spine was reduced on forward flexion to 3 cm. There was considerable pain on recovery and marked limitation extension. Left lateral flexion and rotation was again painful and he was tender to percussion over the intrascapular region and posterior spinous process of T4-5. Examination of the left shoulder revealed symptoms of positive impingement, indicating a rotator cuff, contusion injury. Soft tissue injury to the left temple had been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X-rays taken in October were normal. On October 8, 1998 Mr. Harandi reported some improvement, but continued to complain of neck and low back pain. He was referred for physiotherapy, but did not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Harandi testified that he chose not to attend because he was already aware of the exercises as a result of the earlier attendance in 1997. However, the earlier referrals were in relation to an injury to his lower back. He now was complaining of pain in his neck, a new symptom beyond the scope of his earlier treatments. I conclude that the neck pain was not a significant problem for Mr. Harandi in October 1998. If it had been, he would have followed his doctor's recommendation and attended the physiotherapy as he had following the 1997 injury and as he would again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Harandi returned to Dr. Koelink in February 1999 complaining of neck pain. On examination Dr. Koelink found intrascapular pain. Dr. Koelink made a referral at Mr. Harandi's request for massage therapy. Mr. Harandi reported to the massage therapist at the first visit that the pain had commenced five days before. The pain was described as shooting up his neck, between shoulder and spine. He reported no pain at that time in the lower back and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did report lower back pain in March and April 1999. The therapist noted that this pain might be related to the use of an old mattress at home as the discomfort had not been present when he was staying in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Harandi attended again to Dr. Koelink in May 1999 complaining of neck pain, and reporting for the first time, some numbness in the shoulder. Dr. Koelink found tenderness in the intrascapular region on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June 1999 Mr. Harandi requested a referral to Dr. Prasad, a Sports Medicine physician at U.B.C. At that time he reported increased intensity in neck and upper back pain over the previous two to three months. He advised Dr. Prasad that, as a result of the accident, he developed pain mainly in the neck that did not limit his activities, but left him with residual low grade discomfort. The pain had recently increased in intensity.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examination, Dr. Prasad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physical examination, he was fairly stiff in neck movement, especially end range forward flexion and extension. He complained of pain between his shoulder blades with neck movements and he was tight on palpating the trapezius bilaterally. There was pain along the paracervical muscles, but there was no midline tenderness in the cervical vertebra. There was no palpable spasm in the trapezius or the rhomboid muscles. His shoulder examination revealed full range of motion with no impingement signs. Spurling's maneuver was negative. Sensory, motor and deep tendon reflex examination of the upper extremities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MRI, which Mr. Harandi had done privately,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C5-6: A small central disc herniation is present. The disc material protrudes posteriorly by approximately 3mm and indents the anterior aspect of the thecal sac. The cord is not compressed or displaced and the spinal canal is quite spacious at this level. The foramina are not narrowed.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A tiny central disc herniation is present at C5-6 however there is no sign of spinal cord compression or nerve root 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Prasad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our first visit with Mr. Harandi, it was felt that he had suffered mainly soft tissue injuries to his neck in the motor vehicle accident. The MRI report of mild C5-6 disc herniation did not have any corroborating physical examination signs of nerve root compression. I explained to Mr. Harandi that as many as 25-30% of asymptomatic individuals in his age group can have MRI findings of disc bulging and that it was unlikely that his pain was related to the MRI findings, but more likely related to injuries to the surrounding soft tissue structures such as the muscles and ligaments around the cervical spine. He was also getting a lot of tightness in the surrounding muscles which was starting to affect some of his shoulder movements. The treatment approach was to start him on some anti-inflammatories and to work with physiotherapy on releasing the tight structures as well as educating him on postural exercises and stretching for the neck as well as strengthening for the shoulder girdle.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Harandi did not return for the follow up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Harandi did attend physiotherapy in June and July 1999. He reported neck and upper back pain. He advised the therapist that he was much better on July 16, 1999 and on his final visit on July 30, 1999 reported that his arm was good and his neck was better. His only remaining symptom was tightness.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Harandi did not seek any treatment or consult with his physician with respect to pain or concerns about his neck or back again until after the skiing accident in January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SKI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Harandi injured himself skiing on January 28, 2000. He consulted Dr. Koelink on February 2, 2000 and advised that he had fallen 12' to 14', landing on a uphill slope resulting in his knees being jammed into his head and suffering a severe whiplash. He complained of pain and a burning sensation in his lower back and into his right leg. Positive valsalva signs were present. Dr. Koelink prescribed rest, analgesics, pain medication and a back brace.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An X-ray confirmed that Mr. Harandi had suffered a compression fracture to his lumbar spine at L1. The fracture was forward and to the left, of an asymmetrical type. Dr. Koelink testified that such a fracture can cause greater pain and will often result in longer periods of recovery. The consensus of the medical opinion was that such an injury was significant, capable of causing damage along the entire length of the patient's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March 27, 2000 Mr. Harandi reported pain on stooping and bending. In April, 2000, Dr. Koelink prescribed mobilization and physiotherapy. Mr. Harandi did not attend the physiotherapy, but did attend for massage therapy following the accident. The therapist noted that he was tender through the cervical spine and tender at his right jaw, near his 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Harandi was again referred to Dr. Prasad on April 5, 2000. He advised, at that time, that he had been resting for eight weeks and had only slight improvement in his pain. Sneezing and coughing were causing pain to him in his lower back, but not in his legs. Prolonged sitting and walking were uncomfortable, but he was swimming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examination, Dr. Prasad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He is able to walk about the room fairly normally. His standing pelvic height is level. On palpation his discomfort is more towards the L4-L5 vertebrae and slightly towards the left L4 facet. I could not palpate significant muscle spasm in the paralumbars, but he does have some pain on palpating in this region. Forward flexion is fingers to distal shins reproducing pain in the lower back. Extension is more painful, but again range is not restricted. There is no specific increased pain with one-legged extension. He has less pain with side flexion or rotation. Straight leg raising is 90 bilaterally with negative Lasgue and bowstring signs. The sensory, motor and deep tendon reflex examination of the lower extremities is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Prasad recommended strengthening exercises. Once again Mr. Harandi did not return for the follow up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NECK SPASMS/ POST 2000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May 2000 Dr. Koelink attended Mr. Harandi by house call. Mr. Harandi was complaining of severe neck pain and spasm. He was referred for physiotherapy and attended that same day. He reported the onset of pain the evening before as a result of lifting and sizing some paintings.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 returned to physiotherapy on June 2, 2000 and June 13, 2000, by which time he was found to have increased range of motion and only some tightness. Mr. Harandi had been taking muscle relaxants in conjunction with the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Harandi attended Dr. Koelink on August 31, 2000 reporting continued neck and low back pain. Dr. Koelink found some reduction in the range of motion at the neck with some end point pain. He noted no spasm and no complaint of spasm.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Harandi attended Dr. Koelink in October 2000 after injuring his hamstring playing soccer. He was referred to physiotherapy which he attended in December. He made no complaint on those occasions about neck or back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May 2001, Mr. Harandi attended Dr. Koelink complaining of neck and low back pain. There was no report or finding of spasm. He was referred for physiotherapy, but did not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Harandi attended Dr. Prasad on August 15, 2001. At that time he reported to the doctor that he had been experiencing back pains for the preceding 4 - 5 months. His back was 60% better. He was swimming and found that breast stroke hurt his neck and back. He reported a whistling sound in his ear. He was not using any medication for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examination, Dr. Prasad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physical examination on this visit showed he was a bit tight on forward flexion of his cervical spine causing some pulling in the paracervial muscles radiating down towards the periscapular region. Left lateral rotation as well as both left and right side flexion were uncomfortable, but did not reproduce any of his tinnitus symptoms. There was no midline tenderness in his cervical vertebra, but he did have tenderness in the paracervical muscles in the C4 region on the right. His blood pressure was stable and there were no carotid bruits or murmurs to explain the tinnitus symptoms. His lower back assessment again revealed some tightness in the right greater than left paralumbar muscles, but no palpable muscle spasm. He could forward flex his lumbar spine with fingers reaching his shins. His extension, side flexion and rotation range were full, but he was quite hesitant on these movements. There was no palpable tenderness in the lumbosacral vertebra on the midline. His straight leg raising was 90 degrees with negative Lasgue and bowstring signs. The sensory, motor, and deep tendon reflex examination of the extremities was within normal limits. We did note however that he was fairly weak on trunk extension movements in a prone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Prasad concluded that his neck and back pain was mechanical in nature with no significant findings of nerve root injury or disc disease. He noted weakness in muscle groups, especially in the lower back and recommended core strengthening and pelvic stabilizing exercises, done in conjunction with a physiotherapist, together with manual therapy to release the tight soft tissue in the neck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Harandi did not follow up either on the referral or with Dr. Prasad.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March 2002 Mr. Harandi suffered severe spasms to his neck resulting in his attendance at the U.B.C. Hospital Emergency Room. He was treated with IV/IM Morphine. On discharge, he was prescribed physiotherapy and analgesics by the ER doctor, but chose not to attend the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Harandi attended Dr. Koelink in October and November 2002 reporting neck complaints. There were, however, no complaints or findings of spasm.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Harandi testified that, contrary to the reports in the clinical records, he has been experiencing neck spasm since the time of the motor vehicle accident, but that for the most part, until spring 2000, the condition responded to self medication and he did not complain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While I accept that Mr. Harandi did not necessarily report every symptom that he was experiencing to his physician or therapists, on every visit, I do not accept that he was experiencing a significant problem that was never reported to anyone, particularly when he was repeatedly seeking treatment with respect to symptoms connected with his neck. I find that Mr. Harandi did not experience neck spasm as a significant concern until May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consensus of the medical opinion evidence was that it was more likely that spasm will occur close to the causal event and then taper off. In addition, spasm can be caused by a wide variety of events. It can, in fact, be spontaneous. Given the time that had elapsed between the first reported occurrence of spasm and the motor vehicle accident, and the intervening skiing accident, I find that the motor vehicle accident was not the cause of the severe neck spasms experienced by Mr. Harandi, commencing in the spring of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Harandi attended at Dr. Dommisse, an orthopedic surgeon, for an independent medical examination of February 20, 2003. At that time, Mr. Harandi complained of neck, shoulder and lumbosacral pain. The lumbosacral pain was described as worse, felt throughout the day, radiating to the right and left side, more pronounced on the right. The neck and shoulder symptoms were described as intermittent. There was no pain with flexion and extension, no loss of strength in upper extremities and no arm symptoms. Mr. Harandi also complained of ringing in his right ear when turning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Dommisse, on the assumption that Mr. Harandi has the symptoms of which he complained,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restriction of cervical spine flexion and extension and has restriction of lumbar spine extension.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recommendation for treatment is that this man maintain his own active, independent exercise program to mobilize the lumbosacral spine as well as strengthen trunk and abdominal muscles. I do not feel that he requires any passive therapies such as interferential, ultrasound, laser, TNS, massage therapy, chiropractic adjustments or acupuncture.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feel that the small, central disc hernia measuring approximately 3 mm. at the C5/6 level, as has been noted on the MRI study done for this man on May 31, 1999, is probably not clinically significant. Mr. Harandi has no evidence of tenderness at the C5/6 level. He has no associated muscle spasm within the cervical spine area. He has no neurological deficit within the upper extremities. I, therefore, do not feel that the small central disc herniation at the C5/6 level is causing any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disc hernia, such as has been noted in this man at the C5/6 level, does occur in 40% of the normal population who have had no prior spine incidents, injuries or treatments.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feel it is impossible to say whether or not the C5/6 disc hernia was caused by the motor vehicle accident of September 3, 1998 but I feel it is doubtful that the motor vehicle accident of September 3, 1998 caused this herniation.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diagnosis is Grade I-II cervical and lumbosacral strain as a result of the accident of September 3, 1998. Based on my physical examination and review of the clinical records that you have sent, it is likely that the September 3, 1998 related symptoms had resolved within one year of this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outlined above, Mr. Harandi sustained a significant skiing injury with a compression fracture at L1 in January, 2000. I feel that his predominant ongoing lumbosacral symptoms are more likely related to referred pain from the compression fracture at L1 as a result of his ski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Harandi also attended the Vancouver Hospital in March, 2002 as a result of neck pain and I feel it is unlikely that this episode of neck pain is related to the accident of September 3, 1998 seeing as this episode is considerably remote from his accident of September,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Dommisse's conclusion with respect to the C5/6 disc herniation is essentially the same as that reached by Dr. Prasad. Dr. Koelink reached a different conclusion; namely, that the disc injury is the likely cause of Mr. Harandi's subsequent bouts of neck pain and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small central disc herniation seen on the MRI indicating a probable discogenic annular injury may be caused by the MVA injuries without compromising any neurological elements yet cause persistent recurrent neck pain episodes as describe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have concluded that the plaintiff has not established that the C5/6 disc herniation was caused by the motor vehicle accident and that in any event the disc herniation is not the cause of Mr. Harandi's neck pain. Disc herniations such as Mr. Harandi's are found in up to 40% of the normal population who have no symptoms or injury. Moreover, Mr. Harandi had no associated neurological deficit, tenderness at C5/6 or other symptoms that would accompany nerve damage or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Koelink's opinion is at odds with that of Dr. Prasad and Dr. Dommisse on this issue. However, their expertise and specialization is greater than his with respect to injury to the neck. Dr. Dommisse is an orthopedic surgeon. I accept his opinion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opinions of all three doctors, with respect to prognosis, is that Mr. Harandi would likely make a full recovery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principles with respect to the issue of causation were articulated in Athey v. Leonati, </w:t>
      </w:r>
      <w:hyperlink r:id="rId14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pp. 466-468. I summarize those principles as follows:</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is established where the plaintiff proves to the civil standard on a balance of probabilities that the defendant caused or contributed to the injury;</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the general test for causation. Where this test is unworkable,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injury; so long as it is a material cause, the defendant will be liable. There is no apportionment between tortious and non-tortuous causes;</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is to be restored to the position 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Therefore the defendant need not compensate the plaintiff for the debilitating effects of pre-existing conditions, nor for subsequent events which are completely unrelated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Counsel for both parties referred to a number of cases which they submit indicate the appropriate range of non-pecuniary damages in this case. Counsel for Mr. Harandi submits that the appropriate range is $38,000 to $45,000. Counsel for the defendant submits that the appropriate range is less than $10,000. Plaintiff's counsel relies upon the cases of Dyck v. Ratcliffe, </w:t>
      </w:r>
      <w:hyperlink r:id="rId443" w:history="1">
        <w:r>
          <w:rPr>
            <w:rFonts w:ascii="arial" w:eastAsia="arial" w:hAnsi="arial" w:cs="arial"/>
            <w:i/>
            <w:color w:val="0077CC"/>
            <w:sz w:val="20"/>
            <w:u w:val="single"/>
            <w:shd w:val="clear" w:color="auto" w:fill="FFFFFF"/>
            <w:lang w:val="en-US" w:eastAsia="en-US" w:bidi="ar-SA"/>
          </w:rPr>
          <w:t>[1997] B.C.J. No. 2723</w:t>
        </w:r>
      </w:hyperlink>
      <w:r>
        <w:rPr>
          <w:rFonts w:ascii="arial" w:eastAsia="arial" w:hAnsi="arial" w:cs="arial"/>
          <w:color w:val="000000"/>
          <w:sz w:val="20"/>
          <w:lang w:val="en-US" w:eastAsia="en-US" w:bidi="ar-SA"/>
        </w:rPr>
        <w:t xml:space="preserve">, Jackson v. Gow, </w:t>
      </w:r>
      <w:hyperlink r:id="rId444" w:history="1">
        <w:r>
          <w:rPr>
            <w:rFonts w:ascii="arial" w:eastAsia="arial" w:hAnsi="arial" w:cs="arial"/>
            <w:i/>
            <w:color w:val="0077CC"/>
            <w:sz w:val="20"/>
            <w:u w:val="single"/>
            <w:shd w:val="clear" w:color="auto" w:fill="FFFFFF"/>
            <w:lang w:val="en-US" w:eastAsia="en-US" w:bidi="ar-SA"/>
          </w:rPr>
          <w:t>[2001] B.C.J. No. 35</w:t>
        </w:r>
      </w:hyperlink>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2001 BCSC 54</w:t>
        </w:r>
      </w:hyperlink>
      <w:r>
        <w:rPr>
          <w:rFonts w:ascii="arial" w:eastAsia="arial" w:hAnsi="arial" w:cs="arial"/>
          <w:color w:val="000000"/>
          <w:sz w:val="20"/>
          <w:lang w:val="en-US" w:eastAsia="en-US" w:bidi="ar-SA"/>
        </w:rPr>
        <w:t xml:space="preserve">, Penno v. Stephanian, </w:t>
      </w:r>
      <w:hyperlink r:id="rId445" w:history="1">
        <w:r>
          <w:rPr>
            <w:rFonts w:ascii="arial" w:eastAsia="arial" w:hAnsi="arial" w:cs="arial"/>
            <w:i/>
            <w:color w:val="0077CC"/>
            <w:sz w:val="20"/>
            <w:u w:val="single"/>
            <w:shd w:val="clear" w:color="auto" w:fill="FFFFFF"/>
            <w:lang w:val="en-US" w:eastAsia="en-US" w:bidi="ar-SA"/>
          </w:rPr>
          <w:t>[2002] B.C.J. No. 362</w:t>
        </w:r>
      </w:hyperlink>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2002 BCSC 287</w:t>
        </w:r>
      </w:hyperlink>
      <w:r>
        <w:rPr>
          <w:rFonts w:ascii="arial" w:eastAsia="arial" w:hAnsi="arial" w:cs="arial"/>
          <w:color w:val="000000"/>
          <w:sz w:val="20"/>
          <w:lang w:val="en-US" w:eastAsia="en-US" w:bidi="ar-SA"/>
        </w:rPr>
        <w:t xml:space="preserve"> and Tombe v. Stefulj, </w:t>
      </w:r>
      <w:hyperlink r:id="rId446" w:history="1">
        <w:r>
          <w:rPr>
            <w:rFonts w:ascii="arial" w:eastAsia="arial" w:hAnsi="arial" w:cs="arial"/>
            <w:i/>
            <w:color w:val="0077CC"/>
            <w:sz w:val="20"/>
            <w:u w:val="single"/>
            <w:shd w:val="clear" w:color="auto" w:fill="FFFFFF"/>
            <w:lang w:val="en-US" w:eastAsia="en-US" w:bidi="ar-SA"/>
          </w:rPr>
          <w:t>[2002] B.C.J. No. 505</w:t>
        </w:r>
      </w:hyperlink>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2002 BCSC 154</w:t>
        </w:r>
      </w:hyperlink>
      <w:r>
        <w:rPr>
          <w:rFonts w:ascii="arial" w:eastAsia="arial" w:hAnsi="arial" w:cs="arial"/>
          <w:color w:val="000000"/>
          <w:sz w:val="20"/>
          <w:lang w:val="en-US" w:eastAsia="en-US" w:bidi="ar-SA"/>
        </w:rPr>
        <w:t xml:space="preserve">. Counsel for the defence relies upon the cases of Clark v. Lumgair, </w:t>
      </w:r>
      <w:hyperlink r:id="rId447" w:history="1">
        <w:r>
          <w:rPr>
            <w:rFonts w:ascii="arial" w:eastAsia="arial" w:hAnsi="arial" w:cs="arial"/>
            <w:i/>
            <w:color w:val="0077CC"/>
            <w:sz w:val="20"/>
            <w:u w:val="single"/>
            <w:shd w:val="clear" w:color="auto" w:fill="FFFFFF"/>
            <w:lang w:val="en-US" w:eastAsia="en-US" w:bidi="ar-SA"/>
          </w:rPr>
          <w:t>[1999] B.C.J. No. 2571</w:t>
        </w:r>
      </w:hyperlink>
      <w:r>
        <w:rPr>
          <w:rFonts w:ascii="arial" w:eastAsia="arial" w:hAnsi="arial" w:cs="arial"/>
          <w:color w:val="000000"/>
          <w:sz w:val="20"/>
          <w:lang w:val="en-US" w:eastAsia="en-US" w:bidi="ar-SA"/>
        </w:rPr>
        <w:t xml:space="preserve">, Tuchscherer v. McMaster, </w:t>
      </w:r>
      <w:hyperlink r:id="rId448" w:history="1">
        <w:r>
          <w:rPr>
            <w:rFonts w:ascii="arial" w:eastAsia="arial" w:hAnsi="arial" w:cs="arial"/>
            <w:i/>
            <w:color w:val="0077CC"/>
            <w:sz w:val="20"/>
            <w:u w:val="single"/>
            <w:shd w:val="clear" w:color="auto" w:fill="FFFFFF"/>
            <w:lang w:val="en-US" w:eastAsia="en-US" w:bidi="ar-SA"/>
          </w:rPr>
          <w:t>[2001] B.C.J. No. 2036</w:t>
        </w:r>
      </w:hyperlink>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2001 BCSC 1340</w:t>
        </w:r>
      </w:hyperlink>
      <w:r>
        <w:rPr>
          <w:rFonts w:ascii="arial" w:eastAsia="arial" w:hAnsi="arial" w:cs="arial"/>
          <w:color w:val="000000"/>
          <w:sz w:val="20"/>
          <w:lang w:val="en-US" w:eastAsia="en-US" w:bidi="ar-SA"/>
        </w:rPr>
        <w:t xml:space="preserve">, and Swan v. Sidhu, </w:t>
      </w:r>
      <w:hyperlink r:id="rId449" w:history="1">
        <w:r>
          <w:rPr>
            <w:rFonts w:ascii="arial" w:eastAsia="arial" w:hAnsi="arial" w:cs="arial"/>
            <w:i/>
            <w:color w:val="0077CC"/>
            <w:sz w:val="20"/>
            <w:u w:val="single"/>
            <w:shd w:val="clear" w:color="auto" w:fill="FFFFFF"/>
            <w:lang w:val="en-US" w:eastAsia="en-US" w:bidi="ar-SA"/>
          </w:rPr>
          <w:t>[2001] B.C.J. No. 2353</w:t>
        </w:r>
      </w:hyperlink>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2001 BCSC 1565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this case I find that Mr. Harandi had a lower back condition at the time of the accident that was both significant and manifest. I find further that Mr. Harandi suffered soft tissue injuries in the motor vehicle accident that resulted in a significant aggravation to the injury to his lower back. In addition, he suffered soft tissue injuries to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These injuries were not disabling. Mr. Harandi was able to continue with his employment. He agreed that his employment activities did not aggravate or "bring on" any of the symptoms he suffered since the accident. The injuries did, however, result in considerable pain and in restriction of his sporting activities. He experienced restrictions in his ability to sit or drive for long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find that his symptoms had essentially resolved by the time of his skiing accident in January 2000 and find further that the problems he experienced thereafter were the result of the effects of that accident and not the motor vehicle accident. In the circumstances, I assess non-pecuniary damages at $12,000. In addition, special damages in relation to treatments for massage and physiotherapy treatments in the amount of $907 are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7" style="position:absolute;z-index:2518353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Hart Building Supplies Ltd. v. Deloitte &amp; Touche, [2004] B.C.J. No. 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Baker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7 and 8,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S011107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41 C.C.L.T. (3d) 240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128 A.C.W.S. (3d) 591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CarswellBC 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Hart Building Supplies Ltd., plaintiff, and Deloitte &amp; Touche, Deloitte &amp; Touche LLP, and W.G. (Brent) Campbell, defendants, and Calvin Larson and Burt Dennis,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8"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9" w:name="Keywords_24"/>
      <w:bookmarkEnd w:id="159"/>
      <w:r>
        <w:rPr>
          <w:rFonts w:ascii="arial" w:eastAsia="arial" w:hAnsi="arial" w:cs="arial"/>
          <w:b/>
          <w:color w:val="000000"/>
          <w:sz w:val="20"/>
          <w:lang w:val="en-US" w:eastAsia="en-US" w:bidi="ar-SA"/>
        </w:rPr>
        <w:t xml:space="preserve">Professional occupations — Accountants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Audit, duty of inquiry — Company law — Actions by corporations — In tort — Practice — Parties — Removal of parties — Defendants.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0" w:name="Case Summary_21"/>
            <w:bookmarkEnd w:id="1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Deloitte &amp; Touche, defendants in a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by Hart Building Supplies, for dismissal of the action as against it. Larson was a director, officer and 15 per cent shareholder in Hart, and Deloitte served as Hart's auditor. Larson knew that Hart's inventory was overstated in its financial statements, but he did not disclose this, purportedly to allow Hart to continue in business while it was nearly insolvent. Hart was twice put into receivership before the overstatement of inventory was discovered. Hart argued that Deloitte was negligent in failing to discover the fraud. It argued that it never actually benefited from Larson's misrepresentations.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1" w:name="Holdings of Court_18"/>
            <w:bookmarkEnd w:id="161"/>
            <w:r>
              <w:rPr>
                <w:rFonts w:ascii="arial" w:eastAsia="arial" w:hAnsi="arial" w:cs="arial"/>
                <w:color w:val="000000"/>
                <w:sz w:val="20"/>
                <w:lang w:val="en-US" w:eastAsia="en-US" w:bidi="ar-SA"/>
              </w:rPr>
              <w:t>HELD: Application allowed, action dismissed as against Deloitte.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corporate identification doctrine applied so as to attribute the actions of Larson to Hart. Larson was Hart's directing mind and dealt with recording its inventory as a duty within the scope of his normal authority. He did not act in a completely fraudulent manner against Hart's interests. His misrepresentations allowed it to stay in business. There was no evidence to show that Hart's principal creditor would have sold the business had it known of the misrepresentations. Tort law policy favoured Deloitte's position in this litigation.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2" w:name="Counsel_26"/>
      <w:bookmarkEnd w:id="1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9"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Gordon Weatherill, Lisa Peters and W. Simek, A/S, for the plaintiff. Susan A. Griffin and Tannis D. Braithwaite,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3" w:name="Judgment_25"/>
      <w:bookmarkEnd w:id="163"/>
      <w:r>
        <w:pict>
          <v:line id="_x0000_s1150" style="position:absolute;z-index:25178828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January 21, 2004;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4" w:name="BAKER J."/>
            <w:bookmarkEnd w:id="164"/>
            <w:r>
              <w:rPr>
                <w:rFonts w:ascii="arial" w:eastAsia="arial" w:hAnsi="arial" w:cs="arial"/>
                <w:b/>
                <w:color w:val="000000"/>
                <w:sz w:val="30"/>
                <w:lang w:val="en-US" w:eastAsia="en-US" w:bidi="ar-SA"/>
              </w:rPr>
              <w:t>BAKER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Deloitte &amp; Touche LLP ("Deloitte") were the auditors for Hart Building Supplies Ltd. ("Hart") for the period March 21, 1995 to January 31, 1996, and for the fiscal years ended January 31, 1997 to 2000 inclusive. W.G. (Brent) Campbell ("Campbell") was the Deloitte partner who was responsible for signing the auditor's report to Hart. In this action, Hart alleges that Deloitte and Campbell negligently, and in breach of contract, failed to detect the fraudulent overstatement of Hart's inventory by the third party Calvin Roy Larson ("Larson"), who was a director, officer and shareholder of 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Deloitte seeks the dismissal of Hart's claim on this summary trial. Deloitte says that the inventory fraud was the act of Larson, and that Larson's acts must be considered to be Hart's acts. Deloitte says that Hart cannot profit from its own fraud, and therefore cannot succeed in an action against Deloitte for losses suffered as a result of Hart's own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agrees that this is a matter that is suitable for disposition on a summary trial. The relevant facts are not in dispute. The defendants' counterclaim is not before the court for disposition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1995, Garibaldi Building Supplies Ltd. ("Garibaldi"), a building supply store in Prince George, British Columbia was in receivership. Larson was the general manager of Garibaldi's Prince George store. In addition to the Prince George store, Garibaldi owned stores in Squamish, Whistler and Lillooet.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Garibaldi was controlled by Transcontinental Investment Corporation ("Transcontinental"). Mohammed Faris ("Faris") was the principal of Transcontinental. The third party Burt Dennis ("Dennis") was a chartered accountant who worked for various companies related to Transcontinental. In particular, he was the Vice-President Finance for Vancorp Investments, a company in which Mr. Faris, through Transcontinental, had an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1995, Transcontinental caused the plaintiff Hart to be incorporated for the purpose of acquiring the assets of Garibaldi's Prince George store. The Receiver of Garibaldi valued the assets of the Prince George store, including inventory, land and building at over $2 million. Transcontinental arranged for Mr. Larson to acquire 15% of the shares of Hart. All remaining common shares and all the preferred shares of Hart were registered in the name of Dennis, although Dennis did not pay for the shares. Larson became a director of Hart, and also its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Transcontinental financed Hart to the extent of $500,000, structured as a loan to Dennis to purchase the preferred shares of Hart. Dennis' shares were held as security for the loan, and Transcontinental was given the right to participate in store profits, and to take over the shares from Dennis. No payments were ever made on this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behalf of Hart, Larson and Dennis put together a business plan and made an offer to Garibaldi's receiver to purchase the assets of the Prince George store for $1 million. The receiver accepted the offer, and Hart acquired the assets of the Prince George store in March 1995. Deloitte was not involved in Hart's purchase of the assets of Garibaldi's Prince George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Larson had more authority than any other officer or employee of Hart. He was the general manager of the store, as well as the President and a director of Hart. He ran the operations of the store. All employees reported to him. He hired a certified general accountant, Bruce Holm, as the company's controller. Mr. Holm reported to Larson. Mr. Larson designed and implemented internal management systems and controls and had the authority to sign contracts on behalf of Hart, including the asset purchase agreement. Hart took out key man insurance to provide coverage in the event of Larson's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time Hart acquired the assets, it valued the inventory of the Prince George store at $737,000, but paid the receiver only $500,000 for the inventory. Over the first two fiscal years of Hart's operations, it took the benefit of the $250,000 discount represented by the stated value of the inventory less the price paid to acquire it, by amortizing the discount in its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Hart borrowed money from the Bank of Nova Scotia. The operating loan Hart obtained contained conditions requiring Hart to maintain appropriate debt-to-inventory margins.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is no dispute, and Larson admits, that he knew from the outset that the book value Hart attributed to the inventory it had acquired from Garibaldi was inflated. Larson estimated that the $737,000 inventory figure was inflated by about $75,000, but conceded that the discrepancy could have been higher or lower than that figure. Larson knew, therefore, that the amortization of the discount that Hart claimed in its first two years of operation did not reflect Hart's true financial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Larson knew the inventory was inflated because of his previous involvement as general manager of the Prince George store. Before Garibaldi had gone into receivership, Larson had learned that an employee of Garibaldi's Squamish store may have inflated the inventory of the Prince George store in the computer accounting system utilized by Garibaldi. Larson did not disclose this information at the time, and did not tell Dennis about the inflated inventory situation in the Prince George store after Hart acquired the assets. Dennis relied without inquiry on Larson's estimate of the value of the inventory, although he was aware that there had been problems with discrepancies between computer records of inventory and actual physical counts of inventory in Garibaldi's Squamish store in 1994. No inventory count was done before or after Hart purchased the assets of Garibaldi's Prince George store from the receiver. Dennis did no independent checking of the inventory.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Hart hired Deloitte in 1995. Brent Campbell was the Deloitte partner assigned to the account. At Campbell's first meeting with Larson and Dennis, they told him that Dennis owned 85% of Hart's common shares as well as preferred shares. Campbell was told that Larson owned 15% of Hart's shares, was the President of the company and the person in charge of Hart's operations. Mr. Campbell was told that Deloitte's instructions would come from Mr. Larson, on behalf of 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October 1996, as a result of Hart's failure to achieve financial targets, Transcontinental realized on part of its security and became a registered shareholder of Hart in place of Dennis. Larson's role in the company did not change. He continued to be a director, the President and the general manager of 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Deloitte performed Hart's audit for each of the fiscal years ending January 31, 1996, 1997, 1998, 1999 and 2000. Campbell signed all of the audit reports on behalf of Deloitte. Larson signed Deloitte engagement letters on behalf of Hart. For each of the fiscal years, with the possible exception of 2000, Larson also signed documents, referred to by Deloitte as "representation letters", that Deloitte requires from companies they audit. There is no dispute that Larson had actual authority to sign these letters and to accept Deloitte's terms of engagement.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representation letter for the audit for the 2000 year has not been located. However, Mr. Larson agreed on his examination for discovery as the authorized representative of Hart, that he expected Deloitte to rely on the same representations by Hart in 2000 as in the previous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All cover letters sent by Deloitte to Hart with the audited financial statements stated that the statements were subject to receipt of the representation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representation letters signed by Larson on behalf of Hart contained standard wording, including the following representations given by Hart:</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acknowledge our responsibility for the fair presentation of the financial statements in accordance with generally accepted accounting principles, including the appropriate disclosure of all information required by statute.</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financial statements are free of material errors and omissions.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have been no irregularities that involve management or employees who have a significant role in the system of internal control or that could have a material effect on the financial statements.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understand that your audit was conducted in accordance with generally accepted auditing standards. These standards require that you plan to perform the audit to obtain reasonable assurance that the financial statements are free of material misstatement. However, such an audit is based on selective tests. Because you do not perform a detailed examination of all transactions, there is a risk that material fraud, error, violation or possible violation of the law or regulation may exist, but not be detected.</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have reviewed the year end adjusting entries and acknowledge our responsibility for their accuracy.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have identified all excess or obsolete inventory, and no inventories are stated at an amount in excess of net realizable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September 2000, Mr. Larson confessed to Bruce Holm that he had been falsifying the inventory records in each year of Hart's operations. He did this by altering written records of physical counts of the inventory to match the computerized inventory records, which recorded inventory at levels above the actual inventory in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overstatement of the inventory included the original overstatement at time of purchase of the assets from Garibaldi's receiver, but it increased over time and the scale of the deception also increased as time went on. Larson did not write off inventory that was damaged or obsolete, ignored inventory lost as a result of thefts from the store and yard, did not record donations of inventory to local charities, and did not adjust the computer records to reflect ordinary errors. Larson estimated that by the time his actions were discovered, the size of the discrepancy between reported inventory and actual inventory was probably in the range of $100,000 to $150,000. Larson also inflated Hart's sales records from time to time by creating false invoices which he later credited as returned goods. The company's sales were poor in 1998, 1999 and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Larson told Dennis that he had not profited personally by his actions, and that his intention had been to try to help Hart's business. From the time he first admitted his actions, and throughout these proceedings, Larson has stated that he believed Hart would benefit by staying in business until the economy improved enough to allow him to revise the records to reflect the reality of the company's operations. He did not try to hurt or destroy Hart. Aside from the fact he continued to have employment with the company, the evidence is that Larson did not benefit personally from his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Larson knew that that the representations Hart had made to Deloitte were untrue; that Hart's internal accounting records were inaccurate, and that the audited financial statements prepared by Deloitte were incorrect as a result of the misrepresentations and inaccurate information provided by Hart to Deloitte during the audit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October 2000, Hart's bank, the Bank of Nova Scotia, appointed a receiver. Transcontinental made an arrangement with the Bank to take an assignment of the Bank's security and the receivership ended. However, shortly before the hearing of this summary trial, Transcontinental again placed Hart in receivership.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When this action was commenced in 2001, both Hart and Transcontinental were plaintiffs. Transcontinental later discontinued its claim, on the grounds that Deloitte owed no duty of care to Transcontinental.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Deloitte's application for a dismissal of Hart's claims raises the issue of what is referred to in the authorities as the "corporate identification doctrine". It arises in both the criminal and civil law contexts. One of the earliest pronouncements on the doctrine is found in a civil case - Lennard's Carrying Company, Limited v. Asiatic Petroleum Company, Limited [1915] A.C. 705. In that case, the issue was the civil liability of a corporation for damages under a statute that exculpated a corporation if the loss occurred without the corporation's "fault in privity". This led to the question of whether the "fault" of a director who was active in the management of the defendant corporation was, in law, the fault of the corporation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pages 713-14 of the Reasons, Viscount Haldane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corporation is an abstraction. It has no mind of its own any more than it has a body of its own; its active and directing will must consequently be sought in the person of somebody who for some purposes may be called an agent, but who is really the directing mind and will of the corporation, the very ego and centre of the personality of the corporation... For if Mr. Lennard was the directing mind of the company, then his action must, unless a corporation is not to be liable at all, have been an action which was the action of the company itself within the meaning of s. 502... It must be true upon the true construction of that section in such a case as the present one that the fault or privity of somebody who is not merely a servant or agent for whom the company is liable upon the footing respondeat superior, but somebody for whom the company is liable because his action is the very action of the company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 later English decision, Director of Public Prosecutions v. Kent and Sussex Contractors Ltd., [1944] K.B. 146, at pp. 156, in a concurring opinion, Justice Macnaghten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responsible agent of a company, acting within the scope of his authority, puts forward on its behalf a document which he knows to be false and by which he intends to deceive, I apprehend that, ... his knowledge and intention must be imputed to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Canadian courts have adopted these general principles, and in doing so, have subtly distinguished the "identification theory" or doctrine from the law of agency, the law of vicarious liability and the concept of respondeat superior.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Counsel agree that the general requirements for the application of the doctrine are found in the decision of the Supreme Court of Canada in Canadian Dredge and Dock Company Limited v. The Queen, </w:t>
      </w:r>
      <w:hyperlink r:id="rId457" w:history="1">
        <w:r>
          <w:rPr>
            <w:rFonts w:ascii="arial" w:eastAsia="arial" w:hAnsi="arial" w:cs="arial"/>
            <w:i/>
            <w:color w:val="0077CC"/>
            <w:sz w:val="20"/>
            <w:u w:val="single"/>
            <w:shd w:val="clear" w:color="auto" w:fill="FFFFFF"/>
            <w:lang w:val="en-US" w:eastAsia="en-US" w:bidi="ar-SA"/>
          </w:rPr>
          <w:t>[1985] 1 S.C.R. 662</w:t>
        </w:r>
      </w:hyperlink>
      <w:r>
        <w:rPr>
          <w:rFonts w:ascii="arial" w:eastAsia="arial" w:hAnsi="arial" w:cs="arial"/>
          <w:color w:val="000000"/>
          <w:sz w:val="20"/>
          <w:lang w:val="en-US" w:eastAsia="en-US" w:bidi="ar-SA"/>
        </w:rPr>
        <w:t>. That case arose out of a criminal prosecution of four corporations for price-fixing. There is no dispute, however, that the enunciation of the central concepts of the doctrine apply equally in the civil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first requirement for the application of the identification theory is that the tortious act in question be that of a person who is a directing mind of the corporation. There may be more than one directing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 second requirement is that the person said to be a directing mind must have been acting within the scope of his authority and carrying out assigned functions within the corporation. It is important to note, however, that the mere fact that the employee's actions are criminal, or are also a fraud on the corporation, does not mean the employee is acting outside of the scope of his authority. In Canadian Dredge, cited above, the court expressly rejected the argument that criminal actions must, on their face, be beyond the scope of an employee's duty and authority. At p. 685, Justice Estey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essence of the test is that the identity of the directing mind and the company coincide so long as the actions of the former are performed by the manager within the scope of corporation activity assigned to him by the corporation ... The requirement is better stated when it is said that the act in question must be done by the directing force of the company when carrying out his assigned function in the corporation. It is no defence to the application of this doctrine that a criminal act by a corporate employee cannot be within the scope of his authority unless expressly ordered to do the act in question. Such a condition would reduce the rule to virtually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is so, the court said, even if the person said to be a directing mind acted contrary to the express instructions of the employer. Justice Estey pointed out, at p. 699,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law recognized such a defence, a corporation might absolve itself from criminal consequences by the simple device of adopting and communicating to its staff a general instruction prohibiting illegal conduct and directing conformity at all times with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Canadian Dredge, Justice Estey, for the Court, explored the so-called "outer limits on the reach of the doctrine". The existence of such limits distinguishes the corporate identification doctrine from the concept of respondeat superior, in Justice Estey's analysis. The issue of the outer limits arises in two situations - where the directing mind is acting in whole or in part in fraud on the corporation; and where the directing mind is acting wholly or partly for his own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Court's conclusion on this issue is stated most clearly at p. 713 of the decision,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criminal act is totally in fraud of the corporate employer and where the act is intended to and does result in benefit exclusively to the employee-manager, the employee-directing mind, from the outset of the design and execution of the criminal plan, ceases to be a directing mind of the corporation and consequently his acts could not be attributed to the corporation under the identification doctrine ... in my view the identification doctrine only operates where ... the action taken by the directing mind was (a) within the field of operation assigned to him; (b) was not totally in fraud of the corporation; and (c) was by design or result partly for the benefit of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court is clear that the mere fact that the employees or managers benefited from their fraudulent or criminal acts does not give rise to a defence by the corporation where the directing mind was acting partly for the benefit of the corporation and partly for his or her own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p. 719, Justice Estey restated this proposition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very pragmatic origins of the identification rule militate against its extension to the situation which would have existed here had one or more of the directing minds acted entirely for his own benefit and directed his principal efforts to defrauding the company. Where the corporation benefited or was intended to be benefited from the fraudulent and criminal activities of the directing mind, the rationale of the identification rule holds.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 line of American authorities, relied on by counsel for Hart, suggests that if a corporation is ultimately harmed by the fraudulent or criminal act of a directing mind, the corporation cannot be liable for the fraudulent or criminal acts. Some United States courts have held that where the life of a corporation is artificially prolonged, but the acts of the fraudulent employee or manager ultimately result in the failure of the corporation, those acts cannot be attributed to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force of this submission is substantially weakened by reference to numerous other American cases, referred to by counsel for Deloitte in reply, that reject the analysis in the cases relied on by 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Justice Estey pointed out, in Canadian Dredge, cited earlier, that Canadian law and American law has diverged in this area of corporate responsibility. Federal courts in the United States have, for the most part, applied the doctrine of vicarious liability or respondeat superior, rather than the identification doctrine. Some state courts have done likewise, others have adopted the identification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a result, in my view, American authorities are of limited or no assistance, particularly where they adopt an approach already rejected or disapproved by Canadian appellate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There have been instances in which Canadian courts have refused to attribute liability to corporate defendants on the grounds that the actions of the directing mind or minds in question were intended solely for their own benefit and did not result in any benefit to the corporation. Two examples are cited by Hart's counsel: Oger v. Chiefscope Inc. </w:t>
      </w:r>
      <w:hyperlink r:id="rId458" w:history="1">
        <w:r>
          <w:rPr>
            <w:rFonts w:ascii="arial" w:eastAsia="arial" w:hAnsi="arial" w:cs="arial"/>
            <w:i/>
            <w:color w:val="0077CC"/>
            <w:sz w:val="20"/>
            <w:u w:val="single"/>
            <w:shd w:val="clear" w:color="auto" w:fill="FFFFFF"/>
            <w:lang w:val="en-US" w:eastAsia="en-US" w:bidi="ar-SA"/>
          </w:rPr>
          <w:t>(1996), 29 O.R. (3d) 215</w:t>
        </w:r>
      </w:hyperlink>
      <w:r>
        <w:rPr>
          <w:rFonts w:ascii="arial" w:eastAsia="arial" w:hAnsi="arial" w:cs="arial"/>
          <w:color w:val="000000"/>
          <w:sz w:val="20"/>
          <w:lang w:val="en-US" w:eastAsia="en-US" w:bidi="ar-SA"/>
        </w:rPr>
        <w:t xml:space="preserve"> (Gen. Div.), affirmed at </w:t>
      </w:r>
      <w:hyperlink r:id="rId459" w:history="1">
        <w:r>
          <w:rPr>
            <w:rFonts w:ascii="arial" w:eastAsia="arial" w:hAnsi="arial" w:cs="arial"/>
            <w:i/>
            <w:color w:val="0077CC"/>
            <w:sz w:val="20"/>
            <w:u w:val="single"/>
            <w:shd w:val="clear" w:color="auto" w:fill="FFFFFF"/>
            <w:lang w:val="en-US" w:eastAsia="en-US" w:bidi="ar-SA"/>
          </w:rPr>
          <w:t>(1998) 113 O.A.C. 373</w:t>
        </w:r>
      </w:hyperlink>
      <w:r>
        <w:rPr>
          <w:rFonts w:ascii="arial" w:eastAsia="arial" w:hAnsi="arial" w:cs="arial"/>
          <w:color w:val="000000"/>
          <w:sz w:val="20"/>
          <w:lang w:val="en-US" w:eastAsia="en-US" w:bidi="ar-SA"/>
        </w:rPr>
        <w:t xml:space="preserve">; and R. v. Kimco Steel Sales Ltd. </w:t>
      </w:r>
      <w:hyperlink r:id="rId460" w:history="1">
        <w:r>
          <w:rPr>
            <w:rFonts w:ascii="arial" w:eastAsia="arial" w:hAnsi="arial" w:cs="arial"/>
            <w:i/>
            <w:color w:val="0077CC"/>
            <w:sz w:val="20"/>
            <w:u w:val="single"/>
            <w:shd w:val="clear" w:color="auto" w:fill="FFFFFF"/>
            <w:lang w:val="en-US" w:eastAsia="en-US" w:bidi="ar-SA"/>
          </w:rPr>
          <w:t>(1988), 43 C.C.C. (3d) 104</w:t>
        </w:r>
      </w:hyperlink>
      <w:r>
        <w:rPr>
          <w:rFonts w:ascii="arial" w:eastAsia="arial" w:hAnsi="arial" w:cs="arial"/>
          <w:color w:val="000000"/>
          <w:sz w:val="20"/>
          <w:lang w:val="en-US" w:eastAsia="en-US" w:bidi="ar-SA"/>
        </w:rPr>
        <w:t xml:space="preserve"> (Ont. Dist.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facts in both cases are clearly distinguishable from the facts in the case at bar, however; and I have some reservations about the latter case, in which the learned judge appears to reject the reasoning in Canadian Dredge. I would, if necessary to do so, decline to follow R. v. Kimco.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Several of the United States authorities cited by counsel for Hart - FDIC v. O'Melveny &amp; Myers, 969 F.2d 744 (9th Cir. Cal. 1992), reversed and remanded at 512 U.S. 79, on remand, 61 F.3d 17 (9th Cir. Cal. 1995) for example - focus only on the ultimate effects of the wrongdoer's actions on the corporation, rather than either his intention to benefit the company, or the fact that there were incidental, albeit short-term, benefits to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Canadian courts have, on the other hand, applied the identification theory so long as it is demonstrated that the directing mind either intended to benefit the corporation as well as himself; or that the corporation did in fact obtain some benefit. If either of these criteria are met, then the doctrine will apply, notwithstanding the fact that the ultimate consequences for the corporation may have been negative, or even disastrous.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Dixon v. Deacon Morgan McEwen Easson and others </w:t>
      </w:r>
      <w:hyperlink r:id="rId461" w:history="1">
        <w:r>
          <w:rPr>
            <w:rFonts w:ascii="arial" w:eastAsia="arial" w:hAnsi="arial" w:cs="arial"/>
            <w:i/>
            <w:color w:val="0077CC"/>
            <w:sz w:val="20"/>
            <w:u w:val="single"/>
            <w:shd w:val="clear" w:color="auto" w:fill="FFFFFF"/>
            <w:lang w:val="en-US" w:eastAsia="en-US" w:bidi="ar-SA"/>
          </w:rPr>
          <w:t>(1990), 70 D.L.R. (4th) 609</w:t>
        </w:r>
      </w:hyperlink>
      <w:r>
        <w:rPr>
          <w:rFonts w:ascii="arial" w:eastAsia="arial" w:hAnsi="arial" w:cs="arial"/>
          <w:color w:val="000000"/>
          <w:sz w:val="20"/>
          <w:lang w:val="en-US" w:eastAsia="en-US" w:bidi="ar-SA"/>
        </w:rPr>
        <w:t xml:space="preserve">, (B.C.S.C.), (appeal allowed on other grounds at </w:t>
      </w:r>
      <w:hyperlink r:id="rId462" w:history="1">
        <w:r>
          <w:rPr>
            <w:rFonts w:ascii="arial" w:eastAsia="arial" w:hAnsi="arial" w:cs="arial"/>
            <w:i/>
            <w:color w:val="0077CC"/>
            <w:sz w:val="20"/>
            <w:u w:val="single"/>
            <w:shd w:val="clear" w:color="auto" w:fill="FFFFFF"/>
            <w:lang w:val="en-US" w:eastAsia="en-US" w:bidi="ar-SA"/>
          </w:rPr>
          <w:t>(1993), 102 D.L.R. (4th) 1</w:t>
        </w:r>
      </w:hyperlink>
      <w:r>
        <w:rPr>
          <w:rFonts w:ascii="arial" w:eastAsia="arial" w:hAnsi="arial" w:cs="arial"/>
          <w:color w:val="000000"/>
          <w:sz w:val="20"/>
          <w:lang w:val="en-US" w:eastAsia="en-US" w:bidi="ar-SA"/>
        </w:rPr>
        <w:t xml:space="preserve"> (B.C.C.A.)), the defendant corporation argued that the actions of the fraudulent employees had put the company's very existence in question, and that therefore the identification doctrine ought not to apply. Justice Spencer, applying the reasoning in Canadian Dredge, rejected this argument, finding that the company had derived some incidental benefit from the false inflation of its financial reports because it would have had a better credit relationship with its lenders as a result of the falsely enhanced financial statements. Even though this may have been an unintentional result of the fraudulent actions of the employees, the court held that the corporation could not escape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application of the identification doctrine in the civil context is illustrated by the Dixon v. Deacon case, cited earlier, and was also affirmed by the Supreme Court of Canada in Bank of Montreal v. Ernst and Young Inc. </w:t>
      </w:r>
      <w:hyperlink r:id="rId463" w:history="1">
        <w:r>
          <w:rPr>
            <w:rFonts w:ascii="arial" w:eastAsia="arial" w:hAnsi="arial" w:cs="arial"/>
            <w:i/>
            <w:color w:val="0077CC"/>
            <w:sz w:val="20"/>
            <w:u w:val="single"/>
            <w:shd w:val="clear" w:color="auto" w:fill="FFFFFF"/>
            <w:lang w:val="en-US" w:eastAsia="en-US" w:bidi="ar-SA"/>
          </w:rPr>
          <w:t>(2002), 220 D.L.R. (4th) 193</w:t>
        </w:r>
      </w:hyperlink>
      <w:r>
        <w:rPr>
          <w:rFonts w:ascii="arial" w:eastAsia="arial" w:hAnsi="arial" w:cs="arial"/>
          <w:color w:val="000000"/>
          <w:sz w:val="20"/>
          <w:lang w:val="en-US" w:eastAsia="en-US" w:bidi="ar-SA"/>
        </w:rPr>
        <w:t xml:space="preserve"> (S.C.C.). In that case, the Supreme Court of Canada granted an appeal from a decision of the Alberta Court of Appeal, and adopted the reasoning of the dissenting judge, Justice Conrad.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Counsel for Hart submits that this case is not an application of the identification doctrine, but I disagree. The ratio of the decision is that the sole officer of the corporation must be taken to be the corporation's directing mind, and that his act, although undertaken for his own benefit, or that of another company, was the act of the corporation on whose behalf he purported to act. In arriving at the conclusion, the court applied the reasoning in Canadian Dredge.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also relevant to note that in that case, the plaintiff was the receiver of the plaintiff corporation. Justice Conrad held that the receiver was encumbered by the equities between the plaintiff corporation and the defendant bank, and that the receiver does not enjoy any greater rights than the corporation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 OF THE LAW IN RELATION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turn now to the application of the law to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evidence establishes clearly that Calvin Larson was the directing mind of Hart, and this proposition is not seriously challenged by the plaintiff Hart. Larson was, by virtue of the offices he held - director, President, and general manager - and by virtue of the responsibilities he was assigned or assumed, the directing mind of this corporation. In particular, in relation to the defendants Deloitte and Campbell, Larson was 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can also be no doubt that when Larson dealt with the recording of inventory; with Hart's computer systems; and in his representations to and agreements with Deloitte and Campbell, he was acting within the scope of his normal authority and carrying out his assigned functions within the corporation. This proposition is also not seriously challenged by Hart. Both during the time that Dennis held 85% of the common shares of the company, apparently as trustee or nominee for Transcontinental, and after Transcontinental became the direct shareholder, the owners of the company granted to Larson the authority and responsibility to run the company and its operations, and to deal with third parties, including the company's auditors.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Hart submits, however, that the identification doctrine ought not to apply in the circumstances of this case for two reasons: that the company ultimately did not benefit from Larson's actions in misrepresenting the company's financial situation; and that there are policy reasons for refusing to attribute Larson's actions to 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first of these submissions cannot succeed, given the law as set out in Canadian Dredge. A corporation will be liable for the fraudulent or wrongful acts of its directing mind unless the wrongful act was totally in fraud of the corporation. If it can be shown either that the employee intended to benefit the corporation, even if his primary motive was to benefit himself; or that his actions resulted in incidental benefit to the corporation, the identification doctrine will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Counsel for Hart points to the affidavit of Mohammed Faris, the principal of Transcontinental, in which Mr. Faris deposes that none of Larson's actions benefited Hart. He suggests that if Larson had not acted as he did, Hart would have sold its assets in 1996 or 1997 when the economy in Prince George was "vibrant". The first of these statements is no more than an opinion, and the second, largely speculation. The statements also do not respond to Larson's evidence that his intention was always to benefit Hart by allowing it to survive until economic conditions in Prince George improved. There is also no evidence to contradict Larson's evidence that aside from the fact that he continued to receive a salary from Hart, he did not derive any personal benefit from his actions. There is no evidence, for example, that he took any of the inventory for himself or his friends or associates.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Larson has deposed to his intentions, and the evidence of Faris does not offer any facts to contradict Larson's assertions. In my review of the facts, I referred to Hart's arrangements with his bank, and in particular, the requirement for certain debt-to-inventory ratios to be maintained. An inference may be drawn that Larson's actions allowed these ratios to be maintained and therefore staved off earlier action by Hart's bank. The continued existence of a corporation must be presumed to be a benefit to that corporation, even if ultimately the position of some or all of its shareholders is eroded.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assertion by Mr. Faris that the assets of the company would have been sold if the true inventory value had been known in 1996 and 1997 is unsupported by any evidence and is contradicted by some of the evidence. At the time that Transcontinental arranged for Larson and Dennis to incorporate Hart and acquire the assets of Garibaldi, no steps were taken to verify the accuracy of the inventory records, despite the fact that Dennis, an associate of Mr. Faris, and the nominee majority shareholder, had reason to suspect the records might be in error. From this, it may be inferred that Transcontinental was not concerned about the inventory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company was performing so badly in 1996, despite Larson's misrepresentations, that Transcontinental realized on its security and took over Dennis' shares. Despite Hart's poor performance, and the fact that Transcontinental then controlled 85% of the common shares, Transcontinental did not take steps to sell Hart's assets in 1996. There is no evidence - no correspondence, no internal memoranda - to support Mr. Faris' assertion that Transcontinental would have sold Hart's assets in 1996 or 1997 but for reliance on the inflated inventory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evidence establishes that Larson intended to benefit the corporation and that his actions, more probably than not, resulted in incidental benefit to Hart by allowing the company to present, to its creditors, a more favourable financial picture.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Finally, Hart submits that this court should refuse to apply the identification doctrine for policy reasons, having to do with the objectives of tort law. Relying on the decision of FDIC v. O'Melveny, cited earlier, he says that courts may refuse to attribute the actions of a directing mind to a corporation "where recovery by the plaintiff in question would serve the objectives of tort liability by properly compensating the victims of the wrongdoing and deterring future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first response to this submission is that in Canadian Dredge, Justice Estey, speaking for the court, exhaustively reviewed the policy considerations underlying the various ways in which English, New Zealand, Australian, American and Canadian courts have developed the law of corporate liability. Canadian courts have adopted the corporate identification doctrine in response to those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If it was open to this court to consider whether the objectives of tort liability will be met by dismissing Hart's claims in the circumstances of this particular case, I would conclude that those objectives favour the defendant's position. In the circumstances of this case, Hart's auditors are also victims of Larson's deception.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Larson was Hart's directing mind and its alter ego. Hart may not benefit from its own fraud. Hart, in the person of Larson, deliberately misrepresented the true state of its financial affairs to Deloitte, in contravention of the agreement it entered into with Deloitte by virtue of the representation letters Larson, acting on behalf of Hart, signed. Hart knew that the audited financial statements were incorrect, because Hart provided false information with the knowledge and intention that the auditors would rely on that false information in preparation of the statements. Hart did not rely on the audited statements because Hart's directing mind knew those statements were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identification doctrine applies in these circumstances and Hart's action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defendants are entitled to one set of costs, to be paid by the plaintiff,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BAKER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January 21,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In my Reasons for Judgment issued January 15, 2004, please amend the last sentence in paragraph 22 to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Aside from the fact he continued to have employment with the company, the evidence is that Larson did not benenfit personally from his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1" style="position:absolute;z-index:251836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Lindsay v. Bank of Montreal, [2001] B.C.J. No. 1439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Blair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1,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18, 2001.</w:t>
      </w:r>
    </w:p>
    <w:p>
      <w:pPr>
        <w:spacing w:before="120" w:line="260" w:lineRule="atLeast"/>
        <w:jc w:val="center"/>
        <w:rPr>
          <w:lang w:val="en-US" w:eastAsia="en-US" w:bidi="ar-SA"/>
        </w:rPr>
      </w:pPr>
      <w:r>
        <w:rPr>
          <w:rFonts w:ascii="arial" w:eastAsia="arial" w:hAnsi="arial" w:cs="arial"/>
          <w:color w:val="000000"/>
          <w:sz w:val="20"/>
          <w:lang w:val="en-US" w:eastAsia="en-US" w:bidi="ar-SA"/>
        </w:rPr>
        <w:t>Kamloops Registry No. 25742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1439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889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106 A.C.W.S. (3d) 797</w:t>
      </w:r>
    </w:p>
    <w:p>
      <w:pPr>
        <w:spacing w:before="120" w:line="260" w:lineRule="atLeast"/>
        <w:rPr>
          <w:lang w:val="en-US" w:eastAsia="en-US" w:bidi="ar-SA"/>
        </w:rPr>
      </w:pPr>
      <w:r>
        <w:rPr>
          <w:rFonts w:ascii="arial" w:eastAsia="arial" w:hAnsi="arial" w:cs="arial"/>
          <w:color w:val="000000"/>
          <w:sz w:val="20"/>
          <w:lang w:val="en-US" w:eastAsia="en-US" w:bidi="ar-SA"/>
        </w:rPr>
        <w:t>Between Evelyn Lindsay, plaintiff, and Bank of Montreal,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52" style="position:absolute;z-index:25168691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65" w:name="Keywords_25"/>
      <w:bookmarkEnd w:id="165"/>
      <w:r>
        <w:rPr>
          <w:rFonts w:ascii="arial" w:eastAsia="arial" w:hAnsi="arial" w:cs="arial"/>
          <w:b/>
          <w:color w:val="000000"/>
          <w:sz w:val="20"/>
          <w:lang w:val="en-US" w:eastAsia="en-US" w:bidi="ar-SA"/>
        </w:rPr>
        <w:t>Practice — Parties — Adding or substituting parties — Notwithstanding limitation period — Prejudice or actual prejudice to defendant.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66" w:name="Case Summary_22"/>
            <w:bookmarkEnd w:id="16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plaintiff, Lindsay, to add Connaught Management as a defendant. The action was for damages for injuries suffered March 14, 1996, in a fall in a building owned by the defendant Bank of Montreal. A year after the fall, Lindsay was advised by the Bank that Connaught maintained the building. She met a Connaught employee in April 1997 advising him of the incident and her injuries. Her solicitor filed a claim on February 5, 1998 against the Bank. The Bank pleaded that any damages were the result of Connaught's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Her solicitor assumed that the Bank would bring a third party action. After receiving a copy of the Bank's management agreement with Connaught, Lindsay's new solicitor brought the application to add Connaught. Connaught argued that it was prejudiced by the delay in bringing the application after the limitation period expired. </w:t>
            </w:r>
            <w:r>
              <w:rPr>
                <w:lang w:val="en-US" w:eastAsia="en-US" w:bidi="ar-SA"/>
              </w:rPr>
              <w:cr/>
            </w:r>
          </w:p>
          <w:p>
            <w:pPr>
              <w:spacing w:before="120" w:line="260" w:lineRule="atLeast"/>
              <w:ind w:left="240"/>
              <w:jc w:val="both"/>
              <w:rPr>
                <w:lang w:val="en-US" w:eastAsia="en-US" w:bidi="ar-SA"/>
              </w:rPr>
            </w:pPr>
            <w:bookmarkStart w:id="167" w:name="Holdings of Court_19"/>
            <w:bookmarkEnd w:id="167"/>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In the exercising discretion to add a defendant, the length of the delay, the reasons for the delay and the expiry of a limitation period were factors to be considered along with the overriding question of what was just and convenient. On the question of prejudice, Connaught was aware by April 1997 of the details of the incident and knew of the intended litigation and its basis. The action against the Bank did not surprise them. The length of the delay was partly the result of an error in judgment by Lindsay's solicitor. Lindsay should not have been punished for obtaining mistaken advice. Upon considering all the factors, Connaught was added as a defendant. </w:t>
            </w:r>
            <w:r>
              <w:rPr>
                <w:lang w:val="en-US" w:eastAsia="en-US" w:bidi="ar-SA"/>
              </w:rPr>
              <w:cr/>
            </w:r>
          </w:p>
          <w:p>
            <w:pPr>
              <w:rPr>
                <w:lang w:val="en-US" w:eastAsia="en-US" w:bidi="ar-SA"/>
              </w:rPr>
            </w:pPr>
          </w:p>
        </w:tc>
      </w:tr>
    </w:tbl>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Statues, Regulations and Rules Cited:</w:t>
      </w:r>
    </w:p>
    <w:p>
      <w:pPr>
        <w:spacing w:line="60" w:lineRule="exact"/>
        <w:rPr>
          <w:lang w:val="en-US" w:eastAsia="en-US" w:bidi="ar-SA"/>
        </w:rPr>
      </w:pPr>
      <w:r>
        <w:pict>
          <v:line id="_x0000_s1153" style="position:absolute;z-index:2517381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15(5)(a), 15(5)(a)(iii).</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Occupiers Liability Act, s. 5.</w:t>
      </w:r>
      <w:r>
        <w:rPr>
          <w:lang w:val="en-US" w:eastAsia="en-US" w:bidi="ar-SA"/>
        </w:rPr>
        <w:cr/>
      </w:r>
    </w:p>
    <w:p>
      <w:pPr>
        <w:keepNext/>
        <w:spacing w:before="240" w:line="340" w:lineRule="atLeast"/>
        <w:rPr>
          <w:lang w:val="en-US" w:eastAsia="en-US" w:bidi="ar-SA"/>
        </w:rPr>
      </w:pPr>
      <w:bookmarkStart w:id="168" w:name="Counsel_27"/>
      <w:bookmarkEnd w:id="168"/>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4" style="position:absolute;z-index:2517893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V. Critchley, for the plaintiff. M. Sadden, for the proposed defendants Connaught Management Ltd.</w:t>
      </w:r>
      <w:r>
        <w:rPr>
          <w:lang w:val="en-US" w:eastAsia="en-US" w:bidi="ar-SA"/>
        </w:rPr>
        <w:cr/>
      </w:r>
    </w:p>
    <w:p>
      <w:pPr>
        <w:spacing w:after="240"/>
        <w:rPr>
          <w:lang w:val="en-US" w:eastAsia="en-US" w:bidi="ar-SA"/>
        </w:rPr>
      </w:pPr>
      <w:bookmarkStart w:id="169" w:name="Judgment_26"/>
      <w:bookmarkEnd w:id="169"/>
      <w:r>
        <w:pict>
          <v:line id="_x0000_s1155" style="position:absolute;z-index:25183744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70" w:name="BLAIR J."/>
            <w:bookmarkEnd w:id="170"/>
            <w:r>
              <w:rPr>
                <w:rFonts w:ascii="arial" w:eastAsia="arial" w:hAnsi="arial" w:cs="arial"/>
                <w:b/>
                <w:color w:val="000000"/>
                <w:sz w:val="30"/>
                <w:lang w:val="en-US" w:eastAsia="en-US" w:bidi="ar-SA"/>
              </w:rPr>
              <w:t>BLAIR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Evelyn Lindsay, applies for an order pursuant to Rule 15(5)(a) the Rules of Court to add Connaught Management Ltd. ("Connaught") as a defendant in this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Ms. Lindsay seeks damages for injuries suffered March 14, 1996, in a fall in a building owned by the defendant Bank of Montreal ("the Bank"). Ms. Lindsay filed the writ of summons on February 5, 1998, and in the statement of claim she alleged her fall resulted from the Bank's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its failure to discharge its obligations under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 year after the fall, her injury not having resolved as she anticipated, Ms. Lindsay spoke to a representative of the Bank who advised her that Connaught maintained the building. Ms. Lindsay met a Connaught employee on April 25, 1997, advising him of her fall and the injuries suffered. The plaintiff's then solicitor on May 12, 1997, wrote to Connaught regarding the incident. Ms. Lindsay retained a new solicitor with instructions to commence an action, which he did in 1998, naming the Bank as the sole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Bank's statement of defence filed March 5, 1998, pleaded in part that the plaintiff's loss and damage, if any, resulted from Connaught's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Bank pleaded Connaught was an independent contractor and s. 5 of the Occupiers Liability Act applied, the section stating in part: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 if damages are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independent contractor engaged by the occupier, the occupier is on that account liable under this Act if,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Lindsay's second solicitor considered the Bank's pleadings and concluded that if fault lay elsewhere that the Bank would bring a third party action. The Bank provided a list of documents in May 1998, however it contained no reference to a management contract between Connaught and the Bank. Ms. Lindsay then retained a third solicitor to pursue her action and, in response to his request, the Bank on June 27, 2000, provided the management agreement with Connaught in effect in March 1996.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receiving the agreement, Ms. Lindsay's second and third solicitors consulted and Mr. Critchley was retained to bring this application to add Connaught as a defendant. Mr. Sadden, counsel for Connaught, opposes the application, submitting that the unexplained delay in bringing this application after the limitation period expired would leave his client prejudiced because of the delay, in part as a result of the recent death of a Connaught employee who was involved in the management of the Bank's building.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are an abundance of cases relating to the test applicable in applications brought to add defendants under Rule 15(5)(a). Counsel in their focussed, but comprehensive submissions, directed my attention to more than 25 cases which touched on the issues in this matter.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Tri-Line Expressways v. Ansari, </w:t>
      </w:r>
      <w:hyperlink r:id="rId471" w:history="1">
        <w:r>
          <w:rPr>
            <w:rFonts w:ascii="arial" w:eastAsia="arial" w:hAnsi="arial" w:cs="arial"/>
            <w:i/>
            <w:color w:val="0077CC"/>
            <w:sz w:val="20"/>
            <w:u w:val="single"/>
            <w:shd w:val="clear" w:color="auto" w:fill="FFFFFF"/>
            <w:lang w:val="en-US" w:eastAsia="en-US" w:bidi="ar-SA"/>
          </w:rPr>
          <w:t>(1997) 30 B.C.L.R. (3d) 222</w:t>
        </w:r>
      </w:hyperlink>
      <w:r>
        <w:rPr>
          <w:rFonts w:ascii="arial" w:eastAsia="arial" w:hAnsi="arial" w:cs="arial"/>
          <w:color w:val="000000"/>
          <w:sz w:val="20"/>
          <w:lang w:val="en-US" w:eastAsia="en-US" w:bidi="ar-SA"/>
        </w:rPr>
        <w:t xml:space="preserve"> (B.C.C.A.), Lambert J.A. giving judgment for the court stated at para. 12: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is a consistent line of authority to the effect that in the determination of what is "just and convenient" under Rule 15(5)(a)(iii), all relevant factors should be considered but that no single factor is necessarily determinative.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Mr. Justice Lambert concurred with the reasons given by Finch J.A. (as he then was) in Teal Cedar Products (1977) Ltd. v. Dale Intermediaries Ltd. </w:t>
      </w:r>
      <w:hyperlink r:id="rId205"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regarding the factors to be considered under Rule 15(5)(a)(iii) where he stated at para. 67: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the exercise of a judge's discretion, the length of delay, the reasons for delay and the expiry of the limitation period are all factors to be considered, but none of those factors should be considered in isolation. Regard must also be had for the presence or absence of prejudice, and the extent of the connection, if any, between the existing claims and the proposed new cause of action. Nor do I think that a plaintiff's explanation for delay must necessarily exculpate him from all "fault" or "culpability" before the court may exercise its discretion in his favour.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McEachern C.J.B.C. at para. 74 of the Teal decision held that the most important considerations, not necessarily in the following order, are the length of the delay, prejudice to the respondents, and the overriding question of what is just and convenient.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Addressing first the issue of prejudice, Connaught was aware by April 1997 of the details surrounding Ms. Lindsay's fall in March 1996 and knew of the intended litigation and its basis. The action against the Bank did not surprise them. Although a Connaught employee involved in the management of the Bank's building died in November 2000, I do not consider that the loss of his viva voce evidence would result in a prejudice to Connaught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length of the delay appears to be founded on several factors, one being that the Bank pleaded s. 5 of the Occupiers Liability Act in the alternative and then did not produce the documentation between the Bank and Connaught to support the s. 5 defence until June 2000, at which time counsel for Ms. Lindsay initiated the steps necessary to add Connaught as a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Another factor underlying the delay was an error in judgment by Ms. Lindsay's second solicitor. He incorrectly assumed that in naming the property owner, the Bank, he had done all that was required to pursue Ms. Lindsay's claim and did not recognize the necessity of adding Connaught. Finch J.A. in Teal, at para. 62, opined that he did not think a party should be punished for having obtained advice that may have been mistaken.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satisfied that upon considering all the factors, including prejudice, delay, and what is just and convenient, that I should exercise my discretion in favour of the plaintiff and allow the application. Connaught will be named as a defendant in the action, the plaintiff having 21 days from the date of this Order to amend the style of cause and pleadings and serve the amended material upon Connaught.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Costs will be in the cause.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BLAIR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Louis (Guardian ad litem of) v. Lawrence, [2002] B.C.J. No. 1698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Blair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9 and 10,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Vernon Registry Nos. 24506, 24528, 23438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1698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1069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115 A.C.W.S. (3d) 872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1069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Brandy Louis by her Guardian ad litem Karen Louis, plaintiffs, and Tanis Lawrence and Karl Lawrence, defendants (Vernon Registry No. 24506) And between Madeline Bonneau by her Guardian ad litem Vivian Grinder, plaintiffs, and Tanis Lawrence and Karl Lawrence, defendants (Vernon Registry No. 24528) And between Nathan Leischner, plaintiff, and Tanis Lawrence and Karl Lawrence, defendants (Vernon Registry No. 23438)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7"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1" w:name="Keywords_26"/>
      <w:bookmarkEnd w:id="171"/>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liability of owner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driver of owner's vehicle — Permitting use by incompetent driver — Meaning of consent or gives or furnishes — Defences.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2" w:name="Case Summary_23"/>
            <w:bookmarkEnd w:id="17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Tanis Lawrence, owner of the motor vehicle driven by her cousin Karl Lawrence, to dismiss the action against her on the basis that he was not driving her vehicle with her implied consent at the time of the accident in which Louis and the others were injured. On the weekend of the accident, Tanis was moving her residence in Kelowna and arranged to borrow her father's pickup. She left him the keys to her Cavalier for his use while she had the pickup. Tanis did not discuss with her father the conditions under which she was giving him possession of the Cavalier, but anticipated that nobody else would be allowed to drive the vehicle. Tanis said that her father did not ordinarily lend his vehicles to others and that she followed his practice in that respect. Tanis knew that Karl had been living in her father's home for approximately six months. She did not know Karl well and had had minimal dealings with him. At her father's request, Karl took the Cavalier to pick up Andrea, Tanis's younger sister. This was when the accident occurred. Tanis's father did not ask her whether Karl could drive her car, although he had let Karl drive his pickup in the past and assumed that Karl had a driver's licence. Tanis said that as far as she was aware, Karl did not have a driver's licence and that she would not have allowed him to drive her car. Karl said he did not believe that Tanis would have let him drive her car.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3" w:name="Holdings of Court_20"/>
            <w:bookmarkEnd w:id="173"/>
            <w:r>
              <w:rPr>
                <w:rFonts w:ascii="arial" w:eastAsia="arial" w:hAnsi="arial" w:cs="arial"/>
                <w:color w:val="000000"/>
                <w:sz w:val="20"/>
                <w:lang w:val="en-US" w:eastAsia="en-US" w:bidi="ar-SA"/>
              </w:rPr>
              <w:t>HELD: Application granted and the action was dismissed against Tanis Lawrence.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accepted the evidence of Tanis that she would not have permitted Karl to drive her car had she been asked at the time she exchanged the Cavalier for the pickup. She was not in the habit of lending her vehicle to individuals such as Karl whom she did not know well, particularly given her understanding that Karl did not possess a driver's licence. Karl had never driven the Cavalier before the date of the accident. In the circumstances, there would be no expectation by Tanis that in exchanging vehicles with her father, other persons would drive her car. Tanis's testimony was logical, credible and supported in certain key areas by the evidence of her father and Karl.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4" w:name="Legislation Cited_14"/>
      <w:bookmarkEnd w:id="1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8"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Vehicles Act, s. 86.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5" w:name="Counsel_28"/>
      <w:bookmarkEnd w:id="17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9"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 MacArthur, for the plaintiffs. K.D. Cowan, for the defendant, Tanis Lawrence. Karl Lawrence appeared on his own behalf.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6" w:name="Judgment_27"/>
      <w:bookmarkEnd w:id="176"/>
      <w:r>
        <w:pict>
          <v:line id="_x0000_s1160" style="position:absolute;z-index:2518384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7" w:name="BLAIR J._0"/>
            <w:bookmarkEnd w:id="177"/>
            <w:r>
              <w:rPr>
                <w:rFonts w:ascii="arial" w:eastAsia="arial" w:hAnsi="arial" w:cs="arial"/>
                <w:b/>
                <w:color w:val="000000"/>
                <w:sz w:val="30"/>
                <w:lang w:val="en-US" w:eastAsia="en-US" w:bidi="ar-SA"/>
              </w:rPr>
              <w:t>BLAIR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from a tragic motor vehicle accident in Vernon on January 30, 1999, in which three young people died and the three plaintiffs received injuries of varying degrees of severity. The plaintiffs and the deceased occupied a single car which collided with a vehicle owned by the defendant Tanis Lawrence and driven by her cousin, the defendant Karl Lawrence, the lone occupant of the second vehicle involved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sole issue at this point in the proceedings is whether Karl Lawrence was driving Tanis Lawrence's vehicle (the "Cavalier") with her implied consent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Karl Lawrence testified that his first name was Karl, not Carl as found in the pleadings, and I ordered that the styles of cause and pleadings in the three actions be amended accordingly. Tanis Lawrence, her father Harvey Lawrence, and Karl Lawrence all testified, and reference was made to Andrea Lawrence, Tanis Lawrence's younger sister. To avoid confusion I will refer to the members of the Lawrence family by their first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issue of implied consent arises as a result s. 86 (formerly s. 79)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which states:</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 action to recover loss or damage sustained by a person by reason of a motor vehicle on a highway, every person driving or operating the motor vehicle who is living with and as a member of the family of the owner of the motor vehicle, and </w:t>
      </w:r>
      <w:r>
        <w:rPr>
          <w:rFonts w:ascii="arial" w:eastAsia="arial" w:hAnsi="arial" w:cs="arial"/>
          <w:b/>
          <w:color w:val="000000"/>
          <w:sz w:val="20"/>
          <w:lang w:val="en-US" w:eastAsia="en-US" w:bidi="ar-SA"/>
        </w:rPr>
        <w:t>every person driving or operating the motor vehicle who acquired possession of it with the consent, express or implied, of the owner of the motor vehicle,</w:t>
      </w:r>
      <w:r>
        <w:rPr>
          <w:rFonts w:ascii="arial" w:eastAsia="arial" w:hAnsi="arial" w:cs="arial"/>
          <w:color w:val="000000"/>
          <w:sz w:val="20"/>
          <w:lang w:val="en-US" w:eastAsia="en-US" w:bidi="ar-SA"/>
        </w:rPr>
        <w:t>, is deemed to be the agent or servant of that owner and employed as such, and is deemed to be driving and operating the motor vehicle in the course of his or her employment.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relieves a person deemed to be the agent or servant of the owner and to be driving or operating the motor vehicle in the course of his or her employment from the liability for such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Tanis denies that she consented to Karl driving her Cavalier and the burden lies on the plaintiffs to prove on a balance of probabilities that Karl obtained the implied consent of Tanis to operate the Cavalier: see Jaroszuk v. Quewezance </w:t>
      </w:r>
      <w:hyperlink r:id="rId479" w:history="1">
        <w:r>
          <w:rPr>
            <w:rFonts w:ascii="arial" w:eastAsia="arial" w:hAnsi="arial" w:cs="arial"/>
            <w:i/>
            <w:color w:val="0077CC"/>
            <w:sz w:val="20"/>
            <w:u w:val="single"/>
            <w:shd w:val="clear" w:color="auto" w:fill="FFFFFF"/>
            <w:lang w:val="en-US" w:eastAsia="en-US" w:bidi="ar-SA"/>
          </w:rPr>
          <w:t>[1992] B.C.J. No. 786</w:t>
        </w:r>
      </w:hyperlink>
      <w:r>
        <w:rPr>
          <w:rFonts w:ascii="arial" w:eastAsia="arial" w:hAnsi="arial" w:cs="arial"/>
          <w:color w:val="000000"/>
          <w:sz w:val="20"/>
          <w:lang w:val="en-US" w:eastAsia="en-US" w:bidi="ar-SA"/>
        </w:rPr>
        <w:t>, (B.C.C.A.). The plaintiffs do not allege, nor is there any evidence to suggest, that Karl had the express consent from Tanis to drive the Cavalier.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leading case on the determination of implied consent is the Supreme Court of Canada's decision in Palsky et al v. Humphrey and Byrne, </w:t>
      </w:r>
      <w:hyperlink r:id="rId480" w:history="1">
        <w:r>
          <w:rPr>
            <w:rFonts w:ascii="arial" w:eastAsia="arial" w:hAnsi="arial" w:cs="arial"/>
            <w:i/>
            <w:color w:val="0077CC"/>
            <w:sz w:val="20"/>
            <w:u w:val="single"/>
            <w:shd w:val="clear" w:color="auto" w:fill="FFFFFF"/>
            <w:lang w:val="en-US" w:eastAsia="en-US" w:bidi="ar-SA"/>
          </w:rPr>
          <w:t>(1964) 45 D.L.R. (2d) 655</w:t>
        </w:r>
      </w:hyperlink>
      <w:r>
        <w:rPr>
          <w:rFonts w:ascii="arial" w:eastAsia="arial" w:hAnsi="arial" w:cs="arial"/>
          <w:color w:val="000000"/>
          <w:sz w:val="20"/>
          <w:lang w:val="en-US" w:eastAsia="en-US" w:bidi="ar-SA"/>
        </w:rPr>
        <w:t>, in which Mr. Justice Spence, giving judgment for the court, approved an observation by Porter J.A., stating at p. 662: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consent can be implied because it is clear that had it been sought it would have been granted as a matter of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Godsman v. Peck, </w:t>
      </w:r>
      <w:hyperlink r:id="rId481" w:history="1">
        <w:r>
          <w:rPr>
            <w:rFonts w:ascii="arial" w:eastAsia="arial" w:hAnsi="arial" w:cs="arial"/>
            <w:i/>
            <w:color w:val="0077CC"/>
            <w:sz w:val="20"/>
            <w:u w:val="single"/>
            <w:shd w:val="clear" w:color="auto" w:fill="FFFFFF"/>
            <w:lang w:val="en-US" w:eastAsia="en-US" w:bidi="ar-SA"/>
          </w:rPr>
          <w:t>[1997] B.C.J. No. 377</w:t>
        </w:r>
      </w:hyperlink>
      <w:r>
        <w:rPr>
          <w:rFonts w:ascii="arial" w:eastAsia="arial" w:hAnsi="arial" w:cs="arial"/>
          <w:color w:val="000000"/>
          <w:sz w:val="20"/>
          <w:lang w:val="en-US" w:eastAsia="en-US" w:bidi="ar-SA"/>
        </w:rPr>
        <w:t>, Mr. Justice Braidwood, giving judgment for the B.C. Court of Appeal, referred at para. 26 to Palsky (supra) and continued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In concluding whether or not the test is met in the circumstances of a case of that sort (where the vehicle was driven by a third party), an important and relevant consideration is whether or not the evidence supports the conclusion that, at the time the motor vehicle was loaned to the original driver, the owner granted possession of it under circumstances that clearly show that it was acquired with both the willingness and the expectation on the owner's part that it would be driven by a third person. I agree with Verchere J. in Hartley v. Saunders, (1962) 39 W.W.R. 467, at 469, where he says: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the question of implied consent to some person other than the actual borrower operating a motor vehicle, the owner's expectation and willingness to operation by another are material factors to be considered.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There should be evidence to show, or support the inference, that the owner turned his mind to the likelihood of that further transfer of possession. If there is no such evidence, a court finding liability on the owner's part is not implying consent so much as deeming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concept of consent, even though it be implied, is not satisfied by general evidence of willingness that another may drive. Willingness is an attitude that must be crystallized by an expectation that another will drive. For general willingness to amount to consent, certain specific circumstances must be within the owner's contemplation. These are the circumstances expected to arise in which possession may be transferred to a third person, and in which the owner would be willing for such a transfer to occur. This willingness and expectation must be in the owner's mind at the time when the vehicle is transferred to the original borrower.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in the context of the law as expressed in the Palsky and Godsman decisions that I consider whether Karl obtained the implied consent from Tanis to drive her Cavalier.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Tanis was raised in a rural area close to Vernon, completing high school in 1997 at which time her father Harvey gave her the Cavalier as a graduation present. He replaced the Cavalier with a newer pickup truck for his own use. Tanis registered and insured the Cavalier in her name before moving to Kelowna where she worked part-time and studied psychology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Tanis resided in Kelowna for approximately 18 months prior to the accident later moving first to Calgary and then to Vancouver where she now resides, working full-time as an office manager and studying chemistry part-time with plans to finish her degree in about three years. She has not lived in her father's home since 1997, but did stay there for approximately one month when enroute to Calgary.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the weekend of January 30, 1999, Tanis was moving her residence in Kelowna and arranged to borrow her father's pickup. She drove to Vernon on the Friday night, visiting briefly with her father and leaving with him the keys to the Cavalier for his use while she had the pickup, an exchange she expected to last the weekend. On one or more previous occasions when moving she had made similar arrangements with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Tanis did not discuss with her father the conditions under which she was giving him possession of the Cavalier, but anticipated that the conditions would be the same under which she had driven his vehicles after she obtained her driver's licence, specifically that traffic laws would not be violated and nobody else would be allowed to drive the vehicle. Tanis said that when she exchanged the Cavalier for her father's pickup she expected her father to treat the car as if it was his own and that did not include permitting others to drive the Cavalier.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Tanis testified that her father did not ordinarily lend his vehicles to others and she followed his practice in that respect. She remembered only one person other than her father whom she had allowed to drive the Cavalier, that person being a trusted friend and roommate of many years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January 1999, Tanis knew that Karl had been living in her father's home for approximately six months, but did not recall seeing him on January 29, 1999, when she exchanged vehicles with her father. Although Karl was a cousin, being the son of Harvey's sister, there was little contact between Tanis and Karl, the latter being some years older than Tanis and having lived in Vancouver and the United States as well as in Vernon. Tanis testified that she did not know her older cousin Karl well and there is no evidence that suggests she had other than minimal dealings with him. Karl confirmed that he saw little of Tanis prior to the accident and could recall seeing her just once after the accident at a family dinner. Also living in Harvey's house was his other daughter Andrea, who was 13 years old in January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following day, January 30, Harvey drove the Cavalier into Vernon, dropping Andrea off at the mall about 1 p.m., before continuing on with Karl to a bar. Later in the afternoon, Harvey asked Karl to take the Cavalier to pick up Andrea and take her home. About 6 p.m. Karl returned to the bar with the Cavalier to pick up Harvey, the two returning home where Harvey watched a hockey game. Karl, again driving the Cavalier, dropped off Andrea in Vernon to attend a movie and, about 10:30 p.m. Karl, again driving the Cavalier at Harvey's request, returned to pick up Andrea after the movie. It was on this final trip, while Karl was alone in the Cavalier, that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Harvey testified that because he had been drinking he asked Karl to drive the Cavalier on January 30. Harvey knew Karl had been drinking, but did not consider him impaired nor is there evidence that Karl was impaired. Harvey did not ask Tanis whether Karl could drive her car, although he had on several occasions permitted Karl to drive his pickup on short trips. Harvey had not mentioned to Tanis that Karl had driven his pickup. Harvey assumed that Karl possessed a valid driver's licence, but had never actually asked Karl if he had a licence, discovering only after the accident that Karl did not have a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Tanis testified that as far as she was aware in January, 1999, Karl did not possess a driver's licence and she would not have allowed him to drive the Cavalier. She understood that he had been in an accident when driving her grandmother's vehicle and that he had lost his licence because he was not able to pay the damages incurred in the accident. Tanis testified that Karl was unemployed and could not have raised the money to pay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Karl confirmed that he did not have a driver's licence on January 30, 1999, as a result of owing money to the Insurance Corporation of B.C. He further stated that he did not think Tanis would have let him use her car as she was a responsible person. Karl said he never raised the issue of driving with Tanis and that she had not been present on any occasion when he drove Harvey's pickup.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MacArthur suggested to Tanis that she must have expected others to drive the Cavalier when she left it with her father, as Andrea depended on her father, Harvey, for transportation and that Harvey regularly drank, sometimes excessively, and would not drive when he had been drinking. Tanis acknowledged her father's drinking, but said that when living at home and before obtaining her driver's licence, she always found alternate transportation if her father could not drive and that she expected Andrea would make similar arrangements. On the night of the accident, Andrea obtained transportation from a relative when Karl failed to 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MacArthur submitted that in weighing the testimony given by Tanis I should bear in mind that she had much to lose if found to have given her implied consent to Karl to drive the Cavalier, a submission which I have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test as found in Palsky is whether in the circumstances consent can be implied because it is clear that had it been sought it would have been granted as a matter of course. In the circumstances of this case, Tanis delivered the Cavalier to her father, Harvey, in exchange for the use of his pickup truck. She had exchanged vehicles with her father in the past, but infrequently. Although Tanis did not discuss with her father the conditions under which they were exchanging vehicles there was no expectation on her part that her father would allow others to drive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Tanis testified that her father rarely allowed others to drive his vehicles, evidence corroborated by Harvey who indicated that he did not usually lend his vehicles to others. Tanis said that in the 18 months she owned the Cavalier she allowed only her father and a trusted friend to drive her car. Tanis said she was unaware that her father had allowed Karl to drive his pickup and she would not have permitted Karl to drive the Cavalier because she did not know him well and she understood he did not have a driver's licence. Harvey assumed Karl had his driver's licence, but had never questioned Karl about his licence nor had Karl told him that he did not have a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accept the evidence of Tanis that she would not have permitted Karl to drive the Cavalier had she been asked at the time she exchanged the Cavalier for the pickup on January 29, 1999, a position which she took for several reasons: she was not in the habit of lending her vehicle to individuals such as Karl whom she did not know well and, more importantly, she understood that he did not possess a driver's licence. Karl himself acknowledged that he would not have expected Tanis to allow him to drive the Cavalier and that he had never driven the Cavalier prior to January 30,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circumstances, I am unable to conclude that Tanis would have consented to others driving the Cavalier had she been asked at the time she exchanged vehicles with her father. I further conclude that given her knowledge about Karl's driving licence Tanis would not have allowed Karl to drive the Cavalier. Nor do I find in the circumstances an expectation by Tanis that in exchanging vehicles with Harvey persons other than her father would drive her vehicle. I accept the evidence of Tanis, finding her testimony logical, credible and supported in certain key areas by the evidence of her father and Karl.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find in the circumstances that Tanis Lawrence did not give her express or implied consent to Karl Lawrence to drive her car and, accordingly, I dismiss these three actions against the defendant Tanis Lawrence.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Counsel shall arrange with the trial coordinator to speak to the issue of costs which they agreed should await the filing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BLAIR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1"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Lowden v. Rajendra, [2000] B.C.J. No. 1551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Lamperson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30,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July 19, 2000.</w:t>
      </w:r>
    </w:p>
    <w:p>
      <w:pPr>
        <w:spacing w:before="120" w:line="260" w:lineRule="atLeast"/>
        <w:jc w:val="center"/>
        <w:rPr>
          <w:lang w:val="en-US" w:eastAsia="en-US" w:bidi="ar-SA"/>
        </w:rPr>
      </w:pPr>
      <w:r>
        <w:rPr>
          <w:rFonts w:ascii="arial" w:eastAsia="arial" w:hAnsi="arial" w:cs="arial"/>
          <w:color w:val="000000"/>
          <w:sz w:val="20"/>
          <w:lang w:val="en-US" w:eastAsia="en-US" w:bidi="ar-SA"/>
        </w:rPr>
        <w:t>Chilliwack Registry No. S7596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1551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1106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98 A.C.W.S. (3d) 306</w:t>
      </w:r>
    </w:p>
    <w:p>
      <w:pPr>
        <w:spacing w:before="120" w:line="260" w:lineRule="atLeast"/>
        <w:rPr>
          <w:lang w:val="en-US" w:eastAsia="en-US" w:bidi="ar-SA"/>
        </w:rPr>
      </w:pPr>
      <w:r>
        <w:rPr>
          <w:rFonts w:ascii="arial" w:eastAsia="arial" w:hAnsi="arial" w:cs="arial"/>
          <w:color w:val="000000"/>
          <w:sz w:val="20"/>
          <w:lang w:val="en-US" w:eastAsia="en-US" w:bidi="ar-SA"/>
        </w:rPr>
        <w:t>Between Roger Lowden, plaintiff, and Ravindra Rajendra, Mekala Rajendra, Caroline McCallum, Trevor Brown-Miller doing business as Consumer's Choice Carpet Care and the said Trevor Brown-Miller, defendants, and Caroline McCallum, Trevor Brown-Miller doing business as Consumer's Choice Carpet Care, and the said Trevor Brown-Miller,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62" style="position:absolute;z-index:25168896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78" w:name="Keywords_27"/>
      <w:bookmarkEnd w:id="178"/>
      <w:r>
        <w:rPr>
          <w:rFonts w:ascii="arial" w:eastAsia="arial" w:hAnsi="arial" w:cs="arial"/>
          <w:b/>
          <w:color w:val="000000"/>
          <w:sz w:val="20"/>
          <w:lang w:val="en-US" w:eastAsia="en-US" w:bidi="ar-SA"/>
        </w:rPr>
        <w:t xml:space="preserve">Torts — Occupiers' liability for dangerous premises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occupier — Floors.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79" w:name="Case Summary_24"/>
            <w:bookmarkEnd w:id="17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Motion by each of the defendants and by the third party for an order dismissing Lowden's claim. Lowden claimed damages for personal injuries he sustained when he slipped and fell on a wet linoleum floor in a house rented by the defendant McCallum and owned by the defendants Rajendra, who lived in Mississauga. The Rajendras entered into a property management agreement with Century 21 which employed Nelson to look after the property. Finding a problem with water leakage, Nelson hired the third party Brown-Miller to determine the source of the problem and extract water from the carpets. Brown-Miller determined that a leaking pipe was the cause, repaired it and extracted water from the carpet. He indicated that it took 12 to 15 hours for a carpet to dry, but the underlay took several days. Compression of the underlay would bring moisture to the surface. McCallum decided to move in shortly afterwards, before the water in the underlay was completely dry. Lowden was assisting her with moving. As he was pulling a heavy item into the house, he slipped and fell on the floor. It appeared that the walking back and forth over the carpet caused the moisture to surface and be tracked onto the linoleum in the hallway. All of the parties including Lowden were aware of the water problem in the house. The main issue was whether the action could be resolved at this stage on a Rule 18A motion. Brown-Miller was being sued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McCallum and the Rajendras were sued as occupiers, for failing to ensure that the floors were safe. </w:t>
            </w:r>
            <w:r>
              <w:rPr>
                <w:lang w:val="en-US" w:eastAsia="en-US" w:bidi="ar-SA"/>
              </w:rPr>
              <w:cr/>
            </w:r>
          </w:p>
          <w:p>
            <w:pPr>
              <w:spacing w:before="120" w:line="260" w:lineRule="atLeast"/>
              <w:ind w:left="240"/>
              <w:jc w:val="both"/>
              <w:rPr>
                <w:lang w:val="en-US" w:eastAsia="en-US" w:bidi="ar-SA"/>
              </w:rPr>
            </w:pPr>
            <w:bookmarkStart w:id="180" w:name="Holdings of Court_21"/>
            <w:bookmarkEnd w:id="180"/>
            <w:r>
              <w:rPr>
                <w:rFonts w:ascii="arial" w:eastAsia="arial" w:hAnsi="arial" w:cs="arial"/>
                <w:color w:val="000000"/>
                <w:sz w:val="20"/>
                <w:lang w:val="en-US" w:eastAsia="en-US" w:bidi="ar-SA"/>
              </w:rPr>
              <w:t>HELD: Motion granted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claim against Brown-Miller was allowed in that he was unaware of the moving in date and if he had been advised, he may well have taken other steps to eliminate the water. What he did under the circumstances was reasonable. The claim against the other parties could not be determined at this point. Much depended upon the wetness of the carpet and what each party was told. It could also be that Lowden was contributorily negligent. A full trial as to the Rajendras' and McCallum's liability was warranted. </w:t>
            </w:r>
            <w:r>
              <w:rPr>
                <w:lang w:val="en-US" w:eastAsia="en-US" w:bidi="ar-SA"/>
              </w:rPr>
              <w:cr/>
            </w:r>
          </w:p>
          <w:p>
            <w:pPr>
              <w:rPr>
                <w:lang w:val="en-US" w:eastAsia="en-US" w:bidi="ar-SA"/>
              </w:rPr>
            </w:pPr>
          </w:p>
        </w:tc>
      </w:tr>
    </w:tbl>
    <w:p>
      <w:pPr>
        <w:jc w:val="both"/>
        <w:rPr>
          <w:lang w:val="en-US" w:eastAsia="en-US" w:bidi="ar-SA"/>
        </w:rPr>
      </w:pPr>
      <w:bookmarkStart w:id="181" w:name="Legislation Cited_15"/>
      <w:bookmarkEnd w:id="18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63" style="position:absolute;z-index:2517401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British Columbia Supreme Court Rules, Rule 18A, Occupiers' Liability Act, </w:t>
      </w:r>
      <w:hyperlink r:id="rId489" w:history="1">
        <w:r>
          <w:rPr>
            <w:rFonts w:ascii="arial" w:eastAsia="arial" w:hAnsi="arial" w:cs="arial"/>
            <w:i/>
            <w:color w:val="0077CC"/>
            <w:sz w:val="20"/>
            <w:u w:val="single"/>
            <w:shd w:val="clear" w:color="auto" w:fill="FFFFFF"/>
            <w:lang w:val="en-US" w:eastAsia="en-US" w:bidi="ar-SA"/>
          </w:rPr>
          <w:t>R.S.B.C. 1996, c. 337, s. 6</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Residential Tenancy Act, </w:t>
      </w:r>
      <w:hyperlink r:id="rId490" w:history="1">
        <w:r>
          <w:rPr>
            <w:rFonts w:ascii="arial" w:eastAsia="arial" w:hAnsi="arial" w:cs="arial"/>
            <w:i/>
            <w:color w:val="0077CC"/>
            <w:sz w:val="20"/>
            <w:u w:val="single"/>
            <w:shd w:val="clear" w:color="auto" w:fill="FFFFFF"/>
            <w:lang w:val="en-US" w:eastAsia="en-US" w:bidi="ar-SA"/>
          </w:rPr>
          <w:t>R.S.B.C. 1996, c. 406</w:t>
        </w:r>
      </w:hyperlink>
      <w:r>
        <w:rPr>
          <w:rFonts w:ascii="arial" w:eastAsia="arial" w:hAnsi="arial" w:cs="arial"/>
          <w:color w:val="000000"/>
          <w:sz w:val="20"/>
          <w:lang w:val="en-US" w:eastAsia="en-US" w:bidi="ar-SA"/>
        </w:rPr>
        <w:t>.</w:t>
      </w:r>
      <w:r>
        <w:rPr>
          <w:lang w:val="en-US" w:eastAsia="en-US" w:bidi="ar-SA"/>
        </w:rPr>
        <w:cr/>
      </w:r>
    </w:p>
    <w:p>
      <w:pPr>
        <w:keepNext/>
        <w:spacing w:before="240" w:line="340" w:lineRule="atLeast"/>
        <w:rPr>
          <w:lang w:val="en-US" w:eastAsia="en-US" w:bidi="ar-SA"/>
        </w:rPr>
      </w:pPr>
      <w:bookmarkStart w:id="182" w:name="Counsel_29"/>
      <w:bookmarkEnd w:id="182"/>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4" style="position:absolute;z-index:2517913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M.D. Skira, for the plaintiff. D.H. Dunsmuir, for the defendant/third party, Trevor Brown-Miller. L. Krebs, for the defendant/third party, Caroline McCallum. A. Maragos, for the defendants, Ravindra Rajendra and Mekala Rajendra.</w:t>
      </w:r>
      <w:r>
        <w:rPr>
          <w:lang w:val="en-US" w:eastAsia="en-US" w:bidi="ar-SA"/>
        </w:rPr>
        <w:cr/>
      </w:r>
    </w:p>
    <w:p>
      <w:pPr>
        <w:spacing w:after="240"/>
        <w:rPr>
          <w:lang w:val="en-US" w:eastAsia="en-US" w:bidi="ar-SA"/>
        </w:rPr>
      </w:pPr>
      <w:bookmarkStart w:id="183" w:name="Judgment_28"/>
      <w:bookmarkEnd w:id="183"/>
      <w:r>
        <w:pict>
          <v:line id="_x0000_s1165" style="position:absolute;z-index:251839488" from="0,12pt" to="512pt,12pt" strokecolor="#009ddb" strokeweight="1.5pt">
            <v:stroke linestyle="single"/>
          </v:line>
        </w:pict>
      </w:r>
    </w:p>
    <w:p>
      <w:pPr>
        <w:spacing w:before="120" w:line="240" w:lineRule="atLeast"/>
        <w:ind w:firstLine="240"/>
        <w:rPr>
          <w:lang w:val="en-US" w:eastAsia="en-US" w:bidi="ar-SA"/>
        </w:rPr>
      </w:pPr>
      <w:r>
        <w:rPr>
          <w:rFonts w:ascii="arial" w:eastAsia="arial" w:hAnsi="arial" w:cs="arial"/>
          <w:color w:val="000000"/>
          <w:sz w:val="18"/>
          <w:lang w:val="en-US" w:eastAsia="en-US" w:bidi="ar-SA"/>
        </w:rPr>
        <w:t>[Quicklaw note: A Corrigendum was released by the Court August 31, 2000. The Corrigendum is appended to this document.]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84" w:name="LAMPERSON J."/>
            <w:bookmarkEnd w:id="184"/>
            <w:r>
              <w:rPr>
                <w:rFonts w:ascii="arial" w:eastAsia="arial" w:hAnsi="arial" w:cs="arial"/>
                <w:b/>
                <w:color w:val="000000"/>
                <w:sz w:val="30"/>
                <w:lang w:val="en-US" w:eastAsia="en-US" w:bidi="ar-SA"/>
              </w:rPr>
              <w:t>LAMPERSON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Roger Lowden, seeks damages for injuries received when he slipped and fell on the linoleum floor in the small foyer of a house rented by the defendant, Ms. Caroline McCallum, and owned by the defendants, Mr. and Mrs. Rajendra. Each of the defendants and the third party, Mr. Trevor Brown-Miller, have applied separately under Rule 18A to have the plaintiff's action dismissed on the basis that all the necessary information is before this court.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Rajendras live in Missisauga, Ontario. Because the house in question is in Abbotsford, they entered into a property management agreement with Century 21 Ace Agencies Ltd. ("Century 21"). That agreement was administered by Ms. Andrea Nelson, an employee of Century 21. The house was vacant during September 1996. On September 24, 1996, another employee of Century 21, who had checked the house, informed Ms. Nelson that there was water on the entrance hall floor.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was around this time that the defendant, Ms. McCallum, decided to rent the house for herself and her three children as of October 1, 1996. On September 26th Ms. Nelson gave the key for the house to Ms. McCallum's mother, Ms. Walliser, who wanted to clean the premises for her daughter. Ms. Nelson told Mrs. Walliser to call her if she found water in the house. Ms. Walliser called Ms. Nelson within an hour to say that the carpets were wet. Ms. Nelson replied that the problem would be attended to. Ms. Walliser also informed her daughter of the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Nelson promptly telephoned Mr. Trevor Brown-Miller of Consumer's Choice Carpet Care ("Brown-Miller") and asked him to check for the source of the problem and to extract the water from the carpets.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When Mr. Brown-Miller, who is also a handyman, attended at the premises later that day, he noted water in the living room carpet and on the linoleum floor in the foyer. The cause was a leaking pipe in the bathroom wall. A plumber repaired the pipe on September 27th. Mr. Brown-Miller then repaired drywall that had been cut out of the wall and replaced a portion of siding that had been removed when the plumbing was re-routed. He again extracted water from the carpet. On September 28th he returned to the house to do the same. There was no water on the linoleum floor in the foyer when he left.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According to him carpets take 12 to 15 hours to dry, but underlay, if wet, takes several days to dry. He said that the carpet would feel damp and that compression of the underlay would bring moisture to the surface of the carpet. He also deposed that endeavouring to extract all moisture from the underlay would mean risking damage to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McCallum decided to move into the house on September 29th because her friend, the plaintiff Mr. Roger Lowden, and his wife were available to help her. When Ms. McCallum, her parents, the Lowdens, and their respective children (numbering approximately 10 people) arrived at the residence, all, except for the plaintiff, went into the house. Ms. McCallum did not notice whether the carpets were damp.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Approximately 15 minutes later Mr. Lowden, who had not been in the house, was pulling a heavy dresser on a dolly over the threshold into the hallway. He slipped and fell heavily onto the floor. When Ms. McCallum knelt down to assist him she noticed that the carpet was wet and that the linoleum floor was damp. It seems that people walking back and forth across the carpet caused water from the underlay to reach the surface of the carpet which was then tracked onto the linoleum floor in the foyer thereby making it very slippery.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should be noted that all parties including the plaintiff knew of the water problem in the 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Mr. and Mrs. Rajendra are being sued under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and the Residential Tenancy Act </w:t>
      </w:r>
      <w:hyperlink r:id="rId490" w:history="1">
        <w:r>
          <w:rPr>
            <w:rFonts w:ascii="arial" w:eastAsia="arial" w:hAnsi="arial" w:cs="arial"/>
            <w:i/>
            <w:color w:val="0077CC"/>
            <w:sz w:val="20"/>
            <w:u w:val="single"/>
            <w:shd w:val="clear" w:color="auto" w:fill="FFFFFF"/>
            <w:lang w:val="en-US" w:eastAsia="en-US" w:bidi="ar-SA"/>
          </w:rPr>
          <w:t>R.S.B.C. 1996 c. 406</w:t>
        </w:r>
      </w:hyperlink>
      <w:r>
        <w:rPr>
          <w:rFonts w:ascii="arial" w:eastAsia="arial" w:hAnsi="arial" w:cs="arial"/>
          <w:color w:val="000000"/>
          <w:sz w:val="20"/>
          <w:lang w:val="en-US" w:eastAsia="en-US" w:bidi="ar-SA"/>
        </w:rPr>
        <w:t>, for failing to ensure that the house was reasonably safe.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McCallum is being sued under the Occupiers' Liability Act for failing to ensure that the floors were safe and for failing to warn the plaintiff of the hazard.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defendant Trevor Brown-Miller is being sued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issue is whether this matter can be resolved under Rule 18A. Much turns on how wet the carpet was on September 29th and what each of the parties should or should not have known.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McCallum contends firstly that she was not an occupier within the meaning of the Occupiers' Liability Act because she had not yet taken possession of the premises. Secondly she says that if she was an occupier she did not know how dangerous the floor was, and that therefore she is not in breach of the duty of care imposed on an occupier with respect to persons who enter the premises. I am inclined to the view that she should have checked the carpets and that she was an occupier because by moving her furniture into the house she took control of the premises even though the lease agreement was not yet in effect.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alleged that Rajendras were occupiers, but even if not, they could be liable pursuant to s. 6 of the Occupiers Liability Act if under the tenancy agreement they were responsible for maintenance and had the duty to make repairs. Furthermore, the Rajendras, although not directly involved, were represented by their agent Century 21 and may therefore be vicariously liable if Century 21 failed to discharge the responsibilities imposed upon the landlord by virtue of the Occupiers' Liability Act and the Residential Tenancy Act. Those responsibilities include of course, having in place a proper system of inspection and properly supervising the work of independant contractors.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Brown-Miller was not told that the premises would be occupied on September 29th. Century 21, as agent of Mr. and Mrs. Rajendra, may have known this and should have either advised the defendant McCallum of the hazardous condition or told Mr. Brown-Miller that people would be moving into the house on September 29th. In those circumstances, Mr. Brown-Miller might have taken further steps to dry the floors or advised Century 21 that the house was not ready for occupancy. The evidence as it pertains to Mr. Brown-Miller seems clear. He did what was reasonable in the circumstances. He had no reason to believe that people would be moving furniture into the house on September 29th. He did nothing unusual. Consequently his application for the dismissal of the plaintiff's claim against him is dismissed with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With respect to the other defendants, much turns on the wetness of the carpet and what each party told the other. It may also be that the plaintiff was contributorily negligent. Although the circumstances surrounding the accident seem fairly simple it is, in my opinion, not a situation that can be resolved under Rule 18A because the outcome may well turn on detailed evidence which should be subject to cross-examination. For those reasons that I have decided that the matter should go to a full trial insofar as the Rajendras and McCallum are concerned.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costs pertaining to the applications by McCallum and Rajendra should be dealt with by the trial judge who will be in a better position to assess the merits of the two applications.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LAMPERSON J.</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 * *</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CORRIGENDUM</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Released: August 31, 2000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[1] Counsel have quite rightly advised me that my decision with respect to the third party, Mr. Brown-Miller, is not as clear as it should be. I intended to dismiss all claims against Mr. Brown-Miller. It follows that the Rule 18A applications against him by the other parties are dismissed and that his Rule 18A application is allowed. He is to have his costs. There is a question as to whether Mr. Brown-Miller is entitled to double costs. The parties are at liberty to appear before me if they cannot resolve that issue.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[2] Mr. Maragos suggested that when making my decision I failed to consider Mr. Brown-Miller's discovery evidence to the effect that he knew that people would be coming into the residence to do some cleaning. I have considered that evidence and am satisfied that my decision should remain the same.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LAMPERSON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Neufeld v. McCrae, [2008] B.C.J. No. 773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and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Dickson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16-18, June 6, 29, October 18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November 22,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S0015648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773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539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66 M.V.R. (5th) 311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166 A.C.W.S. (3d) 402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Karen Angela Neufeld, Plaintiff, and Karen Leigh McCrae,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7"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5" w:name="Keywords_28"/>
      <w:bookmarkEnd w:id="18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Liability of driver — Rules of the road — Action by the plaintiff, Neufeld, for damages for personal injuries sustained in a motor vehicle accident allowed in part — Neufeld misjudged the defendant McCrae's distance and speed and thus failed to recognize and yield to an approaching vehicle that constituted an immediate hazard — Therefore, Neufeld was negligent and 75 per cent liable — McCrae was 25 per cent liable as she was speeding and did not brake when she first saw Neufeld — Motor Vehicle Act, s. 175(1).</w:t>
      </w:r>
    </w:p>
    <w:p>
      <w:pPr>
        <w:jc w:val="both"/>
        <w:rPr>
          <w:rFonts w:ascii="arial" w:eastAsia="arial" w:hAnsi="arial" w:cs="arial"/>
          <w:sz w:val="20"/>
          <w:lang w:val="en-US" w:eastAsia="en-US" w:bidi="ar-SA"/>
        </w:rPr>
      </w:pPr>
      <w:bookmarkStart w:id="186" w:name="Legislation Cited_16"/>
      <w:bookmarkEnd w:id="1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8"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98" w:history="1">
        <w:r>
          <w:rPr>
            <w:rFonts w:ascii="arial" w:eastAsia="arial" w:hAnsi="arial" w:cs="arial"/>
            <w:i/>
            <w:color w:val="0077CC"/>
            <w:sz w:val="20"/>
            <w:u w:val="single"/>
            <w:shd w:val="clear" w:color="auto" w:fill="FFFFFF"/>
            <w:lang w:val="en-US" w:eastAsia="en-US" w:bidi="ar-SA"/>
          </w:rPr>
          <w:t>R.S.B.C. 1996, c. 318, s. 119(1)</w:t>
        </w:r>
      </w:hyperlink>
      <w:r>
        <w:rPr>
          <w:rFonts w:ascii="arial" w:eastAsia="arial" w:hAnsi="arial" w:cs="arial"/>
          <w:color w:val="000000"/>
          <w:sz w:val="20"/>
          <w:lang w:val="en-US" w:eastAsia="en-US" w:bidi="ar-SA"/>
        </w:rPr>
        <w:t>, s. 144(1), s. 175(1), s. 175(2), s. 186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7" w:name="Counsel_30"/>
      <w:bookmarkEnd w:id="18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9"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David C. Sliman.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Carla A. Bekkering.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8" w:name="Judgment_29"/>
      <w:bookmarkEnd w:id="188"/>
      <w:r>
        <w:pict>
          <v:line id="_x0000_s1170"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9" w:name="G. DICKSON J."/>
            <w:bookmarkEnd w:id="189"/>
            <w:r>
              <w:rPr>
                <w:rFonts w:ascii="arial" w:eastAsia="arial" w:hAnsi="arial" w:cs="arial"/>
                <w:b/>
                <w:color w:val="000000"/>
                <w:sz w:val="30"/>
                <w:lang w:val="en-US" w:eastAsia="en-US" w:bidi="ar-SA"/>
              </w:rPr>
              <w:t>G. DICKSON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Karen Neufeld, claims damages for personal injuries sustained in a motor vehicle accident on April 24, 2003. The defendant, Karen McCrae, contests both liability and damages. By agreement, the issue of liability was tried alone with the quantum of damages to be assessed later,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Neufeld was driving northbound across Peardonville Road in Abbotsford, British Columbia at the off-set intersection of Lynden Street when she was struck by Ms. McCrae, who was driving westbound on Peardonville. Ms. Neufeld sustained multiple facial fractures and other injuries in the accident and claims, as a result, to have suffered significant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November 22, 2007 I gave judgment and held that liability should be apportioned between the parties. I found that Ms. Neufeld was 75% responsible for the accident and Ms. McCrae was 25% responsible. These are my reasons for coming to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for determination are:</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accident occur at an intersection within the meaning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is responsible for the accident and to what extent?</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weight, if any, should be given to the expert evidence of Kurt Ising, an engineer called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Neufeld was a 39 year old homemaker at the time of the accident. Just prior to its occurrence, she had dropped her eldest daughter at a piano lesson and was driving her husband's 1997 Toyota RAV4 northbound on Lynden en route to a local mall. Ms. Neufeld was familiar with the off-set intersection at Peardonville and Lynden and was not in a particular hurry.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McCrae was a 31 year old caterer at the time of the accident. Just prior to its occurrence, she had purchased groceries for her catering truck and was driving her 1987 Chevrolet Blazer westbound on Peardonville en route home. She, too, was familiar with the off-set intersection and was not in a particular hurry.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accident occurred at approximately 3:45 p.m. on April 24, 2003. It was raining and the roads were wet. Traffic was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Peardonville Road has two eastbound and two westbound lanes. The lanes of opposing traffic are separated by a solid yellow line. There is no traffic control on Peardonville where it intersects with Lynden.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Lynden Street has one northbound land and one southbound lane which are unmarked. Traffic is controlled by stop signs where it intersects with Peardonville.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portions of Lynden Street to the north and south of Peardonville are not precisely aligned. Rather, the northern portion is offset 16.4 meters to the east of the southern portion. For this reason, traffic crossing Peardonville through the off-set intersection must travel both east and north to get from the southern portion of Lynden to the northern portion.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April, 2003 there were trees and bushes overhanging the stop sign located on the southeast corner of Lynden. They obscured the view for and of drivers stopped at the stop sign. The have since been cut back and, as a result, visibility in the stop sign area has been significantly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a result of its off-set alignment and the overhanging trees the intersection at Lynden and Peardonville was unusually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Beaver Street and Adelaide Road also intersect Peardonville Road. From the perspective of northbound traffic on Lynden they are located to the east. Beaver is closer to Lynden than Adelaide, approximately 265 feet from the off-set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a driveway on the north side of Peardonville near the off-set intersection, approximately 60 feet from Lynden. There is a power pole at the northwest corner on Peardonville at Lynden.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Peardonville is a well travelled street. It is flat in the area of the off-set intersection, but east of Adelaide there is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Neufeld's and Ms. McCrae's accounts of what transpired immediately prior to the accident differ. There were no independent witnesses to these events. The key factual questions that emerge relate to whether Ms. Neufeld stopped at the stop sign before entering Peardonville, her observations, path and speed as she crossed, the location of the point of impact, Ms. McCrae's speed as she approached the intersection, and the evasive action taken by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resolving these factual questions I am satisfied that, despite their differing accounts, neither Ms. Neufeld nor Ms. McCrae attempted to mislead the court or testified in an intentionally inaccurate manner. On the contrary, I accept that both tried honestly to reconstruct what happened from their own perspective although I do not accept that either account is entirely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Neufeld testified that she drove northbound on Lynden and stopped at the stop sign at the off-set intersection. She looked down Peardonville, first to her left and then to her right. Because of the overhanging trees her visibility was obscured and, knowing caution was required, she proceeded forward, stopped again, and looked to the left and the right. On the second stop, she noticed the McCrae vehicle proceeding toward her westbound in the center lane on Peardonville.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Neufeld was unsure of the McCrae vehicle's exact location when she first saw it. She stated that it was near Adelaide, a "safe distance" away. She could not estimate the speed of the approaching McCrae vehicle but, believing it was safe to do so, she entered the off-set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According to Ms. Neufeld, she watched the road as she drove across Peardonville at a normal rate of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When Ms. Neufeld reached the center westbound lane of Peardonville she saw, in her peripheral vision, the McCrae vehicle very close to the back fender of her own. She testified that it was speeding at the time. Ms. Neufeld tried to avoid the collision by accelerating, but it was too 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right front corner of the McCrae vehicle struck the right rear end of the Neufeld vehicle, which rotated and struck the power pole.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McCrae disputes Ms. Neufeld's assertion that she stopped at the stop sign on Lynden. She testified that, as she drove westbound past Adelaide, she saw the Neufeld vehicle behind the bushes and noticed that it failed to stop. Instead, according to Ms. McCrae, it rolled directly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Despite Ms. McCrae's testimony, I find that Ms. Neufeld did stop at the stop sign on Lynden when she arrived at the off-set intersection. As she stated, she looked to her left and her right. Because of the overhanging trees, however, Ms. Neufeld and Ms. McCrae did not see one another at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also find that Ms. Neufeld proceeded slowly forward after she stopped and glanced again to the left and the right. On this occasion, however, she did not stop completely. Rather, she performed a second, rolling stop as she entered Peardonville. This was the stop observed by Ms. McCrae.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When Ms. Neufeld glanced to her right on the second occasion she saw the McCrae vehicle approaching, westbound on Peardonville. It had passed Adelaide when she noticed it, but it is not possible for a precise finding to be made regarding its location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What is clear, however, is that Ms. Neufeld misjudged the distance and speed at which Ms. McCrae was traveling toward her. When she first saw it, I conclude that the McCrae vehicle was closer and traveling faster than she thought.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McCrae testified that she was traveling at the speed limit as she drove westbound on Peardonville. She was unsure of the speed limit, however; at one point she thought it was 50 kilometres per hour, at another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Taking into account all of the evidence, I find that Ms. McCrae was speeding slightly as she proceeded westbound on Peardonville toward the off-set intersection. Although I cannot make a precise finding regarding her speed, I conclude that it was somewhat in excess of 55 kilometres per hour. In arriving at this conclusion I note that traffic was light and Ms. McCrae had just come down a hill. In addition, she was, I find, traveling in 4th gear and reached the off-set intersection more quickly than Ms. Neufeld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McCrae saw Ms. Neufeld at approximately the same time that Ms. Neufeld saw her. She was concerned by Ms. Neufeld's rolling stop, but did not begin immediately to brake. Instead, she "covered" her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McCrae did not brake immediately when she saw the Neufeld vehicle because it was not immediately obvious to her that Ms. Neufeld was intending to cross the intersection. By the time Ms. McCrae arrived at the driveway on Peardonville, however, this had become clear: Ms. Neufeld was in front of her, in the center westbound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When Ms. McCrae realised that Ms. Neufeld was attempting to cross Peardonville she geared down repeatedly, hit her brakes, and tried to swerve. Although she slowed considerably, she was unable to avoid colliding with the Neufeld vehicle. At the time of impact, I find that she had slowed to approximately 20 to 30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point of impact was the centre westbound lane of Peardonville at approximately the centre area of the northern portion of Lynden. The parties almost managed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Did the accident occur at an intersection within the meaning of the </w:t>
      </w:r>
      <w:r>
        <w:rPr>
          <w:rFonts w:ascii="arial" w:eastAsia="arial" w:hAnsi="arial" w:cs="arial"/>
          <w:b/>
          <w:i/>
          <w:color w:val="000000"/>
          <w:sz w:val="20"/>
          <w:lang w:val="en-US" w:eastAsia="en-US" w:bidi="ar-SA"/>
        </w:rPr>
        <w:t>Motor Vehicle Act</w:t>
      </w:r>
      <w:r>
        <w:rPr>
          <w:rFonts w:ascii="arial" w:eastAsia="arial" w:hAnsi="arial" w:cs="arial"/>
          <w:i/>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i/>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Section 119(1)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intersection</w:t>
      </w:r>
      <w:r>
        <w:rPr>
          <w:rFonts w:ascii="arial" w:eastAsia="arial" w:hAnsi="arial" w:cs="arial"/>
          <w:color w:val="000000"/>
          <w:sz w:val="20"/>
          <w:lang w:val="en-US" w:eastAsia="en-US" w:bidi="ar-SA"/>
        </w:rPr>
        <w:t>" means the area embraced within the prolongation or connection of the lateral curb lines, or if none, then the lateral boundary lines of the roadways of the 2 highways that join one another at or approximately at right angles, or the area within which vehicles travelling on different highways joining at any other angle may come in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Ms. McCrae submits that the junction of the truncations of Lynden Street does not form an intersection pursuant to this definition. In support, she relies on </w:t>
      </w:r>
      <w:r>
        <w:rPr>
          <w:rFonts w:ascii="arial" w:eastAsia="arial" w:hAnsi="arial" w:cs="arial"/>
          <w:b/>
          <w:i/>
          <w:color w:val="000000"/>
          <w:sz w:val="20"/>
          <w:lang w:val="en-US" w:eastAsia="en-US" w:bidi="ar-SA"/>
        </w:rPr>
        <w:t>Feballorin v. Peterson</w:t>
      </w:r>
      <w:r>
        <w:rPr>
          <w:rFonts w:ascii="arial" w:eastAsia="arial" w:hAnsi="arial" w:cs="arial"/>
          <w:color w:val="000000"/>
          <w:sz w:val="20"/>
          <w:lang w:val="en-US" w:eastAsia="en-US" w:bidi="ar-SA"/>
        </w:rPr>
        <w:t xml:space="preserve"> February 10, 1993, BCSC, in which Trainor J. concluded that a somewhat similar off-set intersection at Cambie Street and 21st Avenue in Vancouver did not meet the statutory definition in place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focus of analysis in </w:t>
      </w:r>
      <w:r>
        <w:rPr>
          <w:rFonts w:ascii="arial" w:eastAsia="arial" w:hAnsi="arial" w:cs="arial"/>
          <w:b/>
          <w:i/>
          <w:color w:val="000000"/>
          <w:sz w:val="20"/>
          <w:lang w:val="en-US" w:eastAsia="en-US" w:bidi="ar-SA"/>
        </w:rPr>
        <w:t>Feballorin</w:t>
      </w:r>
      <w:r>
        <w:rPr>
          <w:rFonts w:ascii="arial" w:eastAsia="arial" w:hAnsi="arial" w:cs="arial"/>
          <w:color w:val="000000"/>
          <w:sz w:val="20"/>
          <w:lang w:val="en-US" w:eastAsia="en-US" w:bidi="ar-SA"/>
        </w:rPr>
        <w:t xml:space="preserve"> was whether the plaintiff, a pedestrian, crossed at a marked crosswalk and the intersection at issue was not identical to that in the case at bar. On the evidence in this case, I am satisfied that the off-set intersection falls within the definition of intersection in s. 119(1)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 definition contemplates intersections configured at other than at precisely right angles and the northern and southern portions of Lynden are approximately, though not precisely, aligned.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Who is responsible for the accident and to what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Sections 186, 175(1) and (2), and 144(1)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 as follows:</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when a peace officer directs otherwise, if there is a stop sign at an intersection, a driver of a vehicle must stop</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marked stop line, if any,</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entering the marked crosswalk on the near side of the intersection, or</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there is neither a marked crosswalk nor a stop line, before entering the intersection, at the point nearest the intersecting highway from which the driver has a view of approaching traffic on the intersection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that is about to enter a through highway has stopped in compliance with section 186,</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entering a through highway in compliance with subsection (1), traffic approaching the intersection on the highway must yield the right of way to the entering vehicle while it is proceeding into or across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drive a motor vehicle on a highway</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leading authority as to when an approaching vehicle constitutes an "immediate hazard" is </w:t>
      </w:r>
      <w:r>
        <w:rPr>
          <w:rFonts w:ascii="arial" w:eastAsia="arial" w:hAnsi="arial" w:cs="arial"/>
          <w:b/>
          <w:i/>
          <w:color w:val="000000"/>
          <w:sz w:val="20"/>
          <w:lang w:val="en-US" w:eastAsia="en-US" w:bidi="ar-SA"/>
        </w:rPr>
        <w:t>Raie v. Thorpe</w:t>
      </w:r>
      <w:r>
        <w:rPr>
          <w:rFonts w:ascii="arial" w:eastAsia="arial" w:hAnsi="arial" w:cs="arial"/>
          <w:color w:val="000000"/>
          <w:sz w:val="20"/>
          <w:lang w:val="en-US" w:eastAsia="en-US" w:bidi="ar-SA"/>
        </w:rPr>
        <w:t xml:space="preserve"> (1963), 43 W.W.R. 405, a left turn case. In </w:t>
      </w:r>
      <w:r>
        <w:rPr>
          <w:rFonts w:ascii="arial" w:eastAsia="arial" w:hAnsi="arial" w:cs="arial"/>
          <w:b/>
          <w:i/>
          <w:color w:val="000000"/>
          <w:sz w:val="20"/>
          <w:lang w:val="en-US" w:eastAsia="en-US" w:bidi="ar-SA"/>
        </w:rPr>
        <w:t>Raie</w:t>
      </w:r>
      <w:r>
        <w:rPr>
          <w:rFonts w:ascii="arial" w:eastAsia="arial" w:hAnsi="arial" w:cs="arial"/>
          <w:color w:val="000000"/>
          <w:sz w:val="20"/>
          <w:lang w:val="en-US" w:eastAsia="en-US" w:bidi="ar-SA"/>
        </w:rPr>
        <w:t>, Tysoe J.A. stated at p. 410: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propose to attempt an exhaustive definition of "immediate hazard". For the purposes of this appeal it is sufficient for me to say that, in my opinion, if an approaching car is so close to the intersection when a driver attempts to make a left turn that a collision threatens unless there be some violent or sudden avoiding action on the part of the driver of the approaching car, the approaching car is an "immediate hazard" within the meaning of section 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question of immediate hazard and right of way is to be assessed in the moment before the driver proposing to make the manoeuvre at issue commences to make it: </w:t>
      </w:r>
      <w:r>
        <w:rPr>
          <w:rFonts w:ascii="arial" w:eastAsia="arial" w:hAnsi="arial" w:cs="arial"/>
          <w:b/>
          <w:i/>
          <w:color w:val="000000"/>
          <w:sz w:val="20"/>
          <w:lang w:val="en-US" w:eastAsia="en-US" w:bidi="ar-SA"/>
        </w:rPr>
        <w:t>Raie</w:t>
      </w:r>
      <w:r>
        <w:rPr>
          <w:rFonts w:ascii="arial" w:eastAsia="arial" w:hAnsi="arial" w:cs="arial"/>
          <w:color w:val="000000"/>
          <w:sz w:val="20"/>
          <w:lang w:val="en-US" w:eastAsia="en-US" w:bidi="ar-SA"/>
        </w:rPr>
        <w:t>, pp. 413-414.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Where a dominant driver poses an immediate hazard, the burden of proof on the servient driver to cast a portion of the blame on the dominant driver is significant. In the words of Cartwright J. in </w:t>
      </w:r>
      <w:r>
        <w:rPr>
          <w:rFonts w:ascii="arial" w:eastAsia="arial" w:hAnsi="arial" w:cs="arial"/>
          <w:b/>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the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When a driver concludes that no immediate hazard is posed by oncoming traffic and commences to cross a multi-lane highway care must be taken to keep a proper lookout as each lane is crossed: </w:t>
      </w:r>
      <w:r>
        <w:rPr>
          <w:rFonts w:ascii="arial" w:eastAsia="arial" w:hAnsi="arial" w:cs="arial"/>
          <w:b/>
          <w:i/>
          <w:color w:val="000000"/>
          <w:sz w:val="20"/>
          <w:lang w:val="en-US" w:eastAsia="en-US" w:bidi="ar-SA"/>
        </w:rPr>
        <w:t>Carich v. Cook</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[1992] 90 D.L.R. (4th) 322</w:t>
        </w:r>
      </w:hyperlink>
      <w:r>
        <w:rPr>
          <w:rFonts w:ascii="arial" w:eastAsia="arial" w:hAnsi="arial" w:cs="arial"/>
          <w:color w:val="000000"/>
          <w:sz w:val="20"/>
          <w:lang w:val="en-US" w:eastAsia="en-US" w:bidi="ar-SA"/>
        </w:rPr>
        <w:t xml:space="preserve"> (BCCA) p. 326; see also </w:t>
      </w:r>
      <w:r>
        <w:rPr>
          <w:rFonts w:ascii="arial" w:eastAsia="arial" w:hAnsi="arial" w:cs="arial"/>
          <w:b/>
          <w:i/>
          <w:color w:val="000000"/>
          <w:sz w:val="20"/>
          <w:lang w:val="en-US" w:eastAsia="en-US" w:bidi="ar-SA"/>
        </w:rPr>
        <w:t>Keen v. Stene</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(1964), 44 D.L.R. (2nd) 350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If an approaching car does not present an immediate hazard when the manoeuvre at issue is commenced but later creates one the approaching driver will be held responsible for an ensuing collision: </w:t>
      </w:r>
      <w:r>
        <w:rPr>
          <w:rFonts w:ascii="arial" w:eastAsia="arial" w:hAnsi="arial" w:cs="arial"/>
          <w:b/>
          <w:i/>
          <w:color w:val="000000"/>
          <w:sz w:val="20"/>
          <w:lang w:val="en-US" w:eastAsia="en-US" w:bidi="ar-SA"/>
        </w:rPr>
        <w:t>Devidi v. Filatow</w:t>
      </w:r>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[1998] B.C.J. No. 912</w:t>
        </w:r>
      </w:hyperlink>
      <w:r>
        <w:rPr>
          <w:rFonts w:ascii="arial" w:eastAsia="arial" w:hAnsi="arial" w:cs="arial"/>
          <w:color w:val="000000"/>
          <w:sz w:val="20"/>
          <w:lang w:val="en-US" w:eastAsia="en-US" w:bidi="ar-SA"/>
        </w:rPr>
        <w:t>, (1998) CanLII 6405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Each case must be decided on its own facts. Although not identical, the facts in </w:t>
      </w:r>
      <w:r>
        <w:rPr>
          <w:rFonts w:ascii="arial" w:eastAsia="arial" w:hAnsi="arial" w:cs="arial"/>
          <w:b/>
          <w:i/>
          <w:color w:val="000000"/>
          <w:sz w:val="20"/>
          <w:lang w:val="en-US" w:eastAsia="en-US" w:bidi="ar-SA"/>
        </w:rPr>
        <w:t>Slinger v. Krakalovich</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[1996] B.C.J. No. 988</w:t>
        </w:r>
      </w:hyperlink>
      <w:r>
        <w:rPr>
          <w:rFonts w:ascii="arial" w:eastAsia="arial" w:hAnsi="arial" w:cs="arial"/>
          <w:color w:val="000000"/>
          <w:sz w:val="20"/>
          <w:lang w:val="en-US" w:eastAsia="en-US" w:bidi="ar-SA"/>
        </w:rPr>
        <w:t xml:space="preserve"> are similar to those in the case at bar in certain significant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Slinger</w:t>
      </w:r>
      <w:r>
        <w:rPr>
          <w:rFonts w:ascii="arial" w:eastAsia="arial" w:hAnsi="arial" w:cs="arial"/>
          <w:color w:val="000000"/>
          <w:sz w:val="20"/>
          <w:lang w:val="en-US" w:eastAsia="en-US" w:bidi="ar-SA"/>
        </w:rPr>
        <w:t>, the plaintiff's vehicle was struck by the defendant's truck at a highway intersection. The plaintiff had stopped at a stop sign and, seeing no oncoming traffic, proceeded into the intersection which, due to its topography, was particularly dangerous. The plaintiff stopped again in the middle of the highway and noticed the defendant's truck approaching at the speed limit of 60 kilometres per hour. She misjudged the distance between her vehicle and the truck, continued to cross and was hit at the far side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Drost J. found the plaintiff in </w:t>
      </w:r>
      <w:r>
        <w:rPr>
          <w:rFonts w:ascii="arial" w:eastAsia="arial" w:hAnsi="arial" w:cs="arial"/>
          <w:b/>
          <w:i/>
          <w:color w:val="000000"/>
          <w:sz w:val="20"/>
          <w:lang w:val="en-US" w:eastAsia="en-US" w:bidi="ar-SA"/>
        </w:rPr>
        <w:t>Slinger</w:t>
      </w:r>
      <w:r>
        <w:rPr>
          <w:rFonts w:ascii="arial" w:eastAsia="arial" w:hAnsi="arial" w:cs="arial"/>
          <w:color w:val="000000"/>
          <w:sz w:val="20"/>
          <w:lang w:val="en-US" w:eastAsia="en-US" w:bidi="ar-SA"/>
        </w:rPr>
        <w:t xml:space="preserve"> was 75% responsible for the accident and the defendant was 25% responsible. In so doing, he held that the plaintiff was negligent in failing to recognize the defendant's truck as an immediate hazard and the defendant, who was familiar with the dangers of the intersection, negligent for not acting sooner to slow down (see also </w:t>
      </w:r>
      <w:r>
        <w:rPr>
          <w:rFonts w:ascii="arial" w:eastAsia="arial" w:hAnsi="arial" w:cs="arial"/>
          <w:b/>
          <w:i/>
          <w:color w:val="000000"/>
          <w:sz w:val="20"/>
          <w:lang w:val="en-US" w:eastAsia="en-US" w:bidi="ar-SA"/>
        </w:rPr>
        <w:t>Gautreau v. Hollige</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2000 BCCA 390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noted above, I conclude that Ms. Neufeld misjudged Ms. McCrae's distance and speed when she glanced to her right and entered the off-set intersection. In so doing, she failed to recognize and yield the right of way to an approaching vehicle that constituted an immediate hazard. She also failed to monitor its progress as she crossed Peardonville. In these circumstances, she was negligent and I attribute 75% of the responsibility for the accident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Although Ms. Neufeld bears primary responsibility for the accident, a portion of the blame also falls upon Ms. McCrae. She was speeding and did not brake when she first saw Ms. Neufeld turn from Lynden onto Peardonville. Given her knowledge of the off-set intersection, it was incumbent upon her to be more careful and begin immediately to slow down. Taking into account the fact that the accident was almost avoided, I conclude that, had she done so, it would not have occurred. Accordingly, I attribute 25% of the responsibility for the accident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What weight, if any, should be given to the expert evidence of Kurt Ising, an engineer called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the course of the trial, I permitted Kurt Ising, an expert in accident reconstruction, to provide opinion evidence as to the time required for the Neufeld vehicle to reach the point of impact and the evasion potential for the McCrae vehicle. His opinion was based on factual assumptions that were not established on the evidence; for example, the speed of the McCrae vehicle, the point at which Ms. McCrae perceived the Neufeld vehicle as a hazard and her perception reaction time. In these circumstances, I attach no weight to the opinion expressed: see </w:t>
      </w:r>
      <w:r>
        <w:rPr>
          <w:rFonts w:ascii="arial" w:eastAsia="arial" w:hAnsi="arial" w:cs="arial"/>
          <w:b/>
          <w:i/>
          <w:color w:val="000000"/>
          <w:sz w:val="20"/>
          <w:lang w:val="en-US" w:eastAsia="en-US" w:bidi="ar-SA"/>
        </w:rPr>
        <w:t>Haase v. Pedro</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(1970), 21 B.C.L.R. (2d) 273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DICKSON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1"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Patterson v. Puri, [2008] B.C.J. No. 506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 Slade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7-8,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S056099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506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351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917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Tanna Patterson and Gene Zackowski, Plaintiffs, and Ravi Lal Puri, Crown Alliance Insurance Consultants Limited, Ascot Financial Services Limited, Reid Marvin Liske, Rice Financial Group Inc., Bluerock Capital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2"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0" w:name="Keywords_29"/>
      <w:bookmarkEnd w:id="190"/>
      <w:r>
        <w:rPr>
          <w:rFonts w:ascii="arial" w:eastAsia="arial" w:hAnsi="arial" w:cs="arial"/>
          <w:b/>
          <w:color w:val="000000"/>
          <w:sz w:val="20"/>
          <w:lang w:val="en-US" w:eastAsia="en-US" w:bidi="ar-SA"/>
        </w:rPr>
        <w:t>Civil litigation — Civil procedure — Injunctions — Preservation of property — Mareva injunctions — The application for an injunction restraining the defendant company from disposing of certain assets pending the trial of the action was dismissed — The facts did not place the application within exceptions to the rule that security for debt would not be ordered before judgment — There was no evidence that the company was acting for the purpose of putting assets beyond the reach of the plaintiffs if their claim succeeded — The payment of dividends to its parent company was not out of the ordinary — Moreover, the funds available were modest in relation to the damages sought.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1" w:name="Case Summary_25"/>
            <w:bookmarkEnd w:id="1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sought to restrain the defendant Ascot Financial Services Ltd. from disposing of assets pending the trial of a pending action, set for hearing in April of 2008 -- In the underlying action, the plaintiffs sought damages arising out of a misappropriation of money placed in control of the defendant Puri while he was an employee of Ascot -- The issues were whether Ascot was vicariously liable for Puri's actions, whether Ascot was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whether the defendant Liske, an officer and employee of Ascot, was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The plaintiffs argued that Ascot's actions after the discovery of the fraud evinced an intention to dissipate assets that would otherwise be available for execution -- HELD: The application was dismissed -- Based on the evidence, there was nothing untoward in the actions of the targeted defendant -- The payment of dividends to its parent company was not out of the ordinary -- Payment of deferred income to Liske upon receipt of funds from the sale of its assets would not reflect an ordinary business practice in the sense of something done routinely, but it was not unusual -- The facts did not place the application within exceptions to the rule that security for debt would not be ordered before judgment -- There was no evidence that it was acting for the purpose of putting assets beyond the reach of the plaintiffs if their claim succeeded -- Moreover, the funds available were modest in relation to the damages sought, and might properly be expended for the defence of the action as against Liske.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2" w:name="Counsel_31"/>
      <w:bookmarkEnd w:id="1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3"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K.M. Wellburn.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L.J. Zivot, M.M. Bromm.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3" w:name="Judgment_30"/>
      <w:bookmarkEnd w:id="193"/>
      <w:r>
        <w:pict>
          <v:line id="_x0000_s1174" style="position:absolute;z-index:2517934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Re Application for a </w:t>
      </w:r>
      <w:r>
        <w:rPr>
          <w:rFonts w:ascii="arial" w:eastAsia="arial" w:hAnsi="arial" w:cs="arial"/>
          <w:b/>
          <w:i/>
          <w:color w:val="000000"/>
          <w:sz w:val="20"/>
          <w:lang w:val="en-US" w:eastAsia="en-US" w:bidi="ar-SA"/>
        </w:rPr>
        <w:t>Mareva</w:t>
      </w:r>
      <w:r>
        <w:rPr>
          <w:rFonts w:ascii="arial" w:eastAsia="arial" w:hAnsi="arial" w:cs="arial"/>
          <w:b/>
          <w:color w:val="000000"/>
          <w:sz w:val="20"/>
          <w:lang w:val="en-US" w:eastAsia="en-US" w:bidi="ar-SA"/>
        </w:rPr>
        <w:t xml:space="preserve"> Injunction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4" w:name="H.A. SLADE J."/>
            <w:bookmarkEnd w:id="194"/>
            <w:r>
              <w:rPr>
                <w:rFonts w:ascii="arial" w:eastAsia="arial" w:hAnsi="arial" w:cs="arial"/>
                <w:b/>
                <w:color w:val="000000"/>
                <w:sz w:val="30"/>
                <w:lang w:val="en-US" w:eastAsia="en-US" w:bidi="ar-SA"/>
              </w:rPr>
              <w:t>H.A. SLADE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seek to restrain the defendant Ascot Financial Services Limited from disposing of assets pending the trial of the action, set for hearing in April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assets in question are funds. The bulk of these funds are the remaining proceeds from the sale of the assets of Ascot Financial to Rice Financial Group Inc. Lesser amounts have been received, or are due to, Ascot Financial due to tax and other refunds.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action seeks damages arising out of the misappropriation of money placed in the control of the defendant Puri while he was an employee of Ascot Financial. At the material times, Ascot Financial was a mutual fund dealer. The defendant Liske was an officer and employee of Ascot Financial. He was, during part of the time that Puri was an employee, Ascot Financial's compliance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no question but that Puri defrauded the plaintiffs. That is not in issue. The following matters are in issue:</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Ascot Financial vicariously liable for Puri's actions?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Ascot Financial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Liske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say that Ascot Financial's actions after the discovery of Puri's fraud evince an intention to dissipate assets that would otherwise be available for execution if the plaintiffs succeed in their action against it. Primary reliance is placed on the uncontested fact that Ascot Financial, which is a wholly-owned subsidiary of Ascot Holdings, paid substantial dividends to the parent company in 2006. Reliance is also placed on the uncontested fact that Ascot Holdings, which is controlled by Liske, has continued to pay monies to Liske as management fees and dividends.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Ascot Financial says that there is nothing sinister or even unusual about the payment of dividends to Ascot Holdings, or payment of dividends and management fees by it to Liske. It says that the payments reflect practices established long before Puri, while an employee of Ascot Financial, defrauded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On being advised of the plaintiffs' intention to apply for a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Ascot Holdings returned to Ascot Financial the dividend declared by the latter in February 2006, $145,000, and the dividend declared in September 2007, $25,300. Some of those funds have been used to defend this action, and the remaining balance is held, in trust, by the defendants' solicitors.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Ascot Financial's additional remaining assets are: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$9,000 in mutual fund holdings in an account at Rice Financial;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anticipated tax refund of approximately $12,000;</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interest in a contingency fund of approximately $37,000, held by the B.C. Securities Commission. Ascot Financial has no access to this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Ascot Financial says that the remaining balance of the dividend refunded to it by Ascot Holdings, should remain available to it for the ongoing defence of this action, in particular the defence of Liske. Such an expenditure is permitted by the Articles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sale of Ascot Financial's assets to Rice Financial pre-dated the discovery of Puri's fraud upon the plaintiffs. It was Rice Financial that discovered the fraud. Substantial dividends had been paid by Ascot Financial to Ascot Holdings in the period between the date of the agreement to sell its assets to Rice Financial and the latter's discovery of Puri's fraud. Ascot Financial also made payments to Liske in the period between the date of the sale of its assets and the discovery of the fraud. The evidence on this application indicates that the latter payments represented deferred income that had accumulated after the downturn in mutual fund sales following the events of September 11,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Ascot Financial is no longer carrying on business, and it has, at present, no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test for obtaining a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has two elements. The applicant must have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on the merits, and must establish that there is a real risk that the defendant is about to remove or dispose of his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 make no finding on the strength of the plaintiffs' case, but will assume for the purposes of this application that the plaintiffs have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As for the second element of the test, the following extract from </w:t>
      </w:r>
      <w:r>
        <w:rPr>
          <w:rFonts w:ascii="arial" w:eastAsia="arial" w:hAnsi="arial" w:cs="arial"/>
          <w:b/>
          <w:i/>
          <w:color w:val="000000"/>
          <w:sz w:val="20"/>
          <w:lang w:val="en-US" w:eastAsia="en-US" w:bidi="ar-SA"/>
        </w:rPr>
        <w:t>Aetna Financial Services Ltd. v. Feigelman</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[1985] 1 S.C.R. 2</w:t>
        </w:r>
      </w:hyperlink>
      <w:r>
        <w:rPr>
          <w:rFonts w:ascii="arial" w:eastAsia="arial" w:hAnsi="arial" w:cs="arial"/>
          <w:color w:val="000000"/>
          <w:sz w:val="20"/>
          <w:lang w:val="en-US" w:eastAsia="en-US" w:bidi="ar-SA"/>
        </w:rPr>
        <w:t xml:space="preserve"> applies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second and much higher hurdle facing the litigant seeking the exceptional order is the simple proposition that in our jurisprudence, execution cannot be obtained prior to judgment and judgment cannot be recovered before trial. Execution in this sense includes judicial orders impounding assets or otherwise restricting the rights of the defendant without a trial. This was enunciated by Cotton L.J. in </w:t>
      </w:r>
      <w:r>
        <w:rPr>
          <w:rFonts w:ascii="arial" w:eastAsia="arial" w:hAnsi="arial" w:cs="arial"/>
          <w:b/>
          <w:i/>
          <w:color w:val="000000"/>
          <w:sz w:val="20"/>
          <w:lang w:val="en-US" w:eastAsia="en-US" w:bidi="ar-SA"/>
        </w:rPr>
        <w:t>Lister &amp; Co. v. Stubbs</w:t>
      </w:r>
      <w:r>
        <w:rPr>
          <w:rFonts w:ascii="arial" w:eastAsia="arial" w:hAnsi="arial" w:cs="arial"/>
          <w:color w:val="000000"/>
          <w:sz w:val="20"/>
          <w:lang w:val="en-US" w:eastAsia="en-US" w:bidi="ar-SA"/>
        </w:rPr>
        <w:t>, [1886-90] All E.R. 797, at p. 799,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know of no case where, because it is highly probable if the action were brought the plaintiff could establish that there was a debt due to him by the defendant, the defendant has been ordered to give a security till the debt has been established by the judgment or decree.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Thus, even where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is apparent, other considerations come into play in a determination whether an order should issue that, in effect, secures all or a portion of the amount claimed. The matter is to be determined based on an assessment of the balance of justice and convenience between the parties: </w:t>
      </w:r>
      <w:r>
        <w:rPr>
          <w:rFonts w:ascii="arial" w:eastAsia="arial" w:hAnsi="arial" w:cs="arial"/>
          <w:b/>
          <w:i/>
          <w:color w:val="000000"/>
          <w:sz w:val="20"/>
          <w:lang w:val="en-US" w:eastAsia="en-US" w:bidi="ar-SA"/>
        </w:rPr>
        <w:t>Mooney v. Orr</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(1994), 100 B.C.L.R. (2d) 335</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Mooney #2</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at para.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comparable approach to a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would be to require a strong prima facie (which seems to have been favoured in </w:t>
      </w:r>
      <w:r>
        <w:rPr>
          <w:rFonts w:ascii="arial" w:eastAsia="arial" w:hAnsi="arial" w:cs="arial"/>
          <w:b/>
          <w:i/>
          <w:color w:val="000000"/>
          <w:sz w:val="20"/>
          <w:lang w:val="en-US" w:eastAsia="en-US" w:bidi="ar-SA"/>
        </w:rPr>
        <w:t>Aetna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or a good arguable case (as expounded in </w:t>
      </w:r>
      <w:r>
        <w:rPr>
          <w:rFonts w:ascii="arial" w:eastAsia="arial" w:hAnsi="arial" w:cs="arial"/>
          <w:b/>
          <w:i/>
          <w:color w:val="000000"/>
          <w:sz w:val="20"/>
          <w:lang w:val="en-US" w:eastAsia="en-US" w:bidi="ar-SA"/>
        </w:rPr>
        <w:t>Ninemia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to cross the threshold, </w:t>
      </w:r>
      <w:r>
        <w:rPr>
          <w:rFonts w:ascii="arial" w:eastAsia="arial" w:hAnsi="arial" w:cs="arial"/>
          <w:color w:val="000000"/>
          <w:sz w:val="20"/>
          <w:u w:val="single"/>
          <w:lang w:val="en-US" w:eastAsia="en-US" w:bidi="ar-SA"/>
        </w:rPr>
        <w:t>and then to balance the interests of the two parties, having regard to all the relevant factors in each case, to reach a just and convenient result</w:t>
      </w:r>
      <w:r>
        <w:rPr>
          <w:rFonts w:ascii="arial" w:eastAsia="arial" w:hAnsi="arial" w:cs="arial"/>
          <w:color w:val="000000"/>
          <w:sz w:val="20"/>
          <w:lang w:val="en-US" w:eastAsia="en-US" w:bidi="ar-SA"/>
        </w:rPr>
        <w:t>. Included in such factors will be evidence that establishes the existence of assets within British Columbia (for a domestic injunction) or outside (for a national or international injunction) and a real risk of their disposal or dissipation so as to render nugatory any judgment.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Silver Standard Resources Inc. v. Joint Stock Co. Geolog</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(1998), 59 B.C.L.R. (3d) 196</w:t>
        </w:r>
      </w:hyperlink>
      <w:r>
        <w:rPr>
          <w:rFonts w:ascii="arial" w:eastAsia="arial" w:hAnsi="arial" w:cs="arial"/>
          <w:color w:val="000000"/>
          <w:sz w:val="20"/>
          <w:lang w:val="en-US" w:eastAsia="en-US" w:bidi="ar-SA"/>
        </w:rPr>
        <w:t xml:space="preserve"> (C.A.), the B.C. Court of Appeal approved the approach taken in </w:t>
      </w:r>
      <w:r>
        <w:rPr>
          <w:rFonts w:ascii="arial" w:eastAsia="arial" w:hAnsi="arial" w:cs="arial"/>
          <w:b/>
          <w:i/>
          <w:color w:val="000000"/>
          <w:sz w:val="20"/>
          <w:lang w:val="en-US" w:eastAsia="en-US" w:bidi="ar-SA"/>
        </w:rPr>
        <w:t>Mooney #2</w:t>
      </w:r>
      <w:r>
        <w:rPr>
          <w:rFonts w:ascii="arial" w:eastAsia="arial" w:hAnsi="arial" w:cs="arial"/>
          <w:color w:val="000000"/>
          <w:sz w:val="20"/>
          <w:lang w:val="en-US" w:eastAsia="en-US" w:bidi="ar-SA"/>
        </w:rPr>
        <w:t>. There, Newbury J.A. said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clear that in most cases, it will not be just or convenient to tie up a defendant's assets or funds simply to give the plaintiff security for a judgment he may never obtain. Courts will be reluctant to interfere with the parties' normal business arrangements, and affect the rights of other creditors, merely on the speculation that the plaintiff will ultimately succeed in its claim and have difficulty collecting on its judgment if the injunction is not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thrust of the plaintiffs' argument is that the factors that tend to militate against a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are not present here. Ascot Financial is no longer conducting business. It has no creditors. It would, it is said, suffer no inconvenience if enjoined from disposing of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on the evidence before me, nothing untoward in the actions of the targeted defendant. The payment of dividends to its parent company was not out of the ordinary. Payment of deferred income to Liske upon receipt of funds from the sale of its assets would not reflect an ordinary business practice in the sense of it being something that was done routinely, but it could not be seen as unusual. The sale of assets put Ascot Financial in funds, thus enabling it to meet its obligations to Liske.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Mooney v. Orr</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(1994), 98 B.C.L.R. (2d) 318</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Mooney #1</w:t>
      </w:r>
      <w:r>
        <w:rPr>
          <w:rFonts w:ascii="arial" w:eastAsia="arial" w:hAnsi="arial" w:cs="arial"/>
          <w:color w:val="000000"/>
          <w:sz w:val="20"/>
          <w:lang w:val="en-US" w:eastAsia="en-US" w:bidi="ar-SA"/>
        </w:rPr>
        <w:t xml:space="preserve">), Newbury J. quoted from </w:t>
      </w:r>
      <w:r>
        <w:rPr>
          <w:rFonts w:ascii="arial" w:eastAsia="arial" w:hAnsi="arial" w:cs="arial"/>
          <w:b/>
          <w:i/>
          <w:color w:val="000000"/>
          <w:sz w:val="20"/>
          <w:lang w:val="en-US" w:eastAsia="en-US" w:bidi="ar-SA"/>
        </w:rPr>
        <w:t>Derby &amp; Co. Ltd. v. Weldon</w:t>
      </w:r>
      <w:r>
        <w:rPr>
          <w:rFonts w:ascii="arial" w:eastAsia="arial" w:hAnsi="arial" w:cs="arial"/>
          <w:color w:val="000000"/>
          <w:sz w:val="20"/>
          <w:lang w:val="en-US" w:eastAsia="en-US" w:bidi="ar-SA"/>
        </w:rPr>
        <w:t>, [1989] 1 All E.R. 1002 (C.A.) at 325: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fundamental principle underlying this jurisdiction is that, within the limits of its powers, no court should permit a defendant to take action designed to ensure that subsequent orders of the court are rendered less effective than would otherwise be the case. On the other hand, it is not its purpose to prevent a defendant carrying on business in the ordinary way or, if an individual, living his life normally pending the determination of the dispute, nor to impede him in any way in defending himself against the claim. Nor is its purpose to place the plaintiff in the position of a secured creditor.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facts do not place this application within the exceptions to the rule that security for debt will not be ordered before judgment: </w:t>
      </w:r>
      <w:r>
        <w:rPr>
          <w:rFonts w:ascii="arial" w:eastAsia="arial" w:hAnsi="arial" w:cs="arial"/>
          <w:b/>
          <w:i/>
          <w:color w:val="000000"/>
          <w:sz w:val="20"/>
          <w:lang w:val="en-US" w:eastAsia="en-US" w:bidi="ar-SA"/>
        </w:rPr>
        <w:t>Tracy v. Instaloans Financial Solutions Centres (B.C.) Ltd.</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2007 BCCA 481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Here, Ascot Financial was dealing with its assets after discovery of Puri's fraud as it normally would. There is no evidence that it is acting for the purpose of putting assets beyond the reach of the plaintiffs if their claim succeeds. Moreover, the funds available are modest in relation to the damages sought, and may properly be expended for the defence of the action as against Liske.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application is dismissed. Ascot Financial is awarded costs, based on Schedule B, in any event of the cause, but not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 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5" style="position:absolute;z-index:2518415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Robinson v. Taves, [2002] B.C.J. No. 2384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Metzger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3 - 13,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51924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2384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1461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117 A.C.W.S. (3d) 994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1461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Leslie Robinson, plaintiff, and Abe Taves,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6"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5" w:name="Keywords_30"/>
      <w:bookmarkEnd w:id="195"/>
      <w:r>
        <w:rPr>
          <w:rFonts w:ascii="arial" w:eastAsia="arial" w:hAnsi="arial" w:cs="arial"/>
          <w:b/>
          <w:color w:val="000000"/>
          <w:sz w:val="20"/>
          <w:lang w:val="en-US" w:eastAsia="en-US" w:bidi="ar-SA"/>
        </w:rPr>
        <w:t>Medicine — Liability of practitioners — Standard of care — Surgical operations by doctors — Failure to inform or disclose.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6" w:name="Case Summary_26"/>
            <w:bookmarkEnd w:id="19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Robinson for damages for negligent performance of a hernia repair operation and failure to inform him of the risks of the operation. Taves performed the operation on Robinson. After the operation Robinson had two problems, difficulty with his lateral femoral cutaneous nerve and injury to his ilioinguinal nerve. Robinson presented evidence that the incision was made longer and further laterally than was usual in this type of operation, and this incision could have caused the damage to the lateral femoral cutaneous nerve. Taves testified that he extended the incision for better exposure, but did not come in contact with the lateral femoral cutaneous nerve. All of the experts agreed that damage to the ilioinguinal nerve was a well-recognized complication of hernia surgery. No expert testified that Taves failed to act in accordance with generally accepted medical practices, nor that his performance of the surgery fell below the standard of care required. The evidence indicated that Taves did not discuss other options for surgery repair with Robinson, but that most patients choose this repair when aware of all of the risks and all of the options.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7" w:name="Holdings of Court_22"/>
            <w:bookmarkEnd w:id="19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Robinson did not show on a balance of probabilities that Taves had breached his duty of care in the performance of the surgery. He did breach the standard of care in respect of discussing options with Robinson, but a reasonable person would have elected to have the surgery if informed of all of the risks and options.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8" w:name="Counsel_32"/>
      <w:bookmarkEnd w:id="1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7"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Wayne L. Alton, for the plaintiff. Kimberly J. Jakeman and Susanne K. Raab,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9" w:name="Judgment_31"/>
      <w:bookmarkEnd w:id="199"/>
      <w:r>
        <w:pict>
          <v:line id="_x0000_s1178" style="position:absolute;z-index:25179443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October 29, 2002.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0" w:name="METZGER J."/>
            <w:bookmarkEnd w:id="200"/>
            <w:r>
              <w:rPr>
                <w:rFonts w:ascii="arial" w:eastAsia="arial" w:hAnsi="arial" w:cs="arial"/>
                <w:b/>
                <w:color w:val="000000"/>
                <w:sz w:val="30"/>
                <w:lang w:val="en-US" w:eastAsia="en-US" w:bidi="ar-SA"/>
              </w:rPr>
              <w:t>METZGER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Leslie Robinson, is a married man aged 52 who is a territory manager for Peak Swine Genetics, selling breeding hogs to producers in British Columbia and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job has required driving between 60,000 and 100,000 kilometres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1998 he had a recurring hernia on his right side, which was bothering him. He had had two previous hernia operations. One on his left side when he was 8 years old and one on the right when he was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being referred to, and consulting with, Dr. Taves, Mr. Robinson consented to a hernia operation. On January 27, 1999, Dr. Taves performed a repair to Mr. Robinson's recurrent right, direct, inguinal hernia.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no disagreement that Mr. Robinson now has two separate problems. There is a difficulty with his lateral femoral cutaneous nerve resulting in meralgia paresthetica and injury to the ilioinguinal nerve resulting in paresthesia over the medial aspect of the right thigh.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Did Dr. Taves operate below the standard of care required for this type of operation and thereby cause these injuries; and did he fail to inform Mr. Robinson of the risks and available alternatives so that the consent given was not an informed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ISSUES: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On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Dr. Taves, Mr. Robinson must prove:</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duty of care owed by the doctor to Mr. Robinson;</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was breached; and</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breach caused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the issue of consent, Mr. Robinson must prove: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Dr. Taves did not inform him of the nature of the surgery with its material, special or unusual risks and the options available;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reasonable person, in the same circumstances as Mr. Robinson, would not have proceeded with the surgery had the doctor disclosed the risks and options;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injuries resulted from one of the undisclosed or inadequately explained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NEGLIGENT OPERATION</w:t>
      </w:r>
      <w:r>
        <w:rPr>
          <w:rFonts w:ascii="arial" w:eastAsia="arial" w:hAnsi="arial" w:cs="arial"/>
          <w:sz w:val="20"/>
          <w:lang w:val="en-US" w:eastAsia="en-US" w:bidi="ar-SA"/>
        </w:rPr>
        <w:cr/>
      </w:r>
    </w:p>
    <w:p>
      <w:pPr>
        <w:numPr>
          <w:numId w:val="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has conceded there was a duty of care owed to Mr. Robinson.</w:t>
      </w:r>
      <w:r>
        <w:rPr>
          <w:rFonts w:ascii="arial" w:eastAsia="arial" w:hAnsi="arial" w:cs="arial"/>
          <w:sz w:val="20"/>
          <w:lang w:val="en-US" w:eastAsia="en-US" w:bidi="ar-SA"/>
        </w:rPr>
        <w:cr/>
      </w:r>
    </w:p>
    <w:p>
      <w:pPr>
        <w:numPr>
          <w:numId w:val="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breach of the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Did Dr. Taves fail to meet the standard of care required of the ordinary competent surgeon operating in the same circumstances?</w:t>
      </w:r>
      <w:r>
        <w:rPr>
          <w:rFonts w:ascii="arial" w:eastAsia="arial" w:hAnsi="arial" w:cs="arial"/>
          <w:sz w:val="20"/>
          <w:lang w:val="en-US" w:eastAsia="en-US" w:bidi="ar-SA"/>
        </w:rPr>
        <w:cr/>
      </w:r>
    </w:p>
    <w:p>
      <w:pPr>
        <w:numPr>
          <w:numId w:val="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British Columbia Court of Appeal in Belknap et al. v. Meakes (1989), 1 C.C.L.T 192 (2d) 192 at page 221, quoted with approval Maynard v. West Midlands Regional Health Authority [1985], 1 All E.R. 635: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Differences of opinion and practice exist, and will always exist, in the medical as in other professions. There is seldom any one answer exclusive of all others to problems of professional judgment. A court may prefer one body of opinion to the other: but that is no basis for a conclusion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page 210 in that same case Seaton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person can say of something he regularly does in his professional life that he invariably does it in a certain way, that surely is evidence and possibly convincing evidence that he did it that way on the day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Sopinka J. speaking for the Supreme Court of Canada in ter Neuzen v. Korn </w:t>
      </w:r>
      <w:hyperlink r:id="rId525" w:history="1">
        <w:r>
          <w:rPr>
            <w:rFonts w:ascii="arial" w:eastAsia="arial" w:hAnsi="arial" w:cs="arial"/>
            <w:i/>
            <w:color w:val="0077CC"/>
            <w:sz w:val="20"/>
            <w:u w:val="single"/>
            <w:shd w:val="clear" w:color="auto" w:fill="FFFFFF"/>
            <w:lang w:val="en-US" w:eastAsia="en-US" w:bidi="ar-SA"/>
          </w:rPr>
          <w:t>(1995), 127 D.L.R. (4th) 577</w:t>
        </w:r>
      </w:hyperlink>
      <w:r>
        <w:rPr>
          <w:rFonts w:ascii="arial" w:eastAsia="arial" w:hAnsi="arial" w:cs="arial"/>
          <w:color w:val="000000"/>
          <w:sz w:val="20"/>
          <w:lang w:val="en-US" w:eastAsia="en-US" w:bidi="ar-SA"/>
        </w:rPr>
        <w:t xml:space="preserve"> at page 590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generally accepted that when a doctor acts in accordance with a recognized and respectful practice of the profession, he or she will not be found to be negligent.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injury to the lateral femoral cutaneous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Robinson alleges that Dr. Taves was negligent in making the incision how and where he did. He says that this amounted to a breach of the standard of care which injured the lateral femoral cutaneous nerve causing a permanent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Taves performed a McVay repair with mesh. All experts agreed that the McVay repair is the most commonly used repair. It represents the "gold standard"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Cleator, called by the plaintiff, did not examine Leslie Robinson. His expert report and evidence revealed that:</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McVay repair has been the most taught hernia repair procedure at the University of British Columbia Medical School.</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McVay repair with mesh is the standard repair for recurrent hernias as it helps reduce the risk of recurrence.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1998, it was generally accepted that there were no risks associated with the use of mesh.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His report stated that "during the surgery, the incision was made much longer and further laterally than is usual. This led to the damage of the lateral cutaneous nerve of the thigh on balance of probability, and in this respect the surgery was below the standard of care as this is a very rare event in this type of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However, on cross-examination, he agreed that:</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he had no knowledge as to why the incision was extended laterally, he could not state whether or not the incision was clinically justifiable.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more than one way to perform an operation, as each surgery requires judgment calls to be made to deal with the differences between individuals.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Taves is an honest and excellent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Taves testified in chief that:</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have extended the incision slightly laterally for better exposure, but just through to the external oblique.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never came in contact with the lateral femoral cutaneous nerve.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never actually seen the lateral femoral cutaneous nerve, although he would be able to identify it if he saw one. (Dr. Taves has averaged 60 hernia operations per year over each of the last four years.)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"bit of a bleeder near the pubic tubercle" (operation report January 27, 1999), was no where near the lateral femoral cutaneous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cross-examination, the doctor stated that:</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extended the incision more laterally to get into unscarred tissue.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in favour of "more exposure" as the incision line leaves only a cosmetic effect and the incision is just through skin and fatty tissue.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not aware that the incision was as much as 5 1/2 centimetres longer than the original one.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cannot recall a medical reason for the extension, other than more exposure.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presence of blood does not mean the cut was too deep.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Sanden examined Mr. Robinson and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mentioned, the incision is slightly more lateral than usual. It is unusual, however, to have this nerve injured at hernia repairs although I explained to him that the third time in for a hernia repair the nerves are difficult to identify because of the scar tissue and we will have to presume it was involved towards the edge of the scar.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parties agree that the doctor erred in thinking this was a third-time repair. It was a second-time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Blair, who was unshaken in cross-examination, stated that in his opinion:</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surgery according to the operative record was satisfactory (Pleasant Valley Health Centre Records, p. 9). Using cautery during hernia surgery is reasonable and inevitable to control bleeding. The nerves in question are not situated at the pubic tubercle where Dr. Taves found the bleeding requiring the use of cautery. The use of mesh in inguinal hernia surgery is currently the standard of care particularly in recurrent hernia and suggests that Dr. Taves is keeping his practice up to date".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Regardless of the length of the incision, the lateral femoral cutaneous nerve is not at risk as it is deep to the incision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Donald's opinion was that extending the incision laterally does not put the lateral femoral cutaneous nerve at risk as it is deep to the incision.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Jones examined Mr. Robinson on October 26, 1999, and determined that the injury to the lateral femoral cutaneous nerve was not related to the surgery but occurred spontaneously. He arrived at his conclusion based on his understanding that Mr. Robinson reported that the tingling in the thigh occurred after driving long distances which he is required to do in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Robinson testified that he had experienced the tingling in his thigh immediately after the operation, which would have been consistent with a surgical injury. However, Mr. Robinson did not mention it to anyone, as he thought it was a normal result of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Prout agreed with Dr.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Warner found only decreased sensation in the lateral thigh and thereby concluded that the lateral femoral cutaneous nerve could not have been cut as Dr. Cleator has suggested.</w:t>
      </w:r>
      <w:r>
        <w:rPr>
          <w:rFonts w:ascii="arial" w:eastAsia="arial" w:hAnsi="arial" w:cs="arial"/>
          <w:sz w:val="20"/>
          <w:lang w:val="en-US" w:eastAsia="en-US" w:bidi="ar-SA"/>
        </w:rPr>
        <w:cr/>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injury to the ilioinguinal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Sanden reported and I quote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distribution of the ilioinguinal nerve has absent sensation. It has presumably been divided in the hernia repair and again I stress how difficult these are to see in doing a third time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doctor was mistaken; this is a second time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find that Dr. Taves' letter of June 10, 1999, is not an admission that he had performed the operation incorrectly. The statements in the third paragraph are an attempt to explain to Mr. Robinson the possibilities that exist when performing this kind of surgery. It is in no way an admission of liability or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Cleator reports and I quote:</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balance of probability is that it (damage to the ilioinguinal nerve) was caused by the defendant doctor because of the time relations. It particularly occurred because of the scarring of previous surgery and probably the bleeding problem encountered during surgery again due to scarring. It is likely that the nerve was divided because of the lack of recovery.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to the ilioinguinal nerve was always a possibility with the re-exploration through the old incision...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to the ilioinguinal nerve occurred and was due to the operation on the balance of probability.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That being said the surgery was clearly difficult and bleeding was encountered and dealt with competently.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(Dr. Blair) quotes Dr. Jones as feeling that the symptoms and findings in the area of ilioinguinal nerves were related to manipulations during surgery. I fully agree with this part of the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All the experts agree that injury to the ilioinguinal nerve is a well-recognized complication of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Cleator and Dr. Blair agreed that manipulations during surgery likely caused some nerve injury to the ilioinguinal nerve. However, no expert testified as to what manipulation caused what kind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None of the experts, including Dr. Cleator, was prepared to say that Dr. Taves did not act in accordance with generally accepted surgical practices, nor that his performance of the surgery fell below the standard of care required of the ordinary competent surgeon operating in the same circumstances with respect to this type of hernia repair in these particular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As Dr. Cleator stated that he did not know if there was a clinically justifiable reason for extending the incision laterally; Dr. Taves' unshaken denial of any errors; and the other doctors' opinions that the operation was performed correctly, the plaintiff has not shown on a balance of probabilities that Dr. Taves breached his duty of care in the performance of the surgery. I find that Dr. Taves' conduct in administering care to Mr. Robinson during the operation, and following it, met the standard expected of a reasonably competent general surgeon. I find that Dr. Taves has acted in accordance with generally accepted practices. This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What are the risks and options?</w:t>
      </w:r>
      <w:r>
        <w:rPr>
          <w:rFonts w:ascii="arial" w:eastAsia="arial" w:hAnsi="arial" w:cs="arial"/>
          <w:sz w:val="20"/>
          <w:lang w:val="en-US" w:eastAsia="en-US" w:bidi="ar-SA"/>
        </w:rPr>
        <w:cr/>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Van Mol (Guardian ad litem of) v. Ashmore </w:t>
      </w:r>
      <w:hyperlink r:id="rId526" w:history="1">
        <w:r>
          <w:rPr>
            <w:rFonts w:ascii="arial" w:eastAsia="arial" w:hAnsi="arial" w:cs="arial"/>
            <w:i/>
            <w:color w:val="0077CC"/>
            <w:sz w:val="20"/>
            <w:u w:val="single"/>
            <w:shd w:val="clear" w:color="auto" w:fill="FFFFFF"/>
            <w:lang w:val="en-US" w:eastAsia="en-US" w:bidi="ar-SA"/>
          </w:rPr>
          <w:t>(1999), 58 B.C.L.R. (3d) 305</w:t>
        </w:r>
      </w:hyperlink>
      <w:r>
        <w:rPr>
          <w:rFonts w:ascii="arial" w:eastAsia="arial" w:hAnsi="arial" w:cs="arial"/>
          <w:color w:val="000000"/>
          <w:sz w:val="20"/>
          <w:lang w:val="en-US" w:eastAsia="en-US" w:bidi="ar-SA"/>
        </w:rPr>
        <w:t xml:space="preserve"> (B.C.C.A.) reviews the applicable case law on informed consent and sets out that, when discussing risk with a patient, a doctor is obligated to discuss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British Columbia Court of Appeal goes on to quote from Malette v. Shulman </w:t>
      </w:r>
      <w:hyperlink r:id="rId527" w:history="1">
        <w:r>
          <w:rPr>
            <w:rFonts w:ascii="arial" w:eastAsia="arial" w:hAnsi="arial" w:cs="arial"/>
            <w:i/>
            <w:color w:val="0077CC"/>
            <w:sz w:val="20"/>
            <w:u w:val="single"/>
            <w:shd w:val="clear" w:color="auto" w:fill="FFFFFF"/>
            <w:lang w:val="en-US" w:eastAsia="en-US" w:bidi="ar-SA"/>
          </w:rPr>
          <w:t>(1990), 67 D.L.R. (4th) 321</w:t>
        </w:r>
      </w:hyperlink>
      <w:r>
        <w:rPr>
          <w:rFonts w:ascii="arial" w:eastAsia="arial" w:hAnsi="arial" w:cs="arial"/>
          <w:color w:val="000000"/>
          <w:sz w:val="20"/>
          <w:lang w:val="en-US" w:eastAsia="en-US" w:bidi="ar-SA"/>
        </w:rPr>
        <w:t xml:space="preserve"> (Ont. C.A.) at 328: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doctrine of informed consent is plainly intended to ensure the freedom of individuals to make choices concerning their medical care. For this freedom to be meaningful, people must have the right to make choices that accord with their own values regardless of how unwise or foolish those choices may appear to others...</w:t>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Regardless of the disagreement between Dr. Taves and Mr. Robinson of what risks were discussed, the evidence is that at no time did Dr. Taves discuss options with Mr. Robinson, other than that the surgery was elective. Dr. Taves was obligated to discuss the options of other types of hernia repairs, even if they were not reasonable options. The patient must have sufficient information to be able to make his own decision, even if the medical profession disapproves of the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find that Dr. Taves breached the standard of care in respect of discussing options with Mr. Robinson.</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a reasonable person have proceeded with this operation if the risks and options had been disclosed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"reasonable person" test is set out in Riebl v. Hughes </w:t>
      </w:r>
      <w:hyperlink r:id="rId528" w:history="1">
        <w:r>
          <w:rPr>
            <w:rFonts w:ascii="arial" w:eastAsia="arial" w:hAnsi="arial" w:cs="arial"/>
            <w:i/>
            <w:color w:val="0077CC"/>
            <w:sz w:val="20"/>
            <w:u w:val="single"/>
            <w:shd w:val="clear" w:color="auto" w:fill="FFFFFF"/>
            <w:lang w:val="en-US" w:eastAsia="en-US" w:bidi="ar-SA"/>
          </w:rPr>
          <w:t>(1980), 114 D.L.R. (3d) 1</w:t>
        </w:r>
      </w:hyperlink>
      <w:r>
        <w:rPr>
          <w:rFonts w:ascii="arial" w:eastAsia="arial" w:hAnsi="arial" w:cs="arial"/>
          <w:color w:val="000000"/>
          <w:sz w:val="20"/>
          <w:lang w:val="en-US" w:eastAsia="en-US" w:bidi="ar-SA"/>
        </w:rPr>
        <w:t xml:space="preserve"> at p.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the average prudent person, the reasonable person in the patient's particular position, would agree to or not agree to, if all material and special risks of going ahead with the surgery or foregoing it were made known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Arndt v. Smith </w:t>
      </w:r>
      <w:hyperlink r:id="rId529" w:history="1">
        <w:r>
          <w:rPr>
            <w:rFonts w:ascii="arial" w:eastAsia="arial" w:hAnsi="arial" w:cs="arial"/>
            <w:i/>
            <w:color w:val="0077CC"/>
            <w:sz w:val="20"/>
            <w:u w:val="single"/>
            <w:shd w:val="clear" w:color="auto" w:fill="FFFFFF"/>
            <w:lang w:val="en-US" w:eastAsia="en-US" w:bidi="ar-SA"/>
          </w:rPr>
          <w:t>(1997), 35 B.C.L.R. (3d) 187</w:t>
        </w:r>
      </w:hyperlink>
      <w:r>
        <w:rPr>
          <w:rFonts w:ascii="arial" w:eastAsia="arial" w:hAnsi="arial" w:cs="arial"/>
          <w:color w:val="000000"/>
          <w:sz w:val="20"/>
          <w:lang w:val="en-US" w:eastAsia="en-US" w:bidi="ar-SA"/>
        </w:rPr>
        <w:t xml:space="preserve"> (S.C.C.) at p. 196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this means that the "reasonable person" who sets the standard for the objective test must be taken to possess the patient's reasonable beliefs, fears, desires and expectations. Further, the patient's expectations and concerns will usually be revealed by the questions 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 held at p. 193: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testimony as to what he or she would have done, had the doctor given an adequate warning, is of little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Diack v. Bardsley </w:t>
      </w:r>
      <w:hyperlink r:id="rId530"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 xml:space="preserve"> (S.C.), Chief Justice McEachern (as he then was) held that the court must decide whether a reasonable person in the plaintiff's particular circumstances would have proceeded with the surgery having been informed of all the risks. Constructing a hypothetical dialogue between physician and patient would assist the court in creating the context in which the patient would have made their decision.</w:t>
      </w:r>
      <w:r>
        <w:rPr>
          <w:rFonts w:ascii="arial" w:eastAsia="arial" w:hAnsi="arial" w:cs="arial"/>
          <w:sz w:val="20"/>
          <w:lang w:val="en-US" w:eastAsia="en-US" w:bidi="ar-SA"/>
        </w:rPr>
        <w:cr/>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Blair and Dr. Donald have never had a patient refuse a surgery for inguinal hernia repair following their discussions of all the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Blair, one of the six surgeons in British Columbia who performs laparoscopic repairs, testified that only 10 percent of his patients choose laparoscopic repair over an open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Cleator testified that in his experience 95 to 99 percent of patients accept the recommendations given by their surgeons.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Taves testified that reasonable people choose to proceed with hernia repair even when they are warned of the risk of death from general anaesthetic.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Robinson testified that he trusted Dr. Taves. From the evidence, I am satisfied that, in an ideal doctor-patient meeting, a patient in Mr. Robinson's circumstances would have been told the following:</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have a recurring inguinal hernia.</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believe it is a direct hernia not an indirect hernia.</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Indirect hernias are potentially more dangerous because they can more easily strangulate the bowel (referred to as "incarceration") and threaten your life.</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direct hernia is much less likely to strangulate a bowel, but it can happen.</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hernia incarcerates, you will need immediate surgery to save your life.</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One-third of the surgeons diagnosing a hernia are wrong about whether it is direct or indirect.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surgery is elective but as you regularly drive in very remote areas of Alberta, it is important that you consider surgery.</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hernia will likely continue to enlarge and become more uncomfortable.</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McVay procedure is a common procedure.</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anaesthesia carries a risk of death.</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Smokers increase their health risks when under general anaesthetic.</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recurring hernia is not an uncommon condition.</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a recurrent hernia, which will have potentially more complications than a first time hernia operation.</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a chance of increased swelling, bleeding and scarring after the operation.</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0.1 percent chance of chronic pain after the operation. A report from Norway suggests there is a 15 percent chance of chronic pain, but that is high in my experience and that of the majority of my colleagues. Cortisone shots may or may not relieve that pain.</w:t>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chance as high as 1 in 4 of injury to the ilioinguinal nerve. I will cut the nerve rather than injure it, but you will have permanent numbness and pain in your thigh if I do. The risk of this occurring is not great in my experience.</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Mesh will be used to help prevent further recurrence of the hernia. Some surgeons say there is a 1 in 4 chance that the hernia will recur within a year, but that is high in my experience.</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known risks to mesh use.</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Laparoscopic surgery carries further complicating risks that do not exist with a McVay repair. Those risks will have to be explained by a surgeon specializing in that type of repair. A laparoscopic repair is not common.</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Stoppa repair is usually reserved for bilateral or complicated hernias. The risks associated with this repair are greater than the McVay repair and will have to be explained by one of those surgeons.</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20 years of practice, it has been my experience that people's lives are not negatively affected in any significant way by a McVay repair.</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risk known that would adversely affect your work activities, leisure activities or sex life.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will answer any questions you have now or at any later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am satisfied that a reasonable person in the circumstances of Mr. Robinson would have elected to have the surgery that Dr. Taves recommended. Mr. Robinson's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Party and party costs are awarded to the defendant at level 3, unless either party applies within 30 days of the filing of this judgment for a hearing regarding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METZGER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October 29,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corrigendum is issued with respect to my reasons for Judgment dated and filed on October 17,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Paragraph 16 on page 5 is amended in the first line to change the word "defence" to "plaintiff". The paragraph is amended to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Cleator, called by the plaintiff, did not examine Leslie Robinson. His expert report and evidence revealed that: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McVay repair has been the most taught hernia repair procedure at the University of British Columbia Medical School.</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McVay repair with mesh is the standard repair for recurrent hernias as it helps reduce the risk of recurrence.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1998, it was generally accepted that there were no risks associated with the use of mesh.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842"/>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(amendment underlined)</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 The Reasons for Judgment are amended accordingly. In all other aspects, the Reasons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METZGER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9" style="position:absolute;z-index:251842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Russell v. Wang, [2000] B.C.J. No. 686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Quijano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March 8, 2000.</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B972555</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686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534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95 A.C.W.S. (3d) 1177</w:t>
      </w:r>
    </w:p>
    <w:p>
      <w:pPr>
        <w:spacing w:before="120" w:line="260" w:lineRule="atLeast"/>
        <w:rPr>
          <w:lang w:val="en-US" w:eastAsia="en-US" w:bidi="ar-SA"/>
        </w:rPr>
      </w:pPr>
      <w:r>
        <w:rPr>
          <w:rFonts w:ascii="arial" w:eastAsia="arial" w:hAnsi="arial" w:cs="arial"/>
          <w:color w:val="000000"/>
          <w:sz w:val="20"/>
          <w:lang w:val="en-US" w:eastAsia="en-US" w:bidi="ar-SA"/>
        </w:rPr>
        <w:t>Between Daniel Russell, plaintiff, and Ying Min Wang,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80" style="position:absolute;z-index:25169305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01" w:name="Keywords_31"/>
      <w:bookmarkEnd w:id="201"/>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Foreseeability — Motor vehicle, pedestrians and bicyclists — Street or highway crossing, non-intersection.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02" w:name="Case Summary_27"/>
            <w:bookmarkEnd w:id="20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an action by Russell against Wang for damages as a result of a motor vehicle collision. Russell was a pedestrian attempting to cross a very busy six-lane city street. A crosswalk with a pedestrian button was situated a half a block away. Instead he chose to cross in the middle of the street, crossing each of the six lanes when a car would stop to allow him to cross. He crossed in front of a van and started to run across the next lane when he was struck by Wang's vehicle. The evidence of Wang and two independent witnesses was that Wang was travelling below the speed limit, could not have seen Russell as he came out from behind the van, and could not have stopped in time when she did see him. </w:t>
            </w:r>
            <w:r>
              <w:rPr>
                <w:lang w:val="en-US" w:eastAsia="en-US" w:bidi="ar-SA"/>
              </w:rPr>
              <w:cr/>
            </w:r>
          </w:p>
          <w:p>
            <w:pPr>
              <w:spacing w:before="120" w:line="260" w:lineRule="atLeast"/>
              <w:ind w:left="240"/>
              <w:jc w:val="both"/>
              <w:rPr>
                <w:lang w:val="en-US" w:eastAsia="en-US" w:bidi="ar-SA"/>
              </w:rPr>
            </w:pPr>
            <w:bookmarkStart w:id="203" w:name="Holdings of Court_23"/>
            <w:bookmarkEnd w:id="203"/>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circumstances were not such that the possibility of pedestrians crossing the street in the middle of the block in heavy traffic could have been reasonably foreseen by Wang. Wang could not have seen Russell running in front of the van or her vehicle, and did not have sufficient time to attempt to stop and avoid hitting him. Wang was not negligent. Russell was the sole cause of the accident. </w:t>
            </w:r>
            <w:r>
              <w:rPr>
                <w:lang w:val="en-US" w:eastAsia="en-US" w:bidi="ar-SA"/>
              </w:rPr>
              <w:cr/>
            </w:r>
          </w:p>
          <w:p>
            <w:pPr>
              <w:rPr>
                <w:lang w:val="en-US" w:eastAsia="en-US" w:bidi="ar-SA"/>
              </w:rPr>
            </w:pPr>
          </w:p>
        </w:tc>
      </w:tr>
    </w:tbl>
    <w:p>
      <w:pPr>
        <w:jc w:val="both"/>
        <w:rPr>
          <w:lang w:val="en-US" w:eastAsia="en-US" w:bidi="ar-SA"/>
        </w:rPr>
      </w:pPr>
      <w:bookmarkStart w:id="204" w:name="Counsel_33"/>
      <w:bookmarkEnd w:id="20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81" style="position:absolute;z-index:2517442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J.F.C. Bridal, for the plaintiff. R.J. Falconer, for the defendant.</w:t>
      </w:r>
      <w:r>
        <w:rPr>
          <w:lang w:val="en-US" w:eastAsia="en-US" w:bidi="ar-SA"/>
        </w:rPr>
        <w:cr/>
      </w:r>
    </w:p>
    <w:p>
      <w:pPr>
        <w:spacing w:after="240"/>
        <w:rPr>
          <w:lang w:val="en-US" w:eastAsia="en-US" w:bidi="ar-SA"/>
        </w:rPr>
      </w:pPr>
      <w:bookmarkStart w:id="205" w:name="Judgment_32"/>
      <w:bookmarkEnd w:id="205"/>
      <w:r>
        <w:pict>
          <v:line id="_x0000_s1182" style="position:absolute;z-index:25179545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06" w:name="QUIJANO J. (orally)"/>
            <w:bookmarkEnd w:id="206"/>
            <w:r>
              <w:rPr>
                <w:rFonts w:ascii="arial" w:eastAsia="arial" w:hAnsi="arial" w:cs="arial"/>
                <w:b/>
                <w:color w:val="000000"/>
                <w:sz w:val="30"/>
                <w:lang w:val="en-US" w:eastAsia="en-US" w:bidi="ar-SA"/>
              </w:rPr>
              <w:t>QUIJANO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24, 1996, Mr. Russell, the plaintiff, had just completed an errand for a friend and was in a hurry to get home for dinner. In order to get home, he planned to take the SkyTrain from Patterson station in Burnaby. To get to the station, he had to cross Kingsway. He approached Kingsway by way of what he described as a tunnel between two buildings, which deposited him in the middle of the block on the north side of Kingsway. To his left, about half a block away, was a controlled intersection with a marked crosswalk at Wilson Street. He could have used the pedestrian button and crossed with the light. To his right, about 40 to 50 feet, was a notional unmarked crosswalk at the intersection of Olive Street and Kingsway.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was a very busy day for traffic: The sky was clear and the pavement was bare, although there were banks of snow on both sides of Kingsway, apparently the result of earlier plowing. Kingsway at that point has three lanes of eastbound and three lanes of westbound traffic. The posted speed limit is 50 kilometres per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Russell, who was approximately 45-years old at the time and who was, and is, 5' 2" tall, decided to cross Kingsway at the point where he emerged from between the two buildings. Mr. Russell said that he stood at the side of the road for what seemed to him to be about five minutes, until finally a car stopped to let him cross. He crossed the first three westbound lanes of traffic, waiting at each lane to ensure that the vehicles were stopped for him before proceeding further. He then got to the centre line of Kingsway, and at that point, it becomes less clear what happened.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Russell said that he waited in the middle of Kingsway until traffic in the eastbound lane nearest the centre of the road stopped. He said initially that there were no vehicles approaching in the middle eastbound lane and that as he crossed the centre-most lane he saw the defendant's vehicle approaching in the eastbound curb lane and thought she was going to stop for him. As a result, he proceeded at what he described as a quick walk to cross the remainder of the street. The defendant did not stop her vehicle and they collided.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discussions with his counsel during the noon adjournment, Mr. Russell changed his evidence and said that, in fact, there had been vehicles in the middle eastbound lane, but that they had stopped for the traffic light. He said that as he crossed in front of a blue van in the middle eastbound lane, he saw the defendant's vehicle. He thought she was going to stop, so he proceeded into the curb lane where he collided with her vehicle. That collision took place about 30 to 40 feet east of Olive Street on Kingsway.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Russell said that the defendant did not stop after the collision, but drove on for half a mile before turning into an underground parking lot entrance and stopping. He says that he hung onto the vehicle by clinging to the windshield wipers, and when it stopped he fell off and hit his head on the pavement.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Two eyewitnesses, one driving the vehicle just ahead of the defendant's vehicle, and the other, a passenger in the vehicle just behind the defendant's vehicle, testified that at the time of the collision, traffic in the middle and centre eastbound lanes of Kingsway was stopped for a red light at Wilson and the vehicles in those lanes were backed up. They said that the curb lane traffic was moving freely at about 35 to 40 kilometres per hour which, according to one of the eyewitnesses, was approximately the same speed as the defendant's vehicle seen to be travelling.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Martin, the driver of the vehicle ahead of the defendant's vehicle, said that as she passed the stationary blue van in the lane immediately to her left she saw, out of the corner of her eye, the plaintiff running towards her from in front of the blue van. She said that she had had no opportunity to see the plaintiff until she had passed the blue van. She also said that she continued to watch, using her side and rear view mirrors, and saw the plaintiff hit by the defendant's vehicle. She said that the defendant's vehicle stopped immediately. Ms. Martin also said that she felt it could have as easily have been her vehicle that was involved.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Clark, a passenger in the vehicle behind the defendant's vehicle, describes seeing the plaintiff run into the side of the defendant's vehicle. She also said that the defendant's vehicle stopped immediately. Both witnesses felt, from their perspective, that the defendant had no time to take any evasive action. Mr. Russell had no memory of the actual collision for at least two weeks after the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While I do not believe, nor do I find therefore that Mr. Russell was intentionally attempting to mislead the Court, I do find that his evidence as to the circumstances immediately prior to and following the collision is unreliable and probably a reconstruction. Where Mr. Russell's evidence conflicts with that of the eyewitnesses, I prefer their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find that once Mr. Russell made it to the middle of Kingsway, vehicles in the centre and middle lanes eastbound were either already stopped for the traffic light at Wilson or were in the process of stopping for that light. Once those vehicles had stopped, Mr. Russell proceeded at what Ms. Martin described as "running" or, later in her evidence, as "not sprinting, it was a fast jog", to cross the eastbound lanes in front of the blue van and into the curb lane where he collided with the defendant's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Wang, the defendant, said that at the time of the accident, she was travelling quite slowly and that as she approached the blue van, which was stopped in the lane to the left of her, suddenly a pedestrian rushed up towards her vehicle. She braked immediately and he collided with the front left corner of her vehicle. She described that her car stopped quite quickly and the pedestrian, that is the plaintiff, fell into the lane to her left in front of the blue van.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police attended at the scene. The defendant's vehicle was stopped about 40 feet east of the intersection of Olive and Kingsway. The plaintiff had fallen to the ground at that point in the middle of the eastbound lane of Kingsway in front of the blue van.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a result of the collision, the plaintiff suffered injury to his right knee that required reconstructive surgery. He suffered, as he described it, a shattered collarbone and a broken right arm. I rely on the plaintiff's description because there was no medical evidence in front of me to establish the precise nature of the injuries or their severity other than the defendant's (plaintiff's????) description of the injuries and the consequences of those injuries to him. I accept his evidence, as it stands uncontradicted. The plaintiff was in the hospital for two weeks, and thereafter was in a wheelchair for two months. The plaintiff says, and it is uncontradicted, that his right shoulder and his arm are still only about 60 to 70 percent of what they had been prior to the injury and that he is still in such discomfort from his knee and from his shoulder that he takes one Tylenol 3 each day for pain relief.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time of the accident, Mr. Russell was unemployed and had been unemployed since November of 1993. From 1973 to 1988, Mr. Russell had worked at a lumber mill doing cleanup and odd jobs, which included feeding lumber into a resaw from time to time. That job ended when the mill finally went bankrupt and closed down in or around 1988. Mr. Russell then got a job at the Salvation Army cleaning appliances and doing other odd jobs, for which he was paid $7.50 per hour. He had that job for three and a half years. It appears he was fired from that job and there is no evidence that he has sought employment since.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concedes that he is contributorily negligent. He argues that in light of the fact of the very heavy traffic, that it was Christmas Eve and therefore, people were in more of a hurry than usual and might tend to act erratically and that there was a SkyTrain station within a couple of blocks to the south of the scene of the accident to which pedestrians would be expected to be heading, it was therefore reasonably foreseeable that a pedestrian might be attempting to cross Kingsway at other than a crosswalk and therefore the defendant had a duty to take care when passing those vehicles which had stopped for the light on the right. He argues that because the defendant did not take adequate care in those circumstances, she should be found equally responsible with the plaintiff for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Walker v. Brownlee and Harmon, </w:t>
      </w:r>
      <w:hyperlink r:id="rId499"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Mr. Justice Cartwright, speaking for the majority of the Supreme Court of Canada, said this at pages 460 and 461, and I quote: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duty of a driver having the statutory right-of-way has been discussed in many cases. In my opinion it is stated briefly and accurately in the following passage in the judgment of Aylesworth J.A., concurred in by Robertson C.J.O., in Woodward v. Harris, </w:t>
      </w:r>
      <w:hyperlink r:id="rId538" w:history="1">
        <w:r>
          <w:rPr>
            <w:rFonts w:ascii="arial" w:eastAsia="arial" w:hAnsi="arial" w:cs="arial"/>
            <w:i/>
            <w:color w:val="0077CC"/>
            <w:sz w:val="20"/>
            <w:u w:val="single"/>
            <w:shd w:val="clear" w:color="auto" w:fill="FFFFFF"/>
            <w:lang w:val="en-US" w:eastAsia="en-US" w:bidi="ar-SA"/>
          </w:rPr>
          <w:t>[1951] O.W.N. 221</w:t>
        </w:r>
      </w:hyperlink>
      <w:r>
        <w:rPr>
          <w:rFonts w:ascii="arial" w:eastAsia="arial" w:hAnsi="arial" w:cs="arial"/>
          <w:color w:val="000000"/>
          <w:sz w:val="20"/>
          <w:lang w:val="en-US" w:eastAsia="en-US" w:bidi="ar-SA"/>
        </w:rPr>
        <w:t>, at p. 223: "Authority is not required in support of the principle that a driver entering an intersection, even although he has the right of way, is bound to act so as to avoid a collision if reasonable care on his part will prevent it. To put it another way: he ought not to exercise his right-of-way if the circumstances are such that the result of his so doing will be a collision which he reasonably should have foreseen and avoided."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Justice Cartwright goes on, skipping one paragraph, citing from Woodward v. Harris: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applying this principle, it is necessary to bear in mind the statement of Lord Atkinson in Toronto R.W. Co. v. King, </w:t>
      </w:r>
      <w:hyperlink r:id="rId539" w:history="1">
        <w:r>
          <w:rPr>
            <w:rFonts w:ascii="arial" w:eastAsia="arial" w:hAnsi="arial" w:cs="arial"/>
            <w:i/>
            <w:color w:val="0077CC"/>
            <w:sz w:val="20"/>
            <w:u w:val="single"/>
            <w:shd w:val="clear" w:color="auto" w:fill="FFFFFF"/>
            <w:lang w:val="en-US" w:eastAsia="en-US" w:bidi="ar-SA"/>
          </w:rPr>
          <w:t>7 C.R.C. 408</w:t>
        </w:r>
      </w:hyperlink>
      <w:r>
        <w:rPr>
          <w:rFonts w:ascii="arial" w:eastAsia="arial" w:hAnsi="arial" w:cs="arial"/>
          <w:color w:val="000000"/>
          <w:sz w:val="20"/>
          <w:lang w:val="en-US" w:eastAsia="en-US" w:bidi="ar-SA"/>
        </w:rPr>
        <w:t xml:space="preserve">, at p. 417, </w:t>
      </w:r>
      <w:hyperlink r:id="rId539" w:history="1">
        <w:r>
          <w:rPr>
            <w:rFonts w:ascii="arial" w:eastAsia="arial" w:hAnsi="arial" w:cs="arial"/>
            <w:i/>
            <w:color w:val="0077CC"/>
            <w:sz w:val="20"/>
            <w:u w:val="single"/>
            <w:shd w:val="clear" w:color="auto" w:fill="FFFFFF"/>
            <w:lang w:val="en-US" w:eastAsia="en-US" w:bidi="ar-SA"/>
          </w:rPr>
          <w:t>[1908] A.C. 260</w:t>
        </w:r>
      </w:hyperlink>
      <w:r>
        <w:rPr>
          <w:rFonts w:ascii="arial" w:eastAsia="arial" w:hAnsi="arial" w:cs="arial"/>
          <w:color w:val="000000"/>
          <w:sz w:val="20"/>
          <w:lang w:val="en-US" w:eastAsia="en-US" w:bidi="ar-SA"/>
        </w:rPr>
        <w:t xml:space="preserve"> at p. 269: "Traffic in the streets would be impossible if the driver of each vehicle did not proceed more or less upon the assumption that the drivers of all the other vehicles will do what it is their duty to do, namely, observe the rules regulating the traffic of the streets."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Justice Cartwright then says, in Walker v. Brownlee: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While the decision of every motor vehicle collision case must depend on its particular facts, I am of the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fons et origo mali.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court in Walker was dealing with the issue as between two drivers of automobiles, the question being the duty of each of those drivers notwithstanding the right-of-way was in favour of one of the drivers. Nevertheless, that case is clearly significant to the issues in this case. For one thing, the onus quite clearly is on the plaintiff, who did not have the right-of-way, was jaywalking by his own admission, to establish that Ms. Wang, the driver of the vehicle which collided with him, had become aware of the possible collision, or by the exercise of reasonable care should have become aware and therefore taken steps to avoid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If there is any question as to whether the reasoning in that case is applicable to a pedestrian matter, that is resolved in the case of McIntyre v. Morgan, a decision of Mr. Justice Toy, as he then was, of this court. The reasons for judgment were provided to me. I do not know if it has been reported. The reasons for judgment were issued December 12, 1980, in Vancouver Registry, Action No. B791683. It was an action for damages brought by a pedestrian who was struck by an automobile. At pages 11 and 12, starting at line 23 of page 11 of that decision, Mr. Justice Toy said this: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 do not conceive that there is any substantial difference between the standards of care for drivers of motor vehicles that are in collision and the case where a driver and a pedestrian come into contact with one another. The rule for drivers who have a right-of-way is dealt with in the majority judgment in the Supreme Court of Canada in Walker v. Brownlee and Harmon, </w:t>
      </w:r>
      <w:hyperlink r:id="rId499"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In the case at bar there is no evidence that the plaintiff, before leaving the curb on the west side of North Renfrew Street, ever looked to his left to see if he could cross in safety. He ran at an angle across the curb lane and almost to the centre line of North Renfrew Street in the middle of a block. He had no right to be there. The plaintiff has the burden of proving on the balance of probabilities that the defendant, Mr. Morgan, after becoming aware, or after he should have become aware, of the plaintiff's presence, that he had sufficient opportunity to avoid striking the plaintiff. I have already observed that the defendant, Mr. Morgan, immediately applied his brakes on seeing the plaintiff, but it was in such a short distance impossible for him to stop. With respect to the second branch of the test, I do not think it is reasonable to conclude that the defendant Mr. Morgan should have seen the plaintiff alighting from the curb between the parked cars. Should the defendant Mr. Morgan have seen the plaintiff from a distance - say of seven feet from the westerly curb? Running as he was, even if at an angle, having failed to observe the plaintiff for such a short distance that to assign that as a breach of duty would be tantamount to imposing a standard of perfection rather than what is 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On behalf of the plaintiff, I was referred to the decision of McKay v. Gibbins et al, </w:t>
      </w:r>
      <w:hyperlink r:id="rId540" w:history="1">
        <w:r>
          <w:rPr>
            <w:rFonts w:ascii="arial" w:eastAsia="arial" w:hAnsi="arial" w:cs="arial"/>
            <w:i/>
            <w:color w:val="0077CC"/>
            <w:sz w:val="20"/>
            <w:u w:val="single"/>
            <w:shd w:val="clear" w:color="auto" w:fill="FFFFFF"/>
            <w:lang w:val="en-US" w:eastAsia="en-US" w:bidi="ar-SA"/>
          </w:rPr>
          <w:t>[1996] B.C.J. No. 1779</w:t>
        </w:r>
      </w:hyperlink>
      <w:r>
        <w:rPr>
          <w:rFonts w:ascii="arial" w:eastAsia="arial" w:hAnsi="arial" w:cs="arial"/>
          <w:color w:val="000000"/>
          <w:sz w:val="20"/>
          <w:lang w:val="en-US" w:eastAsia="en-US" w:bidi="ar-SA"/>
        </w:rPr>
        <w:t xml:space="preserve">, August 1, 1996, Supreme Court of British Columbia, Prince George Registry, Action No. 29048/94, as authority for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driver where the pedestrian was jaywalking. I find that case of little assistance since in that case, the defendant driver was a police officer responding to a call, driving the wrong way down a street in Prince George when the plaintiff ran into the path of his vehicle. The issue was whether the officer was negligent in the circumstances, and in particular, whether he had activated his siren and warning lights in enough time to have given the plaintiff notice of his coming. The trial judge in that case said this at paragraphs 20 and 21: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defendant, of course, points out that the plaintiff was jaywalking and left a position of safety without keeping a proper lookout and walked into the defendant's vehicle which had the right-of-way, oblivious to a siren. The plaintiff's lack of due care is obvious and I have no difficulty in concluding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major cause of the accident.</w:t>
      </w:r>
    </w:p>
    <w:p>
      <w:pPr>
        <w:spacing w:before="120" w:line="260" w:lineRule="atLeast"/>
        <w:ind w:left="720"/>
        <w:rPr>
          <w:lang w:val="en-US" w:eastAsia="en-US" w:bidi="ar-SA"/>
        </w:rPr>
      </w:pPr>
      <w:r>
        <w:rPr>
          <w:rFonts w:ascii="arial" w:eastAsia="arial" w:hAnsi="arial" w:cs="arial"/>
          <w:color w:val="000000"/>
          <w:sz w:val="20"/>
          <w:lang w:val="en-US" w:eastAsia="en-US" w:bidi="ar-SA"/>
        </w:rPr>
        <w:t>Considering that the circumstances facing the defendant were congested and stopped vehicles in front of an office building near the end of a lunch hour, the presence of pedestrians emerging from the vehicles was a very foreseeable risk. I find that the standard of care called for in the situation would at a minimum require the defendant to activate the siren sufficiently far in advance of proceeding in the wrong direction as to provide a reasonable opportunity for persons leaving their vehicles to perceive and react to the privileged disregard of the traffic rules that he was exercising....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That, in my view, is a very significant difference from the facts of the case at bar. In the circumstances of the case at bar, as I have found them to be, I find them to be quite similar to those circumstances in McIntyre v. Morgan, and I cannot find, as was found in McKay v. Gibbins, that the circumstances were such that the possibility of pedestrians crossing Kingsway in the middle of the block in heavy traffic stopped for a traffic light was a reasonably foreseeable risk. Nor can I find in the circumstances, as I have found them to be, that the defendant should have or even could have seen Mr. Russell jogging toward the curb lane from in front of the blue van in sufficient time to have had an opportunity to attempt to stop and avoid colliding with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have concluded that the plaintiff has failed to establish on a balance of probabilities that Ms. Wang, the defendant, was negligent. I find the plaintiff to be the sole cause of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was the case in McIntyre v. Morgan, in the circumstances of this case, I decline to assess damages unless I am directed to do so by a higher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claim is dismissed with costs to the defendant. However, in this regard, I order that the plaintiff's solicitor be relieved of his responsibility for court fees for hearing days. I make this order to reflect the Court's appreciation of the fact that the plaintiff's counsel undertook to conduct the trial on the plaintiff's behalf pro bono and that his efforts, without doubt, resulted in a significant saving of court time at trial, to the benefit of both the defendant and the Court.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QUIJANO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8435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Schweighardt v. Palamara, [2003] B.C.J. No. 1761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Lynn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18 - 22, 2002, January 6 - 9,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17,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March 21,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S058172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1761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1149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123 A.C.W.S. (3d) 1050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Shelly Schweighardt, plaintiff, and Nancy Palamara, Raimo Juhani Haverinen and Russell Plamondon,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4"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7" w:name="Keywords_32"/>
      <w:bookmarkEnd w:id="207"/>
      <w:r>
        <w:rPr>
          <w:rFonts w:ascii="arial" w:eastAsia="arial" w:hAnsi="arial" w:cs="arial"/>
          <w:b/>
          <w:color w:val="000000"/>
          <w:sz w:val="20"/>
          <w:lang w:val="en-US" w:eastAsia="en-US" w:bidi="ar-SA"/>
        </w:rPr>
        <w:t>Damage awards — Injury and death — Body injuries — Back — Shoulder — Neck injuries — Soft tissue injuries — Psychological injuries — Depression — Special damage awards — General damage awards — Cost of future care — Loss of prospective earnings — Pre-trial income loss — Pain and suffering, loss of amenities and other non-pecuniary damages — Damages — Mitigation.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8" w:name="Case Summary_28"/>
            <w:bookmarkEnd w:id="2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Schweighardt for damages for personal injury. Schweighardt was injured in a motor vehicle accident in March 1999. She attended her family physician the day after the accident and reported pain in the neck, back, hips and shoulders. Her physician also noted weakness in the arm. Seven weeks after the accident, she was crushing a cardboard box when she suddenly experienced an intense pain in her wrist. Over the next three years, she saw 10 specialists, none of whom was able to explain the wrist pain. In February 2000, she underwent a functional capacity evaluation. The evaluator found that could return to her normal duties as a correctional officer. Schweighardt did not believe that the evaluation tests bore a realistic relationship to her job requirements, so she did not attempt to return to work. Her insurance benefits were cut off in March 2000, and in the summer of 2000 she went on to social assistance. She became depressed. In March 2001, Schweighardt met with her employer to discuss proposals for allowing her to return to work. Her doctor suggested that she consider alternative careers not requiring the forceful use of her wrist. The defendants Palamara, Haverinen and Plamondon admitted liability for the accident, and admitted that Schweighardt suffered soft tissue injuries to her neck, back, hips and shoulders. However, they denied that the accident caused her wrist injury, depression, or her failure to return to work. They submitted that her refusal to attempt to return to work was a failure to mitigate her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9" w:name="Holdings of Court_24"/>
            <w:bookmarkEnd w:id="209"/>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record of Schweighardt reporting severe pain in her hand or wrist until after she tried to crush the box. Numerous specialists were unable to find any physical cause of the symptoms. As such, she failed to prove that the accident caused or contributed to her wrist injury beyond a minimal level. However, Schweighardt established that the accident was a material cause of her depression. The wrist injury contributed to her depression, but so did the soft tissue injuries. Schweighardt's physical injuries were sufficiently resolved such that she could have attempted to return to work in March 2000. The depression would not likely resolve for another eight months after trial. Schweighardt was awarded non-pecuniary damages of $40,000. She was entitled to damages for lost income for the period from the date of the accident to March 2000, and for the period from July 2000, when the depression began, to the date of trial. She was awarded $6,000 for lost benefits to the date of trial. Schweighardt's absence from the work force affected her eventual return to work, such that she was awarded $50,000 for lost future income and benefits. She was awarded $16,500 for cost of future care and $1,007 in special damages. The awards for lost earning capacity, cost of future care and pre-trial loss of income were reduced by 20 per cent, due to Schweighardt's failure to mitigate her damages by refusing to return to work when she could have done so. The award for non-pecuniary damages was reduced by 10 per cent for the same reason.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0" w:name="Legislation Cited_17"/>
      <w:bookmarkEnd w:id="2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5"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548" w:history="1">
        <w:r>
          <w:rPr>
            <w:rFonts w:ascii="arial" w:eastAsia="arial" w:hAnsi="arial" w:cs="arial"/>
            <w:i/>
            <w:color w:val="0077CC"/>
            <w:sz w:val="20"/>
            <w:u w:val="single"/>
            <w:shd w:val="clear" w:color="auto" w:fill="FFFFFF"/>
            <w:lang w:val="en-US" w:eastAsia="en-US" w:bidi="ar-SA"/>
          </w:rPr>
          <w:t>R.S.B.C. 1996, c. 231, ss. 52</w:t>
        </w:r>
      </w:hyperlink>
      <w:r>
        <w:rPr>
          <w:rFonts w:ascii="arial" w:eastAsia="arial" w:hAnsi="arial" w:cs="arial"/>
          <w:color w:val="000000"/>
          <w:sz w:val="20"/>
          <w:lang w:val="en-US" w:eastAsia="en-US" w:bidi="ar-SA"/>
        </w:rPr>
        <w:t>, 56.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1" w:name="Counsel_34"/>
      <w:bookmarkEnd w:id="2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6"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M.A.M. Brunton, for the plaintiff. A. Urquhart,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2" w:name="Judgment_33"/>
      <w:bookmarkEnd w:id="212"/>
      <w:r>
        <w:pict>
          <v:line id="_x0000_s1187" style="position:absolute;z-index:25184460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August 20, 2003.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3" w:name="C.L. SMITH J."/>
            <w:bookmarkEnd w:id="213"/>
            <w:r>
              <w:rPr>
                <w:rFonts w:ascii="arial" w:eastAsia="arial" w:hAnsi="arial" w:cs="arial"/>
                <w:b/>
                <w:color w:val="000000"/>
                <w:sz w:val="30"/>
                <w:lang w:val="en-US" w:eastAsia="en-US" w:bidi="ar-SA"/>
              </w:rPr>
              <w:t>C.L.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have admitted liability for the plaintiff's damages which she suffered in a motor vehicle accident on March 24, 1999. The sole issue before me is the assessment of those damages. The major disputes at the trial concerned the causation of particular injuries and whether the plaintiff acted reasonably to mitigate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AND FINDINGS OF FACT</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Shelly Schweighardt was born November 28, 1964. She graduated from high school in 1982, then worked in various jobs including construction labourer and waitress. She testified that she worked steadily from the age of 16, with no significant periods of unemployment. In 1996, she travelled to Central America for eight or nine months. In 1997 she passed a demanding physical test, the "Correctional Officer Physical Ability Test", required for work in Corrections. She successfully completed the training program at the Justice Institute to become a correctional officer and applied for a job in Corrections with the British Columbia government on December 7, 1997. She started work at the Burnaby Correctional Centre for Women on January 5, 1998, as an Auxiliary Security Officer. On July 30, 1998, she received a letter of commendation regarding her excellent work in a crisis. At the date of the accident on March 24, 1999, she was just short (by one shift) of the number of hours needed to receive a pay increase, increased benefits and a regular position with a schedule as opposed to "on call" status. Carolynn Druskin, a correctional officer who began work on the same day as the plaintiff, received regular officer status in April, 1999. Because the plaintiff has not returned to work since the accident, she has lost the benefit of the hours worked and would have to re-accumulate them; however, she is still an employee of B.C. Corrections.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accident Ms. Schweighardt was 34 years of age, in excellent health, and very fit. Before the accident she had experienced no problems with her neck, shoulders, back, hips, hands or wrists, chronic pain or depression.</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Circumstances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a front seat passenger in her own vehicle, a small 1986 Honda, at the time of the accident. She wore a seatbelt. Her friend, the defendant Russell Plamondon, was driving. They were heading west on 105th Avenue in Surrey, coming out of the Guildford Mall and intending to make a left turn onto 150th Street. They crept out into the intersection. The approaching driver, Nancy Palamara, who had the right of way, did not see the Schweighardt vehicle in time to stop. The Schweighardt vehicle was struck at the front on the passenger side by the Palamara vehicle, which was a 1988 Plymouth sedan. The plaintiff's vehicle was considered too badly damaged to be repaired. The other vehicle suffered about $1,600 worth of damage.</w:t>
      </w:r>
      <w:r>
        <w:rPr>
          <w:rFonts w:ascii="arial" w:eastAsia="arial" w:hAnsi="arial" w:cs="arial"/>
          <w:sz w:val="20"/>
          <w:lang w:val="en-US" w:eastAsia="en-US" w:bidi="ar-SA"/>
        </w:rPr>
        <w:cr/>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Schweighardt testified that immediately after the accident on March 24, 1999, she did not feel anything, thought she was fine and did not request an ambulance or medical help. Later that evening her neck and shoulder started to tighten up and she felt a sensation in the web space between the thumb and fingers of her right hand. She said that her hand did not "feel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She went to her family physician, Dr. Sachit Shah, the next day. By that time, everything was sore. His clinical notes show that she complained of "painful neck, back and bilateral hips and shoulders", that his physical examination showed "spinal exam normal, cns normal tender neck, paraspinal and hip muscles", that he diagnosed "acute muscular injury" and that he recommended "rest" and "physio". Ms. Schweighardt testified that he recommended hot baths and massage therapy. She also testified that she told him about problems with her hand. Dr. Shah testified that he does not necessarily record everything in his clinical notes. On cross-examination he agreed that he did not specifically examine her hand on March 25 but said that the absence of a reference to the hand in his notes did not mean that Ms. Schweighardt had failed to mention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 "Doctor's Certificate" completed on April 19, 1999, Dr. Shah recorded "neck pain" and "weakness in the arm" and stated that Ms. Schweighardt was not ready for work. His primary diagnosis was "acute muscular strain" and he commented that the patient "has persistent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visits to therapists in the weeks following the accident Ms. Schweighardt complained of unexplained or sudden weakness or loss of power, control or co-ordination in the right hand causing her to drop objects such as a coffee cup, as well as irregular pain in the right hand. She described muscle spasm or shooting pain that made her lose her grip.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May 16, 1999, Ms. Schweighardt, who is right-handed, used her right hand to squeeze an empty cardboard box before putting it into the recycling bin and experienced very sharp pain such that she "dropped to the floor", started to sweat and vomit, and almost passed out. She testified that it was the "same pain" she had been having since the day of the accident, but 100 times more intense. I will return to the issue whether her ongoing problems with her right hand and wrist are attributable to the motor vehicle accident, but at this stage I simply note that on May 16, 1999, either an injury caused by the motor vehicle accident was worsened or there was a new injury to the right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Schweighardt went to see Dr. Shah the next day about her wrist, and he sent her to Surrey Memorial Hospital for x-rays. His examination showed no swelling or bruising, but extreme tenderness. The x-rays were negative. On May 19, 1999 she saw Michelle Lowry, a registered massage therapist, who examined her hand and noted swelling, light bruising and a bluish colour, as well as that the hand was cool to the touch. Ms. Lowry, who had been treating the plaintiff since the motor vehicle accident, had not observed such symptoms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testified that she continues to experience (unpredictably and sporadically) pain, sometime intense pain, in her right hand and arm. She said that it sometimes feels as if there is a "hot rod" stuffed into her hand. The pain occurs 10 - 15 times a day, she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 "Doctor's Certificate" completed for the plaintiff on June 14, 1999 Dr. Shah noted "neck pain", "weakness in the arm" and "persistent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October 7, 1999, Dr. Shah wrote a letter in response to a request from the plaintiff's employer. In it he stated:</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reviewed the attached job description and Ms. Schweighardt is unable to perform her job. Primarily she is right handed. She has a problem with her Right wrist, which does not allow her the full use of it with strength. Therefore she would not be able to fulfill any of the security functions of her job.</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the job description I have reviewed she has to fulfill functions which require the use of her right wrist (her dominant hand) so clearly anything that causes her to forcibly use it will aggravate her pain and she would not be able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Over the next three years the plaintiff saw ten specialists, including Dr. David Ward, a plastic surgeon, Dr. Goetz and Dr. Gropper, hand specialists, Dr. Sadowski and Dr. Mackie, neurologists, Dr. Prasad, a sports medicine specialist, Dr. Yorke and Dr. Stolar, rheumatologists, Dr. Jaworski, a physical medicine and rehabilitation specialist, and Dr. Mallavarapu, a psychiatrist. She underwent various forms of scans and tests regarding her problems with her hand, and her other soft tissue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No reports were produced from any of these physicians, although their letters to Dr. Shah were included in the defendants' documents as part of the plaintiff's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Urquhart for the defendants argued that I should draw an adverse inference from the plaintiff's failure to lead evidence from any of these ten treating physicians. However, Ms. Brunton said that the plaintiff did not dispute that none of the specialists was able to explain her problem with her right hand/wrist. She submitted that it was open to the defendants to call the physicians if they wished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burden is on the plaintiff to prove on a balance of probabilities that the accident caused the injuries of which she complains, and I will take into account, in assessing whether she has discharged that burden, the undisputed fact that the plaintiff saw a number of specialists with reference to the hand/wrist complaints, who were unable to make any objective findings that would explain the pain she described. There is no evidence from any of them supporting or disagreeing with the plaintiff's theory that the motor vehicle accident caused these problems. The defendants have had the clinical records and were aware of the reports of these specialists. As in Keller v. Cole, </w:t>
      </w:r>
      <w:hyperlink r:id="rId549" w:history="1">
        <w:r>
          <w:rPr>
            <w:rFonts w:ascii="arial" w:eastAsia="arial" w:hAnsi="arial" w:cs="arial"/>
            <w:i/>
            <w:color w:val="0077CC"/>
            <w:sz w:val="20"/>
            <w:u w:val="single"/>
            <w:shd w:val="clear" w:color="auto" w:fill="FFFFFF"/>
            <w:lang w:val="en-US" w:eastAsia="en-US" w:bidi="ar-SA"/>
          </w:rPr>
          <w:t>[2001] B.C.J. No. 1933</w:t>
        </w:r>
      </w:hyperlink>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2001 BCCA 550</w:t>
        </w:r>
      </w:hyperlink>
      <w:r>
        <w:rPr>
          <w:rFonts w:ascii="arial" w:eastAsia="arial" w:hAnsi="arial" w:cs="arial"/>
          <w:color w:val="000000"/>
          <w:sz w:val="20"/>
          <w:lang w:val="en-US" w:eastAsia="en-US" w:bidi="ar-SA"/>
        </w:rPr>
        <w:t>, I do not find that an adverse inference is appropriate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addition to all of the above treating physicians, Ms. Schweighardt also saw Dr. Lu, a psychiatrist, upon her counsel's request, as well as Dr. Favero, an orthopaedic surgeon and Dr. Holden, a psychiatrist, for independent medical examinations at the defendants'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Before I review the medical evidence, I will complete the review of the events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Through the Insurance Corporation of British Columbia Ms. Schweighardt was referred to the Drake-Medox Clinic where she went for an assessment on December 3, 1999 and then for a six-week work-conditioning program from December 3, 1999 to January 26, 2000. A "Functional Capacity Evaluation" of the plaintiff was performed by the Clinic on February 22 and February 23, 2000. I made a ruling at the outset of trial regarding the report submitted by the defendants from Drake Medox Health Services, co-signed by Sean McBeth and Andrew Sumner. My ruling was that that report failed to comply with Rule 40A. As Mr. Justice Henderson held in Heiderbrecht v. Fraser-Burrard Hospital Society, </w:t>
      </w:r>
      <w:hyperlink r:id="rId550" w:history="1">
        <w:r>
          <w:rPr>
            <w:rFonts w:ascii="arial" w:eastAsia="arial" w:hAnsi="arial" w:cs="arial"/>
            <w:i/>
            <w:color w:val="0077CC"/>
            <w:sz w:val="20"/>
            <w:u w:val="single"/>
            <w:shd w:val="clear" w:color="auto" w:fill="FFFFFF"/>
            <w:lang w:val="en-US" w:eastAsia="en-US" w:bidi="ar-SA"/>
          </w:rPr>
          <w:t>(1995) 15 B.C.L.R. (3d) 189</w:t>
        </w:r>
      </w:hyperlink>
      <w:r>
        <w:rPr>
          <w:rFonts w:ascii="arial" w:eastAsia="arial" w:hAnsi="arial" w:cs="arial"/>
          <w:color w:val="000000"/>
          <w:sz w:val="20"/>
          <w:lang w:val="en-US" w:eastAsia="en-US" w:bidi="ar-SA"/>
        </w:rPr>
        <w:t>, I concluded that our rules make no provision for the entry in evidence of joint or corporate opinions and that an opinion must be that of an individual expert within the scope of that person's own expertise. However, the matters canvassed in the report were to a large extent questions of observations rather than opinion and two of the persons involved in delivering the Drake Medox program (one of whom, Sean McBeth, was a co-author of the report) were called as witnesses. Counsel for the plaintiff did not object to their evidence and cross-examined them about their observations and the conclusions they drew from those observations regarding the plaintiff's ability to return to work. They made some reference to the report in their testimony, basically as a record of those observations. I refer to the report only insofar as it sets out observations of the plaintiff's physical capabilities at a particular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Susan Castell-Brown, physiotherapist, testified about the program and the plaintiff's physical examination on her discharge, which showed full functional range of motion in the neck, 85%, 100% and 90% in aspects of mid-back range of motion, and full range of motion for the lower back in all directions. Sean McBeth testified that the plaintiff seemed able to perform all of the tests with a full range of motion. He reported that he found no "symptom magnification" during the tests. He agreed on cross-examination that he did not have direct knowledge of what the correctional officer job required and relied on the written job description and on information provided by Denise Denise Dolnik, the I.C.B.C. case co-ordinator, who visited the Burnaby Correctional Centre for Women on February 1, 2000 to review the job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Functional Capacity Evaluation report states that in the course of that evaluation Ms. Schweighardt demonstrated the requirements necessary to return to her normal work duties as a correctional officer. The authors also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Schweighardt's primary area of apprehension regarding resuming work relates to her right wrist symptoms. The client reports that these symptoms do not follow a consistent pattern of onset or intensity. More specifically, she expressed concern regarding the right wrist "giving way" during unpredictable emergency situations (e.g. physical restraint of an inmate). It should be noted that the client did not report such a sensation over the two days of FCE testing.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Taking these concerns into consideration, it is recommended that the client initially return to work on night shift. The job site visit completed by the referral source revealed that there is a reduced risk of "physical involvement" (i.e. inmate restraints) during the evening shift due to the lockdown of inmates. This is a temporary strategy (two to four week maximum) aimed at maximizing the likelihood of a successful and durable return to work. Having said this, it is important to note that there were no objective physical findings on FCE testing which would contraindicate a resumption of normal work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testified that when she saw Dr. Prasad, the sports medicine specialist, on February 17, 2000, he recommended that she return to work with a wrist splint. Ms. Schweighardt declined to do so. She expressed concern that, as a correctional officer, by wearing a wrist splint she would be signalling vulnerability to the inmates and she would be at danger herself and unable adequately to assist her co-workers in the event of need. Dr. Shah supported her in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Schweighardt did not believe that the Functional Capacity Evaluation had provided reliable information because she did not consider that the tests bore a realistic relationship to the actual job requirements of a correctional officer. For example, she said, there was nothing like a real test of her ability to restrain or handcuff an uncooperative inmate. Sean McBeth agreed that during those tests he did not offer resistance to Ms. Schweighardt.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did not attempt a return to work. Asked why on direct examination, she testified that her neck, shoulders, back, middle back and hips were still hurting "24/7". She said that she was having incredible losses of control and pain in her right hand, leading her to drop things. She also expressed concerns to Denise Dolnik, the I.C.B.C. case co-ordinator, about her hips and her ability to handle stairs. Her evidence was that she felt it was unsafe for herself and for others for her to go back to work because if she had had to respond to a critical incident she would have been incapable of doing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Shah did not recommend a return to work. In his letter of June 26, 2000, after describing the plaintiff's March 25, 1999 visit following the motor vehicle accident and then her May 17 visit following the severe pain experienced when crushing the box,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made arrangements to refer the patient to a hand specialist by the name of Dr. Goetz. He felt initially that a possible nerve problem was the issue. Nerve conduction studies were normal. He then referred patient to Dr. Stolar a rheumatologist.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Dr. Stolar and Dr. Goetz have come back as saying that Ms. Schweighardt does indeed have pain in the wrist but unfortunately the diagnosis has not been apparent. Ms. Schweighardt did indeed have a MRI of the right wrist, which did not reveal any diagnosis. Since then she has a physical medicine specialist by the name of Dr. Jaworski who feels that the patient has a problem with chronic non-malignant pain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Functional Evaluation Capacity report is quite fair in its statement of the patient's capacity. However, I believe there is one important point that needs to be clarified: Ms. Schweighardt has related to me that in her job there is always a threat of violence with the prisoners and that she would have to be physically able to deal with it any given time. With her inability to use her wrist effectively she would be putting herself and her colleagues at risk. Because of that issue, I do not believe Ms. Schweighardt can work at her job as a Security Office (sic). I do not see any difference in the Night or Day shift as related to me by Ms. Schweighardt, as the risk of violence is present at any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 not recommend any other forms of treatment. I believe we have exhausted all specialist reviews and clearly Ms. Schweighardt has a problem with chronic pain and weakness in the right wrist which does not allow her to function in a quick response required of her job as described to me by the patient.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she will have to look at alternative careers, which do not require the use of her wrist in such a forceful manner as Corrections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other muscular injuries that were suffered by Ms. Schweighardt are at a plateau, which means that I do not see any further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was cut off from further I.C.B.C. benefits as of March 2000. Between then and the summer of 2000, she became depressed. She went onto social assistance in the summer of 2000 and was assaulted in a food bank lineup in July, 2000. She testified that being in those circumstances has been very difficult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March 6, 2001 Ms. Schweighardt attended a meeting with John Pastorek, the Director of Operations of the Burnaby Correctional Centre for Women. Also in attendance were a member of the personnel department and a representative of her union. It was agreed that the plaintiff could re-enter into a position as an Auxiliary Security Officer at Burnaby Correctional Centre for Women with the permission of her doctor, with 2277.55 previously earned hours, and she could be placed on the call-board according to the seniority flowing from those hours. No letter of termination would be issued and there would be no hard and fast time frame for re-entry. She would have to start over, however, and work another 1827 hours before she would be eligible for all benefits. Mr. Pastorek testified that certain kinds of accommodation could be attempted should she still have physical problems, though I concluded from his evidence that the range of such options was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Pastorek testified that Ms. Schweighardt's status as of the date of trial is a little less certain than it was in March, 2001, because time has passed and the Burnaby facility has been targeted for 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Shah recommended that she attempt some kind of different work where use of the wrist would not be crucial. In his report of June 26, 2000, he said that he did not see her ever returning to her job as a correctional officer because of the risk of violence and her feeling that there is weakness in her wrist. He said, "it is my opinion that she will have to look at alternative careers, which do not require the use of her wrist in such a forceful manner as Corrections work". In his report of November 2, 2002, he opines that she is unable to perform her job as corrections officer as "she feels that she would be unsafe in that position in terms of her being able to perform in potentially violent situations". He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also consider her unable to work in terms of her depression and anxiety, which presently are causing her problems. It is my opinion that until the depression and anxiety are sorted out for this lady in terms of counselling, she will probably not be successful at any job. However, she may be able to perform in a sedentary low-tech capacity provided she was getting some kind of help in terms of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Schweighardt has never attempted a return to work. At trial, she testified that her physical health is still the same as it was within days of the accident. She swore that she still gets headaches, her neck hurts, and the top of her shoulders and middle of back and shoulder blades "drive me nuts". Her lower back hurts all the time, she said. She said, "Everything hurts all the time". She swore that her right hand and wrist have become worse, and that she is in a really serious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turn now to the medical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Shah wrote reports summarizing his opinion regarding Ms. Schweighardt's injuries. In his first report (June 26, 2000) after setting out Ms. Schweighardt's description of the motor vehicle accident he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had no direct injury but complained immediately of neck, back, bilateral hips and shoulders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Examination revealed normal central nervous system and bony spinal exam. However she had intensely tender neck, paraspinal and hip muscles. She appeared stiff and had restricted range of movement in the neck and the bilateral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set out above, he proceeded to comment that the Functional Capacity Evaluation report seemed quite fair, but that Ms. Schweighardt's inability to use her wrist effectively meant that she could not return to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his second report, dated February 10, 2002, Dr. Shah described three problems: persistent hand and wrist pain; persistent neck and back pain and depression. He wrote that Ms. Schweighardt "has complained of persistent right hand and wrist pain". He referred to multiple investigations by specialists and stated, "Nothing significant has been found and she has on examination got reasonable grip strength and is neurologically intact". He said that he was unable to provide a prognosis with respect to this pain of unknown cause because of the absence of any objective clinical signs. Dr. Shah wrote that Ms. Schweighardt had complained of neck and upper back pain since the accident, despite multiple series of manual therapy. He described trigger points in the cervical paraspinal muscles and in the bilateral trapezius muscles and stated, "I suspect that she will need to keep stretching and strengthening her muscles permanently." As for the depression, Dr. Shah stated that he had diagnosed it, confirmed by Dr. Mallavarapu (a psychiatrist) and that despite trying various medications Ms. Schweighardt was not improving as well as she could.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Cognitively she is quite significantly improved and it is my opinion that prior to the accident she was well. But since the accident she has deteriorated as well. She has had chronic pain and she has poor financial well-being and an inability to work. By this I meant that Ms. Schweighardt did not feel she could return to the Corrections Canada but she would have better off returning to a different from (sic) sedentary work and would not have had the issues of worrying about her wrist. She also has poor functioning skills. All these have contributed to her depression. I think it is fair to say that the accident probably was one of the causative factors in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for prognosis, Dr. Shah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depression, I think this lady needs to have Cognitive counselling with a Registered Psychologist and she needs to relearn some skills to get back into functioning with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after some counselling such as described above (perhaps 8-10 sessions) she should be able to return to full time sedentary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believe any more that a referral to a pain clinic will serve any useful purpose. I believe she has had sufficient multi disciplinary input from the various referrals we have organized that most of the work will be duplicated.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his third report, on November 7, 2002, Dr. Shah stated that Ms. Schweighardt had seen Dr. Mallavarapu, had attended the Surrey Memorial Psychiatric Day Hospital, and had seen a counsellor once. He stated the opinion that although Ms. Schweighardt had been taking medication for depression she will not really recover from it "until she has dealt with the issues of loss of her work, loss of her independence, going on Welfare support was devastating for her and caused her to lose a great deal of self esteem and confidence." He then opined that "her depression will settle down as long as she takes her medication and does receive the benefit from individual counselling that has been recommended". As for right hand and wrist problems, Dr. Shah wrote that "although a clear diagnosis has not been made, it is probably correct to state that right hand and wrist pain is related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stated that the depression caused Ms. Schweighardt to withdraw from any kind of activity and that she has then found that there is no improvement to the neck and back pain; thus, he foresaw no improvement to the neck and back until the depression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Shah wrote that Ms. Schweighardt has suffered from anxiety on a chronic basis since the accident, that it worsened in 2000 and stated, "Until this lady has her financial problems and thus her ability to work sorted this will be constant source of her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his concluding comments, Dr. Shah wrote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her job as a corrections officer, Ms. Schweighardt is clearly unable to perform her job as she feels that she would be unsafe in that position in terms of her being able to perform in potentially violent situations.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also consider her unable to work in terms of her depression and anxiety, which presently are causing her problems.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until the depression and anxiety are sorted out for this lady in terms of counselling she will probably not be successful at any job. However, she may be able to perform in a sedentary low-tech capacity providing she was getting some kind of help in terms of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Shah's was the only report from a treating physician. In addition there were reports from Dr. Lu, psychiatrist, tendered by the plaintiff, and from Dr. Holden, psychiatrist, and Dr. Favero, orthopaedic surgeon, tendered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Lu, who saw her on August 16, 2002, stated in his report dated September 16, 2002 that Ms. Schweighardt suffers from major depression at a level that would be considered moderate. He found no indication from her history that there were predisposing factors such as a family history of depression or her own prior depressive illness. He saw no indication of psychopathology prior to the motor vehicle accident. He referred to the importance of the correctional officer job to Ms. Schweighardt's future plans,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she has a great deal of pain from her wrist, in my opinion I do not think the pain in and of itself is the major factor in precipitating her depression. Rather, her pain limits her capacity to work, limits her capacity to be confident in her conduct in her job. As a result, she does not feel she can be a confident and fit officer. Given her strong work and moral ethics, this certainly is a blow to her sense of self-esteem.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Later,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feels ICBC is treating her as a liar and a malingerer. ... she feels a lack of control and being unfairly treated. I believe, in this context, her chronic pain becomes an exacerbating factor. I believe that, if her physical symptoms had been taken seriously and a realistic evaluation had been performed, Ms. Schweighardt would be the type of individual who would persevere with physiotherapy to gain full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conclusion on this topic,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combination with significant financial instability, dependency on others, and requirement for welfare support, Ms. Schweighardt's self-esteem was adversely affected. Based on the above information, I believe the motor vehicle accident that took place on March 24, 1999 has been a contributing factor in the precipitation of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Lu's opinion is that Ms. Schweighardt is clearly unable to return to her previous occupation at the present time and that ongoing treatment for her depression is imperative, which treatment would have to include psychotherapy for about a year as well as medication. As well, referral to the St. Paul's Hospital Complex Pain Clinic might be an option, he said. He stated that, given Ms. Schweighardt's excellent working history in the past and her motivation to get better, with proper treatment of her depression, she should be able to return to full-time work in an alternative, more sedentary occupation. With appropriate help, he wrote, she will probably recover from her depression within a year at which point she would likely be able to return to work on a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Holden, who saw Ms. Schweighardt on November 14, 2002, for an independent medical examination, reached findings which he said were quite consistent with those of Dr. Lu. He agreed that Ms. Schweighardt continues to show signs of a moderately severe major depressive disorder.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it can be seen that a sequential review of the history, from the time of the index MVA to the date of the assessment, is fully consistent with the development of a major depressive disorder complicating pain and stiffness predominantly affecting the upper body, neck and right hand. The treatment interventions attempted along the way appear to have been theoretically appropriate, but generally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Holden described his findings on examination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presentation was consistent with major depression of at least a moderate severity. Her emotional expression was fully consistent with the underlying mood state and there were no features of psychosis or neurologically-derived cognitive impairment. Speech was normal in form and content and at no time did she appear to be factitiously elaborating or minimizing subjective symptomatology. It was my opinion that she was describing both her physical and mental symptoms exactly as they were being subjectively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all probability, the index MVA was the precipitant for the soft tissue injury leading to the pain in the upper back and neck regions. Whether or not the subsequent pain that developed in the right wrist was also caused by this accident is beyond my own area of expertise. Be that as it may, there is little doubt that the pain in this area subsequently became a significant focus for Ms. Schweighardt, to a degree that superceded the pain and discomfort consequent upon the mild injury to her upper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depression, he says, seems to have developed somewhere from six to nine months after the accident as a direct result of her failure to improve at the rate which she had originally anticipated. Dr. Holden wrote that the psychiatric aspects of the case are straightforward: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Schweighardt continues to show moderately severe agitated depression which, despite appropriate attempts at treatment, has now become linked by classical psychodynamic mechanisms to the various pains she experiences, particularly that in her right hand. It would be ingenuous to ignore the possible contribution played by the ongoing medicolegal case, particularly as regards any claims that the pain and dysfunction in the right hand are the result of the index MVA. It is worth reiterating yet again that the chronic pain syndrome affecting the right hand has developed irrespective of the cause of "something going crack in my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Holden stated "there seems little doubt that Ms. Schweighardt cannot function as a correctional officer in her current state". However, he considers that she is likely to experience a full psychiatric recovery. He states that the degree of any underlying physical pathology will become evident once the emotional factors overlaying the physical pathology have been removed. Concluding that "[d]epression has become inextricably linked with subjective pain in the upper body and wrist, by virtue of fairly straightforward psychosomatic mechanisms", he opined that "[f]urther aggressive treatment of the depressive component, through the use of alternate antidepressant medications and appropriate psychotherapeutic counselling, should lead to significant improvement within three to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an addendum dated November 16, 2002 Dr. Holden responded to a question from counsel: "Would Ms. Schweighardt have gone on to develop a significant depressive illness had she not injured her right wrist approximately seven weeks after the index motor vehicle accident?" The question, of course, assumes that the motor vehicle accident did not cause an injury to the wrist - a fact very much in dispute. Dr. Holden's response, then, must be considered with that important caveat. On the premise that the injury to the wrist did not occur in the motor vehicle accident but instead almost seven weeks later,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Schweighardt initially expected that she would recover from the soft tissue injuries within two to three months of the index accident. Medical evidence shows that she appeared to have what could be described as a realistic appreciation of the nature of her injuries, immediately following the accident. By her own account, she was aware that the pain and inflammation should have been expected to steadily resolve with standard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Ms. Schweighardt was emotionally sound, physically fit and motivated to complete the practical training necessary for her to become a fully qualified correctional officer. It is my opinion, based upon a review of the documentation, as well as her own statements at interview, in the initial stages at least, that there were no complicating psychological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Unfortunately the slow steady improvement, noted in the family physician's record, was abruptly interrupted by the injury to her wrist. A complicating physical, and subsequently psychological, component was introduced. By her own account, supported by a review of the documentation, the pain and impairment due to the wrist problem became the increasing focus of concern.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be noted that there are no specific references to depression complicating the overall picture until some time later in 1999 when she was becoming increasingly involved in the investigation and treatment of the wrist problem. There are no references to an abnormal mood state prior to the wrist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Putting all of these factors into perspective leads to the conclusion that Ms. Schweighardt would not have gone on to develop a major depressive disorder were it not for the additional impact of the wrist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Dr. Favero saw the plaintiff for an independent medical examination. His 21-page report, dated October 25, 2002, was objected to by counsel for the plaintiff on several grounds: that it states opinions outside the doctor's expertise; that it regurgitates the opinions of other medical people who were not called to give evidence; and that it includes improper generalizations and postulations. Ms. Brunton cited Sebastian v. Neufeld, </w:t>
      </w:r>
      <w:hyperlink r:id="rId551" w:history="1">
        <w:r>
          <w:rPr>
            <w:rFonts w:ascii="arial" w:eastAsia="arial" w:hAnsi="arial" w:cs="arial"/>
            <w:i/>
            <w:color w:val="0077CC"/>
            <w:sz w:val="20"/>
            <w:u w:val="single"/>
            <w:shd w:val="clear" w:color="auto" w:fill="FFFFFF"/>
            <w:lang w:val="en-US" w:eastAsia="en-US" w:bidi="ar-SA"/>
          </w:rPr>
          <w:t>[1995] B.C.J. No. 1684</w:t>
        </w:r>
      </w:hyperlink>
      <w:r>
        <w:rPr>
          <w:rFonts w:ascii="arial" w:eastAsia="arial" w:hAnsi="arial" w:cs="arial"/>
          <w:color w:val="000000"/>
          <w:sz w:val="20"/>
          <w:lang w:val="en-US" w:eastAsia="en-US" w:bidi="ar-SA"/>
        </w:rPr>
        <w:t xml:space="preserve"> (S.C.), Hennessy v. Rothman, </w:t>
      </w:r>
      <w:hyperlink r:id="rId552" w:history="1">
        <w:r>
          <w:rPr>
            <w:rFonts w:ascii="arial" w:eastAsia="arial" w:hAnsi="arial" w:cs="arial"/>
            <w:i/>
            <w:color w:val="0077CC"/>
            <w:sz w:val="20"/>
            <w:u w:val="single"/>
            <w:shd w:val="clear" w:color="auto" w:fill="FFFFFF"/>
            <w:lang w:val="en-US" w:eastAsia="en-US" w:bidi="ar-SA"/>
          </w:rPr>
          <w:t>[1988] B.C.J. No. 350</w:t>
        </w:r>
      </w:hyperlink>
      <w:r>
        <w:rPr>
          <w:rFonts w:ascii="arial" w:eastAsia="arial" w:hAnsi="arial" w:cs="arial"/>
          <w:color w:val="000000"/>
          <w:sz w:val="20"/>
          <w:lang w:val="en-US" w:eastAsia="en-US" w:bidi="ar-SA"/>
        </w:rPr>
        <w:t xml:space="preserve"> (S.C.) and Hughes v. Haberlin, </w:t>
      </w:r>
      <w:hyperlink r:id="rId553" w:history="1">
        <w:r>
          <w:rPr>
            <w:rFonts w:ascii="arial" w:eastAsia="arial" w:hAnsi="arial" w:cs="arial"/>
            <w:i/>
            <w:color w:val="0077CC"/>
            <w:sz w:val="20"/>
            <w:u w:val="single"/>
            <w:shd w:val="clear" w:color="auto" w:fill="FFFFFF"/>
            <w:lang w:val="en-US" w:eastAsia="en-US" w:bidi="ar-SA"/>
          </w:rPr>
          <w:t>[1997] B.C.J. No. 2872</w:t>
        </w:r>
      </w:hyperlink>
      <w:r>
        <w:rPr>
          <w:rFonts w:ascii="arial" w:eastAsia="arial" w:hAnsi="arial" w:cs="arial"/>
          <w:color w:val="000000"/>
          <w:sz w:val="20"/>
          <w:lang w:val="en-US" w:eastAsia="en-US" w:bidi="ar-SA"/>
        </w:rPr>
        <w:t xml:space="preserve"> (S.C.) as authorities showing that such evidence is inadmissible. Dr. Favero examined the plaintiff in person, and there was no objection to his evidence regarding his findings on that examination. However, in his detailed review of the clinical records, which includes a summary of the reporting letters from the numerous specialists to whom Dr. Shah referred the plaintiff, he repeats out-of-court statements of opinion by the other physicians, or statements of fact which have not otherwise been proved in evidence. I disregard those portions of his report. As well, I disregard his statement of opinion about the amount of force present in the impact, being a matter beyond his expertise as an orthopaedic surgeon, and I give his evidence regarding the plaintiff's psychological state lesser weight than the evidence of the psychiatric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Favero states the opinion that as a result of the motor vehicle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Ms. Schweighardt probably suffered mild to moderate soft tissue injuries to her neck/upper back, low back and shoulder girdles. It is my opinion, based on my review of Ms. Schweighardt's exhaustive clinical records, that there is no reasonable evidence that she suffered any specific injury to her right wrist, either directly or indirectly, as a result of her March 24, 1999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Insofar as he is stating his conclusion about the inference to be drawn from the clinical records, I disregard that opinion because all of the contents of those clinical records have not themselves been proved in evidence (specifically, the opinions of various treating specialists who were not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However, I will consider Dr. Favero's evidence regarding his findings on his own examination of the plaintiff. His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at the time that I assessed Ms. Schweighardt, on October 25, 2002, she did not have any significant nor specific orthopaedic or neurologic findings regarding her neck, back, shoulder girdle or hip girdle complaints. Specifically, her neurologic examination in her upper extremities was unremarkable for any problem with a cervical radiculopathy, a thoracic outlet syndrome, or a peripheral neuropathy. My clinical examination excluded all of these disorders as being possible causes of Ms. Schweighardt's persistent upper extremity non-specific sensory and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states that, based on his experience in assessing and treating soft tissue injuries, he would have expected Ms. Schweighardt's symptoms from the mild to moderate soft tissue injuries to have significantly improved over the first six to eight weeks after the accident and to have essentially resolved after twelve weeks, such that there would be no ongoing significant limitation or restriction in her usual work, recreational or homemaker activities. In his opinion it would have been "reasonable" for her to miss four to six weeks' work as a correctional officer, then to return on a graduated basis over an additional four weeks. Appropriate treatment would have included some form of physiotherapy or manual therapy for the first six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Although Dr. Favero states the opinion that the plaintiff does not require any further investigations for her soft tissue pain complaints, he also states that he would not be surprised if her "non-specific multiple soft tissue pain complaints" persist due to "significant non-physical/psychosocial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With respect to the hand and wrist, Dr. Favero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Ms. Schweighardt's complaints in her right hand and wrist, her clinical examination of October 25, 2002 demonstrated that she had well developed calluses in her right palm (i.e. this finding was also noted by Dr. Jaworski), which, together with her normal grip strength, would suggest that she uses her right hand in a regular and strenuous manner, in spite of her subjective pain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disregard the reference to a finding by Dr. Jaworski, who was not called.)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I can determine ... it would appear that her more specific right wrist pain/catching complaints began following the episode on May 17, 1999 in which she was crushing a box with her right hand. This might explain the cause of any symptomatic mid carpal laxity/instability that Ms. Schweighardt might now experience in the right wrist.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Those patients that I have seen with symptomatic mid carpal laxity/instability following injury usually have a clear history of having suffered a specific injury to their wrist in their accident, generally consisting of a forced extension or dorsiflexion injury to their wrist. In these cases their pain and instability symptoms generally present almost immediately.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Assuming that Ms. Schweighardt does have some mild symptomatic right wrist mid carpal laxity/instability, it is my opinion that this would not account for her more diffuse pain/sensory complaints affecting the entire hand/forearm, her reported disability regarding use of the right upper extremity, or her reported inability to have returned to her previous employment and most of her normal recreational activities. It is my opinion that all of these findings, that cannot be explained on a biologic or clinical basis, suggest that non-physical or psychosocial factors are influencing the subjective severity of Ms. Schweighardt's complaints, and her self-perception of ongoing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Favero recommended no treatment for the right wrist complaints other than the occasional use of a wrist brace.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cross-examination, Dr. Favero agreed that the plaintiff could be mobile yet still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issues I must decide are:</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physical injuries did the plaintiff suffer as a result of the motor vehicle accident on March 24, 1999?</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injuries suffered in the motor vehicle accident cause the plaintiff to develop depression, chronic pain syndrome and anxiety?</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plaintiff's injuries and psychological issues resolved, or if not, when are they likely to resolve?</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losses did the plaintiff experience as a result of the injuries and what award of damages is fair and reasonable to compensate her for them?</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failed to mitigate her losses?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physical injuries did the plaintiff suffer as a result of the motor vehicle accident on March 24,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will comment at this juncture on some issues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With respect to Dr. Shah, the defendants' position was that I should give his opinion little weight because he had taken on an advocacy role. I do not accept that suggestion, and will give his opinion the weight appropriate to his qualifications and to the subject-matter. Dr. Shah's evidence was not always favourable to the plaintiff, and he defended his opinions 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had some concerns about exaggeration and evasiveness on the part of the plaintiff. At the outset of her cross-examination, she was asked about the accident. Counsel for the defendants suggested that the impact was not too hard, and she replied that she would say it was, that it was a "big jolt". She agreed that her vehicle was stopped. She was asked whether the other car was starting to slow down, and said that it did not look that way to her. However, her statement to the I.C.B.C. adjuster on March 29, 1999 was put to her, and she agreed that she had said then that "the impact was not too hard, she was maybe starting to slow when the impact occurred. It was more like a jolt". On the important issue whether she braced her hand on the dashboard in the accident, she expressed certainty at trial that she had done so, yet agreed that on earlier occasions she had not mentioned this or had not been certain. When cross-examined about what she had said to Dr. Ward, the first specialist whom she consulted about the right hand/wrist, she was evasive and it took considerable time for her to admit that she had told Dr. Ward that only her neck was injured in the motor vehicle accident. On another matter, her evidence about the amount of time she had worked at the Surrey Inn, although supported by Arnold Nociar, was not borne out by the records of that establishment.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well, I had the opportunity to view in court, and to review later, two surveillance videos of the plaintiff taken in December 2001 and November 2002. They show her in her garden and on her back deck, as well as standing and chatting for a lengthy period of time with her father and a friend. Her movements do not seem to be restricted. She does move somewhat deliberately. I could not see any rubbing of the neck or shoulder. In court, the plaintiff seemed often to be stretching or rubbing those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videotape evidence was not consistent with the plaintiff's evidence at trial that "everything hurts all the time" and that the pain is still the same as it was within days of the accident. She did not testify that her pain somehow worsened after May, 2002. I find that she was exaggerating when she made those statements although on the whole I accept her evidence regarding the pain experienced in the period following the accident, and I accept that the soft tissue injuries still cause her some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am satisfied on the evidence that Ms. Schweighardt until the motor vehicle accident was an energetic person who was keen on her new career in corrections, that she had no history of physical or mental problems in any of the areas she now complains of, and no history of avoiding work. Therefore, I accept on the evidence as a whole that Ms. Schweighardt suffered mild to moderate soft tissue injuries in the accident, which caused her significant pain for a time. I will address later my conclusion about the time at which the soft tissue injuries had by and large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turn now to the question of causation. The defendants did not dispute that Ms. Schweighardt suffered soft tissue injuries to her back, shoulders and neck and hips although counsel suggested that the impact was not severe and submitted that the injuries were mild. As stated above, I have concluded on the evidence that the plaintiff did suffer mild to moderate soft tissue injuries to those areas. The defendants' position, however, is that the motor vehicle accident did not cause any problem she is experiencing with her right wrist and hand, did not cause her failure to return to work, and did not cause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deciding questions of causation, the test to be applied is set out in Athey v. Leonati, </w:t>
      </w:r>
      <w:hyperlink r:id="rId14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Major J. wrote at 466-67: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 is established where the plaintiff proves to the civil standard on a balance of probabilities that the defendant caused or contributed to the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Snell v. Farrell, </w:t>
      </w:r>
      <w:hyperlink r:id="rId554"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this Court recently confirmed that the plaintiff must prove that the defendant's tortious conduct caused or contributed to the plaintiff's injury. The causation test is not to be applied too rigidly. Causation need not be determined by scientific precision...,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will frequently be a myriad of other background events which were necessary preconditions to the injury occurring.... As long as a defendant is part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made it clear that a contributing factor is material if it falls outside the de minimis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must establish on a balance of probabilities that the accident was a material cause of the injuries of which she complains.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Has the plaintiff established on a balance of probabilities that the accident caused an injury to her right hand and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evidence at trial was that she braced her hand against the dashboard when, seeing the other car approaching, she anticipated the accident. However, I find that this was essentially a reconstruction on her part. She did not report at the time any blow or even contact between her hand and the vehicle. Dr. Shah did not record any injury to the hand or wrist when he saw the plaintiff on March 25, 1999. Her statement to the adjuster on March 29, 1999 does not mention any problem with her right hand or wrist. Her claim form signed that day mentions only back, shoulder and head pain. She agreed that when she saw Dr. Ward on October 5, 1999, she denied that her hand was injured in the motor vehicle accident and said that only her neck was injured. (She did, however, tell him that she felt that her problem was related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She now feels that she "must have" braced her hand because of the problems she has since experienced with it. She described to therapists something "not right in her hand" after the accident and some experience of pain and loss of coordination or power in the hand, but she did not report symptoms comparable to those reported after May 16th. There is no record of her mentioning a problem with her hand or wrist (although she did mention weakness in her arm) to Dr. Shah until May 17, 1999, when she went in on an urgent basis after the box crushing incident. Three witnesses (her friend Vicky Whittaker, her father Frank Schweighardt and her brother Darcy Schweighardt) testified that they recalled the plaintiff rubbing her wrist or (Darcy Schweighardt) dropping a coffee cup from her right hand in the weeks following the accident. That evidence is further support that the plaintiff felt something "not right" and experienced loss of power in the hand, but it is not evidence of dramatic shooting pains.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severe symptoms in her hand and wrist only began on May 16, 1999 when she squeezed the cardboard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sudden pain and loss of power in the right wrist of which the plaintiff complains, and which she said occurs with some frequency, has never manifested itself during a visit to a physician; nor did it do so during the work rehabilitation program with the Drake-Medox clinic nor during the Functional Capacity Evaluation tests. None of the doctors, neither the specialists nor Dr. Shah, has been able to find any physical cause of the symptoms which the plaintiff reports relating to her wrist and hand. None of the medical reports states an opinion that the motor vehicle accident on March 24, 1999 caused an injury to her wrist or hand. Notably, on cross examination, Dr. Shah agreed that when he was sent a draft affidavit by the plaintiff's counsel on November 6, 2000, that stated, "on 26 May 1999, Ms. Schweighardt attended at my office with continuing complaints of pain in the right wrist and I diagnosed it as a wrist sprain caused by the motor vehicle accident on 24 March 1999", he declined to swear to the truth of that statement. In his November 7, 2002 report, Dr. Shah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Shelly has since the accident complained persistently about the pain in the right hand and the wrist as well. She has seen a multiple number of physicians regarding her wrist and hand pain. She has had various radiological studies done. Nothing significant has been located by any of those physicians.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Shelly has complained of pain on a persistent basis in the right hand since her motor vehicle accident. I do accept that although a clear diagnosis has not been made, it is probably correct to state that right hand and wrist pain is related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is not a statement of opinion that the accident caused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position is that she did not suffer any problems with this hand or wrist before the accident and that, because these problems began after the accident, and because it is implausible that squeezing a small cardboard box could cause such an injury, I should accept that the accident caused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the absence of any medical evidence to support the inference that the motor vehicle accident caused or contributed to the problems with the hand (aside from Dr. Shah's very qualified statement); in the absence of evidence, or even a clear contemporaneous report, of a mechanism whereby such injury could have occurred; in the absence of any objective findings to support the existence of a physical problem in the right wrist/hand; and in the light of the evidence that the severe shooting pains of which the plaintiff complains only began after the independent event of the cardboard box crushing, I do not find that the plaintiff has met the burden of establishing on the balance of probabilities that the motor vehicle accident caused or contributed to this injury beyond a minimal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While it may be implausible that the box crushing motion caused a wrist/hand problem, it is also implausible that an accident not directly involving the hand or arm would cause such problems in those areas to appear some seven weeks later. The plaintiff has the burden of proof and I find that she has not met it in this regard.</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injuries suffered in the motor vehicle accident cause the plaintiff to develop depression, chronic pain syndrome or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Did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 to the plaintiff's development of depression, chronic pain syndrome and anxiety? (I will refer to these together as the "psychological issues'.) The defendants' position is that it did not. Rather, Mr. Urquhart argued, the psychological issues flowed from the plaintiff's absence from the work force and her poverty, and those states were not caused by the physical injuries - they were caused by the plaintiff's perception that her wrist/hand problem prevented her from returning to work and her consequential failure to return to work. On the other hand, counsel for the plaintiff argued that the injuries suffered in the motor vehicle accident, and the plaintiff's frustration as she failed to recover from them and as she felt that she was disbelieved by the insurance corporation, were materially contributing causes of the psychological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Holden's opinion in the addendum to his report was that Ms. Schweighardt would not have gone on to develop a major depressive disorder were it not for the additional factor of the wrist injury. However, he also stated in his original report that "[d]epression has become inextricably linked with subjective pain in the upper body and wrist by virtue of fairly straightforward psychosomatic mechanisms". Dr. Shah stated the opinion that the accident was one of the causative factors in the depression. Dr. Lu's opinion is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conclude that the plaintiff has met the burden to establish on the balance of probabilities that the motor vehicle accident was a material cause of the psychological issues. The medical evidence on the whole supports that conclusion. The contrast between Ms. Schweighardt before the accident (active, energetic, strong, fit and confident) and after the accident (passive, lethargic, negative in outlook and consumed by the accident and its aftermath) was strongly drawn by such witnesses as Stephen Andreasen, Deborah Blaney, Arnold Nociar, Frank Schweighardt, Darcy Schweighardt, Vicky Whittaker and the plaintiff herself. While other matters, including the wrist or hand injury, have certainly made a major contribution, so did the soft tissue injuries. In other words, I think that both were material causes. Despite the plaintiff's emphasis (and this is confirmed in Dr. Shah's reports) on the wrist/hand problems, and even though the pain from the soft tissue injuries to the neck, shoulders, back and hips has plateaued, I note that the plaintiff consistently complained of pain in those areas and that it is that pain that she says has kept her from vigorous physical activity. Dr. Lu testified about the link between a lack of physical activity and the psychological issues. I conclude that the soft tissue injuries are more than a de minimis contributing cause of the psychological issues.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plaintiff's injuries and psychological issues resolved, or if not, when are they likely to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defendants' position is that the plaintiff should have been able to return to work within eight weeks of the accident, or, in the alternative, at the very latest by the end of February 2000. Because of my conclusion that the plaintiff has not proved that the accident caused her acute hand/wrist problems, I must do my best to determine how long she would have continued to suffer pain and psychological issues as a result of the accident if those hand/wrist problems had not developed. In particular, the evidence suggests that being off work has been a key factor in the development of the psychological issues. How long would the plaintiff have been off work if her only physical problems had been the soft tissue injuries suffered in the accident (including the problems with weakness in her arm that she reported prior to May 16,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Functional Capacity Evaluation report concluded that as of the end of February, 2000, the plaintiff was able to return to work as a correctional officer, even with the wrist/arm issues. Although the plaintiff's position is that the report was not sufficiently informed by the realities of the plaintiff's job requirements to be helpful, I find that it was based on careful observations and physical testing. At a minimum, it provides clear evidence that Ms. Schweighardt was ready to resume some form of work as of March 1, 2000. A report was tendered by the plaintiff, prepared by Mr. Carl Chase, a vocational rehabilitation consultant, who had interviewed Ms. Schweighardt and had administered some tests. He summarized his opinion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Ms. Schweighardt is no longer capable of working as a Correctional Service Officer as a result of her injuries. Since the accident, she has also developed Major Depression that would likely need to be treated prior to workforce re-entry. Following successful treatment, she would be employable full-time in sedentary occupations, such as office work. Residual physical limitations would need to be clarified, however, and she will likely require some form of job placement assistance. Ms. Schweighardt also presented as a good candidate for vocational retraining. Completion of a two year diploma program in Marketing or Human Resources would be advantageous, not only in providing her with sedentary employment, but also allowing her to return to an earning capacity more comparable to her pre-injury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Chase was called to testify, and on cross-examination he agreed that his conclusion that she was no longer capable of working as a correctional officer was based largely on her wrist/hand problems. He said that Ms. Schweighardt could have returned to work in some field as of February 2000. He testified that there were some missed opportunities for her to return to the work force, in some more sedentary field, prior to the onset of the depression and chronic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that March 1, 2000, is the date at which the plaintiff's injuries from the motor vehicle accident had sufficiently resolved that she could have attempted to return to work at the Burnaby Correctional Centre for Women or to find another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Not surprisingly, it is unclear exactly when the depression began. The first visit to a psychiatrist was on July 11, 2000. I will take that as a realistic signpost of the onset of serious psychological issues. Both the psychiatrist retained by the defendants and the psychiatrist retained by the plaintiff concluded that she requires counselling for a period, after which they both considered she will make a full recovery from the depression and other psychological issues. Dr. Lu said that that period is about a year; Dr. Holden said that it is about six months. I find that eight months is the most reasonable assessment of the period.</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losses did the plaintiff experience as a result of the injuries and what award of damages is fair and reasonable to compensate her for them?</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experienced significant pain from soft tissue injuries for some months, and continues to experience some pain (now due to the "psychological overlay"). She pursued various forms of physical therapy for one and a half years and stopped when she could no longer pay for the treatments. She continues to experience depression and anxiety. She has been unable to resume her previous physical activities, which included hiking, bicycling and jogging. The evidence suggests that the reasons are as much psychological as physical. She has not returned to work and is living in poverty. She has borrowed something like $30,000 from her family. Her enjoyment of life is much reduced from what it was before the accident. Although as I have said I do not accept the plaintiff's evidence that the pain is still as bad as it was in the period immediately after the accident, and I have found that she could have returned to work, at the latest, on March 1, 2000, I do accept her evidence that the soft tissue injuries continue to affect her to some extent. The prognosis of both Dr. Lu and Dr. Holden is that the plaintiff should recover from the psychological issues, and be able to return to work, once she has received proper treatment for the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Ms. Brunton for the plaintiff provided cases and submitted that the appropriate range of general damages was $80,000 to $100,000. She relied upon the following authorities: Schellak v. Barr, </w:t>
      </w:r>
      <w:hyperlink r:id="rId555" w:history="1">
        <w:r>
          <w:rPr>
            <w:rFonts w:ascii="arial" w:eastAsia="arial" w:hAnsi="arial" w:cs="arial"/>
            <w:i/>
            <w:color w:val="0077CC"/>
            <w:sz w:val="20"/>
            <w:u w:val="single"/>
            <w:shd w:val="clear" w:color="auto" w:fill="FFFFFF"/>
            <w:lang w:val="en-US" w:eastAsia="en-US" w:bidi="ar-SA"/>
          </w:rPr>
          <w:t>[2003] B.C.J. No. 5</w:t>
        </w:r>
      </w:hyperlink>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2003 BCCA 5</w:t>
        </w:r>
      </w:hyperlink>
      <w:r>
        <w:rPr>
          <w:rFonts w:ascii="arial" w:eastAsia="arial" w:hAnsi="arial" w:cs="arial"/>
          <w:color w:val="000000"/>
          <w:sz w:val="20"/>
          <w:lang w:val="en-US" w:eastAsia="en-US" w:bidi="ar-SA"/>
        </w:rPr>
        <w:t xml:space="preserve">; Brown v. Ryan, </w:t>
      </w:r>
      <w:hyperlink r:id="rId556" w:history="1">
        <w:r>
          <w:rPr>
            <w:rFonts w:ascii="arial" w:eastAsia="arial" w:hAnsi="arial" w:cs="arial"/>
            <w:i/>
            <w:color w:val="0077CC"/>
            <w:sz w:val="20"/>
            <w:u w:val="single"/>
            <w:shd w:val="clear" w:color="auto" w:fill="FFFFFF"/>
            <w:lang w:val="en-US" w:eastAsia="en-US" w:bidi="ar-SA"/>
          </w:rPr>
          <w:t>[2002] B.C.J. No. 219</w:t>
        </w:r>
      </w:hyperlink>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2002 BCCA 83</w:t>
        </w:r>
      </w:hyperlink>
      <w:r>
        <w:rPr>
          <w:rFonts w:ascii="arial" w:eastAsia="arial" w:hAnsi="arial" w:cs="arial"/>
          <w:color w:val="000000"/>
          <w:sz w:val="20"/>
          <w:lang w:val="en-US" w:eastAsia="en-US" w:bidi="ar-SA"/>
        </w:rPr>
        <w:t xml:space="preserve">; Yoshikawa v. Yu, </w:t>
      </w:r>
      <w:hyperlink r:id="rId557" w:history="1">
        <w:r>
          <w:rPr>
            <w:rFonts w:ascii="arial" w:eastAsia="arial" w:hAnsi="arial" w:cs="arial"/>
            <w:i/>
            <w:color w:val="0077CC"/>
            <w:sz w:val="20"/>
            <w:u w:val="single"/>
            <w:shd w:val="clear" w:color="auto" w:fill="FFFFFF"/>
            <w:lang w:val="en-US" w:eastAsia="en-US" w:bidi="ar-SA"/>
          </w:rPr>
          <w:t>[1996] B.C.J. No. 623</w:t>
        </w:r>
      </w:hyperlink>
      <w:r>
        <w:rPr>
          <w:rFonts w:ascii="arial" w:eastAsia="arial" w:hAnsi="arial" w:cs="arial"/>
          <w:color w:val="000000"/>
          <w:sz w:val="20"/>
          <w:lang w:val="en-US" w:eastAsia="en-US" w:bidi="ar-SA"/>
        </w:rPr>
        <w:t xml:space="preserve"> (C.A.); and Demedeiros v. Heinrichs, </w:t>
      </w:r>
      <w:hyperlink r:id="rId558" w:history="1">
        <w:r>
          <w:rPr>
            <w:rFonts w:ascii="arial" w:eastAsia="arial" w:hAnsi="arial" w:cs="arial"/>
            <w:i/>
            <w:color w:val="0077CC"/>
            <w:sz w:val="20"/>
            <w:u w:val="single"/>
            <w:shd w:val="clear" w:color="auto" w:fill="FFFFFF"/>
            <w:lang w:val="en-US" w:eastAsia="en-US" w:bidi="ar-SA"/>
          </w:rPr>
          <w:t>[2001] B.C.J. No. 2674</w:t>
        </w:r>
      </w:hyperlink>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2001 BCSC 1475</w:t>
        </w:r>
      </w:hyperlink>
      <w:r>
        <w:rPr>
          <w:rFonts w:ascii="arial" w:eastAsia="arial" w:hAnsi="arial" w:cs="arial"/>
          <w:color w:val="000000"/>
          <w:sz w:val="20"/>
          <w:lang w:val="en-US" w:eastAsia="en-US" w:bidi="ar-SA"/>
        </w:rPr>
        <w:t xml:space="preserve">. Mr. Urquhart for the defendants provided other cases (Tuchscherer v. McMaster, </w:t>
      </w:r>
      <w:hyperlink r:id="rId448" w:history="1">
        <w:r>
          <w:rPr>
            <w:rFonts w:ascii="arial" w:eastAsia="arial" w:hAnsi="arial" w:cs="arial"/>
            <w:i/>
            <w:color w:val="0077CC"/>
            <w:sz w:val="20"/>
            <w:u w:val="single"/>
            <w:shd w:val="clear" w:color="auto" w:fill="FFFFFF"/>
            <w:lang w:val="en-US" w:eastAsia="en-US" w:bidi="ar-SA"/>
          </w:rPr>
          <w:t>[2001] B.C.J. No. 2036</w:t>
        </w:r>
      </w:hyperlink>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2001 BCSC 1340</w:t>
        </w:r>
      </w:hyperlink>
      <w:r>
        <w:rPr>
          <w:rFonts w:ascii="arial" w:eastAsia="arial" w:hAnsi="arial" w:cs="arial"/>
          <w:color w:val="000000"/>
          <w:sz w:val="20"/>
          <w:lang w:val="en-US" w:eastAsia="en-US" w:bidi="ar-SA"/>
        </w:rPr>
        <w:t xml:space="preserve">; Vezmarovic v. Kamal, </w:t>
      </w:r>
      <w:hyperlink r:id="rId559" w:history="1">
        <w:r>
          <w:rPr>
            <w:rFonts w:ascii="arial" w:eastAsia="arial" w:hAnsi="arial" w:cs="arial"/>
            <w:i/>
            <w:color w:val="0077CC"/>
            <w:sz w:val="20"/>
            <w:u w:val="single"/>
            <w:shd w:val="clear" w:color="auto" w:fill="FFFFFF"/>
            <w:lang w:val="en-US" w:eastAsia="en-US" w:bidi="ar-SA"/>
          </w:rPr>
          <w:t>[1998] B.C.J. No. 530</w:t>
        </w:r>
      </w:hyperlink>
      <w:r>
        <w:rPr>
          <w:rFonts w:ascii="arial" w:eastAsia="arial" w:hAnsi="arial" w:cs="arial"/>
          <w:color w:val="000000"/>
          <w:sz w:val="20"/>
          <w:lang w:val="en-US" w:eastAsia="en-US" w:bidi="ar-SA"/>
        </w:rPr>
        <w:t xml:space="preserve"> (S.C.); Dhillon v. Zarek, </w:t>
      </w:r>
      <w:hyperlink r:id="rId560" w:history="1">
        <w:r>
          <w:rPr>
            <w:rFonts w:ascii="arial" w:eastAsia="arial" w:hAnsi="arial" w:cs="arial"/>
            <w:i/>
            <w:color w:val="0077CC"/>
            <w:sz w:val="20"/>
            <w:u w:val="single"/>
            <w:shd w:val="clear" w:color="auto" w:fill="FFFFFF"/>
            <w:lang w:val="en-US" w:eastAsia="en-US" w:bidi="ar-SA"/>
          </w:rPr>
          <w:t>[2001] B.C.J. No. 331</w:t>
        </w:r>
      </w:hyperlink>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2001 BCSC 271</w:t>
        </w:r>
      </w:hyperlink>
      <w:r>
        <w:rPr>
          <w:rFonts w:ascii="arial" w:eastAsia="arial" w:hAnsi="arial" w:cs="arial"/>
          <w:color w:val="000000"/>
          <w:sz w:val="20"/>
          <w:lang w:val="en-US" w:eastAsia="en-US" w:bidi="ar-SA"/>
        </w:rPr>
        <w:t xml:space="preserve">; Brar v. Johal, </w:t>
      </w:r>
      <w:hyperlink r:id="rId561" w:history="1">
        <w:r>
          <w:rPr>
            <w:rFonts w:ascii="arial" w:eastAsia="arial" w:hAnsi="arial" w:cs="arial"/>
            <w:i/>
            <w:color w:val="0077CC"/>
            <w:sz w:val="20"/>
            <w:u w:val="single"/>
            <w:shd w:val="clear" w:color="auto" w:fill="FFFFFF"/>
            <w:lang w:val="en-US" w:eastAsia="en-US" w:bidi="ar-SA"/>
          </w:rPr>
          <w:t>[2002] B.C.J. No. 149</w:t>
        </w:r>
      </w:hyperlink>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2002 BCSC 150</w:t>
        </w:r>
      </w:hyperlink>
      <w:r>
        <w:rPr>
          <w:rFonts w:ascii="arial" w:eastAsia="arial" w:hAnsi="arial" w:cs="arial"/>
          <w:color w:val="000000"/>
          <w:sz w:val="20"/>
          <w:lang w:val="en-US" w:eastAsia="en-US" w:bidi="ar-SA"/>
        </w:rPr>
        <w:t xml:space="preserve">; Pierce v. Pandhi, </w:t>
      </w:r>
      <w:hyperlink r:id="rId562" w:history="1">
        <w:r>
          <w:rPr>
            <w:rFonts w:ascii="arial" w:eastAsia="arial" w:hAnsi="arial" w:cs="arial"/>
            <w:i/>
            <w:color w:val="0077CC"/>
            <w:sz w:val="20"/>
            <w:u w:val="single"/>
            <w:shd w:val="clear" w:color="auto" w:fill="FFFFFF"/>
            <w:lang w:val="en-US" w:eastAsia="en-US" w:bidi="ar-SA"/>
          </w:rPr>
          <w:t>[2002] B.C.J. No. 1261</w:t>
        </w:r>
      </w:hyperlink>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2002 BCSC 791</w:t>
        </w:r>
      </w:hyperlink>
      <w:r>
        <w:rPr>
          <w:rFonts w:ascii="arial" w:eastAsia="arial" w:hAnsi="arial" w:cs="arial"/>
          <w:color w:val="000000"/>
          <w:sz w:val="20"/>
          <w:lang w:val="en-US" w:eastAsia="en-US" w:bidi="ar-SA"/>
        </w:rPr>
        <w:t xml:space="preserve">; and Kokoszka v. Insurance Corp. of British Columbia, </w:t>
      </w:r>
      <w:hyperlink r:id="rId563" w:history="1">
        <w:r>
          <w:rPr>
            <w:rFonts w:ascii="arial" w:eastAsia="arial" w:hAnsi="arial" w:cs="arial"/>
            <w:i/>
            <w:color w:val="0077CC"/>
            <w:sz w:val="20"/>
            <w:u w:val="single"/>
            <w:shd w:val="clear" w:color="auto" w:fill="FFFFFF"/>
            <w:lang w:val="en-US" w:eastAsia="en-US" w:bidi="ar-SA"/>
          </w:rPr>
          <w:t>[1991] B.C.J. No. 2940</w:t>
        </w:r>
      </w:hyperlink>
      <w:r>
        <w:rPr>
          <w:rFonts w:ascii="arial" w:eastAsia="arial" w:hAnsi="arial" w:cs="arial"/>
          <w:color w:val="000000"/>
          <w:sz w:val="20"/>
          <w:lang w:val="en-US" w:eastAsia="en-US" w:bidi="ar-SA"/>
        </w:rPr>
        <w:t xml:space="preserve"> (S.C.) in which damages in the range of $10,000 to $35,000 were awarded. His submission was that even if I conclude that the motor vehicle accident was causative of the psychological issues, the maximum award would be in the range of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 am mindful of the Court of Appeal's comments in Maslen v. Robenstein, </w:t>
      </w:r>
      <w:hyperlink r:id="rId183" w:history="1">
        <w:r>
          <w:rPr>
            <w:rFonts w:ascii="arial" w:eastAsia="arial" w:hAnsi="arial" w:cs="arial"/>
            <w:i/>
            <w:color w:val="0077CC"/>
            <w:sz w:val="20"/>
            <w:u w:val="single"/>
            <w:shd w:val="clear" w:color="auto" w:fill="FFFFFF"/>
            <w:lang w:val="en-US" w:eastAsia="en-US" w:bidi="ar-SA"/>
          </w:rPr>
          <w:t>[1993] B.C.J. No. 1813</w:t>
        </w:r>
      </w:hyperlink>
      <w:r>
        <w:rPr>
          <w:rFonts w:ascii="arial" w:eastAsia="arial" w:hAnsi="arial" w:cs="arial"/>
          <w:color w:val="000000"/>
          <w:sz w:val="20"/>
          <w:lang w:val="en-US" w:eastAsia="en-US" w:bidi="ar-SA"/>
        </w:rPr>
        <w:t xml:space="preserve"> (C.A.) regarding the basic principles applicable in cases where there are psychological complications following soft tissue injuries. The court wrote at [paragraph]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court finds that psychological injury has been suffered as a result of unlawful conduct of the defendant which the plaintiff has not the ability to overcome by his or her own inherent resources, the court must then, if mitigation issues are raised, decide whether the defendant has established that by following advice which the plaintiff received or ought to have obtained, the plaintiff could have overcome the problem, or could in future overcome it. The advice might, for instance, be to eliminate treatment, make 'lifestyle changes' or adopt some psychotherapy, physiotherapy or exercise regimen. Where appropriate remedial measures would resolve the problem, damages can, of course, be awarded only in respect of the period up to the date when, in the estimation of the fact-finder, the problem ought to have been resolved, or ought to be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[paragraph]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evidence required in order to meet the onus lying on a plaintiff in such cases, Chief Justice McEachern (then sitting as a trial judge) in Price v. Kostryba </w:t>
      </w:r>
      <w:hyperlink r:id="rId182"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put it thus: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that his complaints of pain are true reflections of a continuing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there must be evidence of a "convincing" nature to overcome the improbability that pain will continue, in the absence of objective symptoms, well beyond the normal recovery period, but the plaintiff's own evidence, if consistent with the surrounding circumstances, may nevertheless suffice for the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will state later my conclusions about failure to mitigate. At this stage, taking into account all of the evidence, including Dr. Lu's, Dr. Shah's and the plaintiff's own, I find that there is evidence of a convincing nature supporting an assessment of general damages at $40,000.</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income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plaintiff's claim for lost income to the date of trial is $147,274 plus $8,612.63 in Court Order interest. Because I conclude that the plaintiff was sufficiently recovered from the soft tissue injuries that she could have returned to work on March 1, 2000, I find that she is entitled to lost income for the period March 24, 1999 to March 1, 2000. The evidence of John Pastorek, Carolynn Druskin and Lori Strom supports the conclusion that the plaintiff was doing well as an auxiliary correctional officer, and had she remained on the job, she would have achieved status as a regular correctional officer and the corresponding benefits at least as soon as Ms. Druskin did and would have been able to continue with B.C Corrections as Ms. Druskin has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find that the plaintiff is entitled again to lost income from July 1, 2000, when the depression began, to the date of trial. In addition, the plaintiff will receive $6,000 for lost benefits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 ask counsel to agree on the correct amount to cover those two periods of lost income (March 24, 1999 - March 1, 2000 and July 1, 2000 to the date of trial), and on the adjustments necessary to take into account the provisions of sections 52 - 56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In the absence of agreement of counsel, the question will be referred to the Registrar for an assessment.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Lost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plaintiff seeks compensation for lost future earning capacity. The principles to be followed in assessing such awards, which are essentially for the loss of a capital asset, are set out in Earnshaw v. Despins </w:t>
      </w:r>
      <w:hyperlink r:id="rId564"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xml:space="preserve"> (C.A.), D'Onofrio v. Ralko, </w:t>
      </w:r>
      <w:hyperlink r:id="rId565" w:history="1">
        <w:r>
          <w:rPr>
            <w:rFonts w:ascii="arial" w:eastAsia="arial" w:hAnsi="arial" w:cs="arial"/>
            <w:i/>
            <w:color w:val="0077CC"/>
            <w:sz w:val="20"/>
            <w:u w:val="single"/>
            <w:shd w:val="clear" w:color="auto" w:fill="FFFFFF"/>
            <w:lang w:val="en-US" w:eastAsia="en-US" w:bidi="ar-SA"/>
          </w:rPr>
          <w:t>[1992] B.C.J. No. 2627</w:t>
        </w:r>
      </w:hyperlink>
      <w:r>
        <w:rPr>
          <w:rFonts w:ascii="arial" w:eastAsia="arial" w:hAnsi="arial" w:cs="arial"/>
          <w:color w:val="000000"/>
          <w:sz w:val="20"/>
          <w:lang w:val="en-US" w:eastAsia="en-US" w:bidi="ar-SA"/>
        </w:rPr>
        <w:t xml:space="preserve"> (C.A.) and Pallos v. Insurance Corp. of British Columbia </w:t>
      </w:r>
      <w:hyperlink r:id="rId193"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As stated in Rosvold v. Dunlop </w:t>
      </w:r>
      <w:hyperlink r:id="rId566"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(C.A.), assessment of damages for lost earning capacity is a matter of judgment, not calculation. The considerations may include (as stated in Brown v. Golaiy, </w:t>
      </w:r>
      <w:hyperlink r:id="rId154"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(S.C.)): (1) has the plaintiff been rendered less capable overall from earning income from all types of employment? (2) is the plaintiff less marketable or attractive as an employee to potential employers? (3) has the plaintiff lost the ability to take advantage of all job opportunities which might otherwise have been open to her? (4) is the plaintiff less valuable to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Brunton submitted that the plaintiff should be compensated, first, for lost income as a correctional officer for a period of four years from the date of trial, while she obtains therapy, rehabilitation and retraining and, second, for lost income earning capacity into the future because that and other physically demanding occupations will be closed to her. Because I have concluded that the plaintiff has not established that the motor vehicle accident caused the hand/wrist problems which are the real impediment to her returning to work as a correctional officer, I do not find a basis for the need for retraining.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also seeks an amount to compensate her for lost future earning capacity because she will be unable to work as a correctional officer and will likely only find employment at a lower pay level. Mr. Carl Chase (on the premise that Ms. Schweighardt is unable to return to her work as a corrections officer) stated the opinion that, following treatment for her depression, she would be employable full-time in sedentary occupations such as office work, and would require some form of job placement assistance. He also stated that because the plaintiff has already experienced prolonged unemployment she will likely remain at a greater risk for unemployment in the future. Ms. Schweighardt testified that in 1998 she earned $38,874 including overtime. Laurie Strom testified that under the collective agreement if Ms. Schweighardt had continued in her position in Corrections, she would have earned $38,514.57 without overtime in 2000. For 2001 the base pay would have been $41,942.18 and as of March 31, 2002 the base pay would have been $42,990.71 per year. Ms. Druskin testified that in 2001 in her work as a correctional officer she earned about $47,000 including about $8,000 overtime. Mr. Chase reported that average annual full-time/full-year earnings for female Correctional Service Officers (adjusted to 2000 dollars) were $39,600.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defendants' position is that the plaintiff is not entitled to any award for future wage loss or loss of earning capacity because the plaintiff's soft tissue symptoms are subjective and the depression was not caused by the soft tissue injuries. In the alternative, the defendants' position is that the depression should not be a factor after a maximum of one year and loss of future earning capacity should be assessed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While I have found that the neck, shoulder, back and hip soft tissue injuries had resolved sufficiently that she could have attempted to return to work as a corrections officer as of March 1, 2000, the evidence also establishes that the plaintiff has a residual impairment in the form of depression and chronic pain syndrome, which should resolve within eight months after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Although I have not found that the plaintiff has met the burden to show that her hand/wrist problems were caused by the motor vehicle accident, I have concluded that the psychological issues, for which the accident was a material cause, led to her absence from the work force since July 1, 2000. Because of the length of that absence, she will be affected in her ability to return to a position in Corrections. She is further behind in that career than she would otherwise have been, and her options to pursue other career courses (such as police work, which she said she had considered) are more limited than they would have been if she had carried on straight ahead in Corrections without the break caused by the accident. Thus, she is less valuable to herself as a person capable of earning income in a competitive labour market. I also take into account the contingencies, including the contingency that she would have been laid off from the job at the Burnaby Correctional Centre for Women when the facility closes, or that she would have become unable to work there in any event because of her hand/wrist problems. Finally, I accept that the depression will not be a factor after eight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award $50,000 for lost future income earning capacity. That amount includes compensation for lost future benefits.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sought $16,500 for the cost of future care, to cover the fees payable to an organization which would provide a comprehensive pain management rehabilitation program and job reintegration services. I assess costs of future care at $16,500. I am assuming that this encompasses the psychological therapy which the two psychiatrists both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sought $6,000 for retraining costs. I find that she is not entitled to compensation in this regard because the accident has not caused her need for retraining.</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Special damages of $1,007.53 are sought and will be awarded.</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failed to mitigate her damages through her refusal to attempt a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Prasad, in February, 2000, advised the plaintiff to try wearing a wrist splint and to attempt a return to work at the prison. Dr. Shah advised her to try to find some more sedentary work. She did not follow that advice. There was no evidence that her employer would not have permitted her to attempt a return to work. Nor was there any evidence that Ms. Schweighardt was prevented, either by her employment relationship with B.C. Corrections or by her physical injuries, from taking some form of more sedentary employment as of the fall of 1999, possibly while awaiting sufficient recovery to return to her work as a correctional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There were also suggestions, although they were not vigorously pursued by the defendants, that the plaintiff has failed to follow the advice of physicians to exercise more, stop smoking, and pursue treatment for the psychological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Have the defendants established that the plaintiff failed to take reasonable steps to mitigate her damages? The principles to be followed in considering this question are described in Graham v. Rogers, </w:t>
      </w:r>
      <w:hyperlink r:id="rId567" w:history="1">
        <w:r>
          <w:rPr>
            <w:rFonts w:ascii="arial" w:eastAsia="arial" w:hAnsi="arial" w:cs="arial"/>
            <w:i/>
            <w:color w:val="0077CC"/>
            <w:sz w:val="20"/>
            <w:u w:val="single"/>
            <w:shd w:val="clear" w:color="auto" w:fill="FFFFFF"/>
            <w:lang w:val="en-US" w:eastAsia="en-US" w:bidi="ar-SA"/>
          </w:rPr>
          <w:t>[2001] B.C.J. No. 1291</w:t>
        </w:r>
      </w:hyperlink>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xml:space="preserve"> at [paragraph] 35 and in Lemieux (Guardian ad litem of) v. Evers, </w:t>
      </w:r>
      <w:hyperlink r:id="rId568" w:history="1">
        <w:r>
          <w:rPr>
            <w:rFonts w:ascii="arial" w:eastAsia="arial" w:hAnsi="arial" w:cs="arial"/>
            <w:i/>
            <w:color w:val="0077CC"/>
            <w:sz w:val="20"/>
            <w:u w:val="single"/>
            <w:shd w:val="clear" w:color="auto" w:fill="FFFFFF"/>
            <w:lang w:val="en-US" w:eastAsia="en-US" w:bidi="ar-SA"/>
          </w:rPr>
          <w:t>[2000] B.C.J. No. 2099</w:t>
        </w:r>
      </w:hyperlink>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2000 BCSC 1464</w:t>
        </w:r>
      </w:hyperlink>
      <w:r>
        <w:rPr>
          <w:rFonts w:ascii="arial" w:eastAsia="arial" w:hAnsi="arial" w:cs="arial"/>
          <w:color w:val="000000"/>
          <w:sz w:val="20"/>
          <w:lang w:val="en-US" w:eastAsia="en-US" w:bidi="ar-SA"/>
        </w:rPr>
        <w:t>, [paragraph] 60. The defendants bear the onus of establishing that the plaintiff failed to take steps which a reasonable and prudent person in her situation would have taken and that if she had done so those steps would have avoided or reduced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will focus on the main issue - the refusal to return to work. Clearly, the physical demands of the job as a correctional officer are fairly high. However, I find that the plaintiff should have attempted a return to work as a correctional officer after the completion of the Functional Capacity Evaluation in February, 2000. If she had done so, she may have found that she was able to cope with the demands of the job; at a minimum, even if her attempt failed, she would have become eligible for some benefits. Alternatively, she should have sought other more sedentary work at that time. It is unknown whether the return to work would have been successful or whether she would have been able to find alternative employment and possibly avoid the onset of the depression which has since prevented her from working. However, I find that there is a real and substantial possibility that that is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have already taken my conclusion that the plaintiff should have attempted a return to work by March 1, 2000 into account in my assessment of damages for loss of past income. The question now is if, by attempting a return to work, Ms. Schweighardt could have avoided or reduced the effects of the depression and chronic pain syndrome. I find that the defendants have shown on a balance of probabilities that she could have done so. Accordingly, the award for lost income earning capacity and for cost of future care will be reduced by 20% to account for the plaintiff's failure to take reasonable steps to mitigate her losses. As well, the award for pre-trial loss of income relating to the period between July 1, 2000 and the date of trial will be reduced by 20% to account for the plaintiff's failure to take reasonable steps to mitigate. The award for non-pecuniary damages will be reduced by 10% for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ask counsel to agree on the amounts appropriate to account for tax gross-up. If they are unable to do so, that matter may also be referred to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If it is necessary to speak to costs, counsel may do so at 9:00 a.m. in Vancouver on a day arranged through Trial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SMITH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August 20,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In my Reasons for Judgment handed down July 21, 2003, paragraphs 20 and 21 shall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Through the Insurance Corporation of British Columbia Ms. Schweighardt was referred to the Drake-Medox Clinic where she went for an assessment on December 3, 1999 and then for a six-week work-conditioning program from December 3, 1999 to January 26, 2000. A "Functional Capacity Evaluation" of the plaintiff was performed by the Clinic on February 22 and February 23, 2000. I made a ruling at the outset of trial regarding the report submitted by the defendants from Drake Medox Health Services, co-signed by Sean McBeth and Andrew Sumner. My ruling was that that report failed to comply with Rule 40A. As Mr. Justice Henderson held in Heiderbrecht v. Fraser-Burrard Hospital Society, </w:t>
      </w:r>
      <w:hyperlink r:id="rId550" w:history="1">
        <w:r>
          <w:rPr>
            <w:rFonts w:ascii="arial" w:eastAsia="arial" w:hAnsi="arial" w:cs="arial"/>
            <w:i/>
            <w:color w:val="0077CC"/>
            <w:sz w:val="20"/>
            <w:u w:val="single"/>
            <w:shd w:val="clear" w:color="auto" w:fill="FFFFFF"/>
            <w:lang w:val="en-US" w:eastAsia="en-US" w:bidi="ar-SA"/>
          </w:rPr>
          <w:t>(1995) 15 B.C.L.R. (3d) 189</w:t>
        </w:r>
      </w:hyperlink>
      <w:r>
        <w:rPr>
          <w:rFonts w:ascii="arial" w:eastAsia="arial" w:hAnsi="arial" w:cs="arial"/>
          <w:color w:val="000000"/>
          <w:sz w:val="20"/>
          <w:lang w:val="en-US" w:eastAsia="en-US" w:bidi="ar-SA"/>
        </w:rPr>
        <w:t>, I concluded that our rules make no provision for the entry in evidence of joint or corporate opinions and that an opinion must be that of an individual expert within the scope of that person's own expertise. However, the matters canvassed in the report were to a large extent questions of observations rather than opinion and two of the persons involved in delivering the Drake Medox program (one of whom, Sean McBeth, was a co-author of the report) were called as witnesses. Counsel for the plaintiff did not object to their evidence and cross-examined them about their observations and the conclusions they drew from those observations regarding the plaintiff's ability to return to work. They made some reference to the report in their testimony, basically as a record of those observations. I refer to the report only insofar as it sets out observations of the plaintiff's physical capabilities at a particular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Susan Castell-Brown, physiotherapist, testified about the program and the plaintiff's physical examination on her discharge, which showed full functional range of motion in the neck, 85%, 100% and 90% in aspects of mid-back range of motion, and full range of motion for the lower back in all directions. Sean McBeth testified that the plaintiff seemed able to perform all of the tests with a full range of motion. He reported that he found no "symptom magnification" during the tests. He agreed on cross-examination that he did not have direct knowledge of what the correctional officer job required and relied on the written job description and on information provided by Denise Denise Dolnik, the I.C.B.C. case co-ordinator, who visited the Burnaby Correctional Centre for Women on February 1, 2000 to review the job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8"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Simon (Guardian ad litem of) v. Portsmith, [2005] B.C.J. No. 1948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August 30, 2005.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September 8, 2005.</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M025267</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1948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1266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142 A.C.W.S. (3d) 154</w:t>
      </w:r>
    </w:p>
    <w:p>
      <w:pPr>
        <w:spacing w:before="120" w:line="260" w:lineRule="atLeast"/>
        <w:rPr>
          <w:lang w:val="en-US" w:eastAsia="en-US" w:bidi="ar-SA"/>
        </w:rPr>
      </w:pPr>
      <w:r>
        <w:rPr>
          <w:rFonts w:ascii="arial" w:eastAsia="arial" w:hAnsi="arial" w:cs="arial"/>
          <w:color w:val="000000"/>
          <w:sz w:val="20"/>
          <w:lang w:val="en-US" w:eastAsia="en-US" w:bidi="ar-SA"/>
        </w:rPr>
        <w:t>Between Carsten Simon, by his Guardian ad Litem, Joe Simon, plaintiff, and Wade Robert Portsmith and Beverly Ellen Bostock,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89" style="position:absolute;z-index:25169510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14" w:name="Keywords_33"/>
      <w:bookmarkEnd w:id="214"/>
      <w:r>
        <w:rPr>
          <w:rFonts w:ascii="arial" w:eastAsia="arial" w:hAnsi="arial" w:cs="arial"/>
          <w:b/>
          <w:color w:val="000000"/>
          <w:sz w:val="20"/>
          <w:lang w:val="en-US" w:eastAsia="en-US" w:bidi="ar-SA"/>
        </w:rPr>
        <w:t xml:space="preserve">Civil procedure — Judgments and orders — Summary judgments — To dismiss action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owner — Vicarious liability — Parents or guardians, for acts of children.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15" w:name="Case Summary_29"/>
            <w:bookmarkEnd w:id="21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Bostock for an order dismissing the action against her. Simon commenced an action against Bostock and Portsmith for damages for personal injuries suffered in a motor vehicle accident. Bostock was the owner of the vehicle and Portsmith was the driver at the time of the accident. Portsmith was Bostock's son but was not living with Bostock at the time of the accident. Bostock claimed the vehicle was taken without her consent. Portsmith was deceased and the two other occupants of the vehicle at the time of the accident could not be located. </w:t>
            </w:r>
            <w:r>
              <w:rPr>
                <w:lang w:val="en-US" w:eastAsia="en-US" w:bidi="ar-SA"/>
              </w:rPr>
              <w:cr/>
            </w:r>
          </w:p>
          <w:p>
            <w:pPr>
              <w:spacing w:before="120" w:line="260" w:lineRule="atLeast"/>
              <w:ind w:left="240"/>
              <w:jc w:val="both"/>
              <w:rPr>
                <w:lang w:val="en-US" w:eastAsia="en-US" w:bidi="ar-SA"/>
              </w:rPr>
            </w:pPr>
            <w:bookmarkStart w:id="216" w:name="Holdings of Court_25"/>
            <w:bookmarkEnd w:id="216"/>
            <w:r>
              <w:rPr>
                <w:rFonts w:ascii="arial" w:eastAsia="arial" w:hAnsi="arial" w:cs="arial"/>
                <w:color w:val="000000"/>
                <w:sz w:val="20"/>
                <w:lang w:val="en-US" w:eastAsia="en-US" w:bidi="ar-SA"/>
              </w:rPr>
              <w:t>HELD: Application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It would have been unjust to grant the application sought by Bostock. Simon required additional time to find the other occupants of the vehicle and to ascertain whether the vehicle was taken with Bostock's permission. Simon sustained very serious injuries in the accident, Portsmith was uninsured and Portsmith's estate was without significant assets. Simon's only ability to recover damages would have been eliminated if Simon's claim against Bostock was dismissed. Simon raised several issues concerning Bostock's credibility and the reliability of her evidence, which could only be ascertained at a trial. There was no urgency to determine the matter upon this application. No prejudice accrued to Bostock if the determination of her liability was delayed. </w:t>
            </w:r>
            <w:r>
              <w:rPr>
                <w:lang w:val="en-US" w:eastAsia="en-US" w:bidi="ar-SA"/>
              </w:rPr>
              <w:cr/>
            </w:r>
          </w:p>
          <w:p>
            <w:pPr>
              <w:rPr>
                <w:lang w:val="en-US" w:eastAsia="en-US" w:bidi="ar-SA"/>
              </w:rPr>
            </w:pPr>
          </w:p>
        </w:tc>
      </w:tr>
    </w:tbl>
    <w:p>
      <w:pPr>
        <w:jc w:val="both"/>
        <w:rPr>
          <w:lang w:val="en-US" w:eastAsia="en-US" w:bidi="ar-SA"/>
        </w:rPr>
      </w:pPr>
      <w:bookmarkStart w:id="217" w:name="Legislation Cited_18"/>
      <w:bookmarkEnd w:id="21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90" style="position:absolute;z-index:25174630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Motor Vehicle Act, </w:t>
      </w:r>
      <w:hyperlink r:id="rId576" w:history="1">
        <w:r>
          <w:rPr>
            <w:rFonts w:ascii="arial" w:eastAsia="arial" w:hAnsi="arial" w:cs="arial"/>
            <w:i/>
            <w:color w:val="0077CC"/>
            <w:sz w:val="20"/>
            <w:u w:val="single"/>
            <w:shd w:val="clear" w:color="auto" w:fill="FFFFFF"/>
            <w:lang w:val="en-US" w:eastAsia="en-US" w:bidi="ar-SA"/>
          </w:rPr>
          <w:t>R.S.B.C. 1996, c. 318, s. 86</w:t>
        </w:r>
      </w:hyperlink>
      <w:r>
        <w:rPr>
          <w:lang w:val="en-US" w:eastAsia="en-US" w:bidi="ar-SA"/>
        </w:rPr>
        <w:cr/>
      </w:r>
    </w:p>
    <w:p>
      <w:pPr>
        <w:keepNext/>
        <w:spacing w:before="240" w:line="340" w:lineRule="atLeast"/>
        <w:rPr>
          <w:lang w:val="en-US" w:eastAsia="en-US" w:bidi="ar-SA"/>
        </w:rPr>
      </w:pPr>
      <w:bookmarkStart w:id="218" w:name="Counsel_35"/>
      <w:bookmarkEnd w:id="218"/>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91" style="position:absolute;z-index:25179750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G. Battista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Portsmith: J.D. James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Bostock: J.E. Broadway</w:t>
      </w:r>
      <w:r>
        <w:rPr>
          <w:lang w:val="en-US" w:eastAsia="en-US" w:bidi="ar-SA"/>
        </w:rPr>
        <w:cr/>
      </w:r>
    </w:p>
    <w:p>
      <w:pPr>
        <w:spacing w:after="240"/>
        <w:rPr>
          <w:lang w:val="en-US" w:eastAsia="en-US" w:bidi="ar-SA"/>
        </w:rPr>
      </w:pPr>
      <w:bookmarkStart w:id="219" w:name="Judgment_34"/>
      <w:bookmarkEnd w:id="219"/>
      <w:r>
        <w:pict>
          <v:line id="_x0000_s1192" style="position:absolute;z-index:25184563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20" w:name="BURNYEAT J._0"/>
            <w:bookmarkEnd w:id="220"/>
            <w:r>
              <w:rPr>
                <w:rFonts w:ascii="arial" w:eastAsia="arial" w:hAnsi="arial" w:cs="arial"/>
                <w:b/>
                <w:color w:val="000000"/>
                <w:sz w:val="30"/>
                <w:lang w:val="en-US" w:eastAsia="en-US" w:bidi="ar-SA"/>
              </w:rPr>
              <w:t>BURNYEAT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pursuant to Rule 18A of the Rules of Court that the action be dismissed against the Defendant, Beverly Ellen Bostock. The action is for damages arising out of a motor vehicle accident which occurred on October 17, 2001, involving a vehicle owned by Ms. Bostock and alleged to have been driven by Wade Robert Portsmith, the adult son of Ms. Bostock. The issues involved in this action are whether Ms. Bostock is vicariously liable pursuant to s. 86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("Act") for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Portsmith or whether Ms. Bostock is liable to the plaintiff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injuries caused to Mr. Simon as a result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At the time of the accident, Mr. Portsmith was not living with Ms. Bostock. Ms. Bostock submits that Mr. Portsmith was not a member of the Bostock family as that phrase is used in s. 86(1) of the Act. Ms. Bostock states that she does not know who was driving her vehicle at the time of the accident, she does not know who took her vehicle from her residence before the accident occurred, and that, because the vehicle was taken without her implied or actual consent, she cannot be vicariously liable for loss or damages caused by any person who was driving her vehicle at the time of the accident. As well, Ms. Bostock submits that she is not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Portsmith is now deceased. Accordingly, he is not available to testify as to whether he had his mother's vehicle at the time with her consent or whether the circumstances are such that a Court could conclude that he was a "member of the family" as that phrase is used under s. 86(1) of the Act. The position taken on behalf of the Plaintiff is that a determination of these matters can not be made pursuant to Rule 18A of Rules of Court and that it will be necessary for a Trial Judge to deal with the issue of the credibility of the testimony of Ms. Bostock and to hear from those who are said to be in the same vehicle as Mr. Portsmith at the time of the accident. In this latter regard, Plaintiff has been unable to locate the two individuals who were in the same vehicle as Mr. Portsmith.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IS THE APPLICATION SUITABLE FOR A DETERMINATION PURSUANT TO RULE 18A OF THE RULES OF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Section 86(1) of the Act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86(1) In an action to recover loss or damage sustained by a person by reason of a motor vehicle on a highway, every person driving or operating the motor vehicle who is living with and as a member of the family of the owner of the motor vehicle, and every person driving or operating the motor vehicle who acquired possession of it with the consent, express or implied, of the owner of the motor vehicle, is deemed to be the agent or servant of that owner and employed as such, and is deemed to be driving and operating the motor vehicle in the course of his or her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dealing with that section, the Court of Appeal in Morrison (Committee of) v. Cormier Vegetation Control Ltd., </w:t>
      </w:r>
      <w:hyperlink r:id="rId577" w:history="1">
        <w:r>
          <w:rPr>
            <w:rFonts w:ascii="arial" w:eastAsia="arial" w:hAnsi="arial" w:cs="arial"/>
            <w:i/>
            <w:color w:val="0077CC"/>
            <w:sz w:val="20"/>
            <w:u w:val="single"/>
            <w:shd w:val="clear" w:color="auto" w:fill="FFFFFF"/>
            <w:lang w:val="en-US" w:eastAsia="en-US" w:bidi="ar-SA"/>
          </w:rPr>
          <w:t>[1996] B.C.J. No. 2601</w:t>
        </w:r>
      </w:hyperlink>
      <w:r>
        <w:rPr>
          <w:rFonts w:ascii="arial" w:eastAsia="arial" w:hAnsi="arial" w:cs="arial"/>
          <w:color w:val="000000"/>
          <w:sz w:val="20"/>
          <w:lang w:val="en-US" w:eastAsia="en-US" w:bidi="ar-SA"/>
        </w:rPr>
        <w:t xml:space="preserve"> dealt with the previous equivalent section of the Act and Goldie J.A. on behalf of the Court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language of the section is plain and in my view requires no aid to resolve an ambiguity nor recourse to an alternative meaning to avoid an absurdity. Liability is imposed upon an "owner", keeping in mind the extended meaning given that word, in two cases. The first is where the wrongdoer is a member of a class - one living with and as a member of the family of the owner. That status alone is sufficient. No question of consent arises. Liability follows from fault in driving or operation. In the second case liability is imposed if the wrongdoer, not a member of any particular class, acquired possession with the consent, express or implied, of the owner. In that case possession alone is sufficient to impose liability from fault arising from subsequent driving or operation. (at para. 22)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Inspiration Management Ltd. v. McDermid St. Lawrence Ltd. </w:t>
      </w:r>
      <w:hyperlink r:id="rId173"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(B.C.C.A.), McEachern C.J.B.C.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procedure prescribed by R. 18A may not furnish perfect justice in every case, but that elusive and unattainable goal cannot always be assured even after a conventional trial and I believe the safeguards furnished by the Rule and the common sense of the chambers judge are sufficient for the attainment of justice in any case likely to be found suitable for this procedure. Chambers judges should be careful but not timid in using R. 18A for the purpose for which it was intended.</w:t>
      </w:r>
    </w:p>
    <w:p>
      <w:pPr>
        <w:spacing w:before="120" w:line="260" w:lineRule="atLeast"/>
        <w:ind w:left="720"/>
        <w:rPr>
          <w:lang w:val="en-US" w:eastAsia="en-US" w:bidi="ar-SA"/>
        </w:rPr>
      </w:pPr>
      <w:r>
        <w:rPr>
          <w:rFonts w:ascii="arial" w:eastAsia="arial" w:hAnsi="arial" w:cs="arial"/>
          <w:color w:val="000000"/>
          <w:sz w:val="20"/>
          <w:lang w:val="en-US" w:eastAsia="en-US" w:bidi="ar-SA"/>
        </w:rPr>
        <w:t>In deciding whether it will be unjust to give judgment the chambers judge is entitled to consider, inter alia,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 (at p. 214)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party will not be permitted to frustrate the hearing of an action pursuant to Rule 18A of the Rules of Court by delaying pre-trial procedures: Access Foundation v. Larkspur Foundation (1993), 20 C.P.C. (3d) 166 at p.170 (B.C.S.C.). In the case at bar, there are legitimate reasons why Plaintiff has not been in a position to contact the two other individuals who were said to have been in the vehicle with Mr. Portsmith at the time of the accident. Despite efforts to ascertain their present location, those efforts have been unsuccessful. In the circumstances, the Plaintiff seeks further time to find those individuals in the hope that they can cast some light on the question of whether Mr. Portsmith had required the possession of the vehicle of his mother with her express or implied consent.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It is possible to take into account the amount involved when deciding whether to proceed under this Rule: Mattu v. Mattu </w:t>
      </w:r>
      <w:hyperlink r:id="rId578" w:history="1">
        <w:r>
          <w:rPr>
            <w:rFonts w:ascii="arial" w:eastAsia="arial" w:hAnsi="arial" w:cs="arial"/>
            <w:i/>
            <w:color w:val="0077CC"/>
            <w:sz w:val="20"/>
            <w:u w:val="single"/>
            <w:shd w:val="clear" w:color="auto" w:fill="FFFFFF"/>
            <w:lang w:val="en-US" w:eastAsia="en-US" w:bidi="ar-SA"/>
          </w:rPr>
          <w:t>(2001), 4 C.P.C. (5th) 55</w:t>
        </w:r>
      </w:hyperlink>
      <w:r>
        <w:rPr>
          <w:rFonts w:ascii="arial" w:eastAsia="arial" w:hAnsi="arial" w:cs="arial"/>
          <w:color w:val="000000"/>
          <w:sz w:val="20"/>
          <w:lang w:val="en-US" w:eastAsia="en-US" w:bidi="ar-SA"/>
        </w:rPr>
        <w:t xml:space="preserve"> at pp. 56-7 (B.C.C.A.). In the case at bar, it is clear that Plaintiff sustained numerous and very serious injuries as a result of the accident, including severe traumatic brain injury and injury to his right leg that required an above-knee amputation of the right leg. Because Mr. Portsmith is deceased, Mr. Portsmith was not an insured driver at the time of the accident, and because I anticipate that his estate is without significant assets, the presence of Ms. Bostock in these proceedings takes on additional importance.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have concluded that it would be unjust to give the Judgment that is requested by Ms. Bostock. First, the whereabouts of two individuals who were in the vehicle at the time of the accident is presently unknown so that the Plaintiff through his counsel has not had an opportunity to conduct any interviews or question either of those individuals in respect of their knowledge of the circumstances of the accident and how the vehicle of Ms. Bostock came to be in their possession or in the possession of Mr. Portsmith. While the two individuals were witnesses at earlier criminal proceedings relating to the accident, I am satisfied that the issue of whether Mr. Portsmith had the consent of Ms. Bostock to be in possession of the vehicle would not have been the subject matter of questioning in those proceedings of these two individuals.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Second, as Mr. Portsmith is now deceased and as I am satisfied that he was not an insured driver at the time, it may well be that the only ability to recover damages arising as a result of those injuries will be eliminated if the Court cannot make a finding that Ms. Bostock is vicariously liable for those injuries. I am satisfied that it would inappropriate at this time to have the matter determined on a summary trial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Third, counsel for the Plaintiff has raised considerable issues regarding the credibility of Ms. Bostock and the reliability of her evidence. Because Mr. Portsmith is deceased, the testimony of Ms. Bostock will be critical if the Plaintiff is in a position to establish that Ms. Bostock should be vicariously liable for the damages or that she was negligent and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led directly to the injuries that were suffered. I am satisfied that a testing of the reliability and credibility of Ms. Bostock can only properly be done before a Trial Judge.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Fourth, I am satisfied that the evidence presently before me is inadequate and to proceed summarily would result in an injustice so that the summary trial should not proceed: Hamilton v. Sutherland, </w:t>
      </w:r>
      <w:hyperlink r:id="rId579" w:history="1">
        <w:r>
          <w:rPr>
            <w:rFonts w:ascii="arial" w:eastAsia="arial" w:hAnsi="arial" w:cs="arial"/>
            <w:i/>
            <w:color w:val="0077CC"/>
            <w:sz w:val="20"/>
            <w:u w:val="single"/>
            <w:shd w:val="clear" w:color="auto" w:fill="FFFFFF"/>
            <w:lang w:val="en-US" w:eastAsia="en-US" w:bidi="ar-SA"/>
          </w:rPr>
          <w:t>[1992] 5 W.W.R. 151</w:t>
        </w:r>
      </w:hyperlink>
      <w:r>
        <w:rPr>
          <w:rFonts w:ascii="arial" w:eastAsia="arial" w:hAnsi="arial" w:cs="arial"/>
          <w:color w:val="000000"/>
          <w:sz w:val="20"/>
          <w:lang w:val="en-US" w:eastAsia="en-US" w:bidi="ar-SA"/>
        </w:rPr>
        <w:t xml:space="preserve"> (B.C.C.A.). I can find no urgency to have the matter determined at this time. I can find that no prejudice accrues to Ms. Bostock if the determination of her liability, if any, is delayed. In those circumstances, I am satisfied it would be unjust to decide the issues on a Rule 18A application: Canadian Imperial Bank of Commerce v. Charbonnages de France International S.A., </w:t>
      </w:r>
      <w:hyperlink r:id="rId580" w:history="1">
        <w:r>
          <w:rPr>
            <w:rFonts w:ascii="arial" w:eastAsia="arial" w:hAnsi="arial" w:cs="arial"/>
            <w:i/>
            <w:color w:val="0077CC"/>
            <w:sz w:val="20"/>
            <w:u w:val="single"/>
            <w:shd w:val="clear" w:color="auto" w:fill="FFFFFF"/>
            <w:lang w:val="en-US" w:eastAsia="en-US" w:bidi="ar-SA"/>
          </w:rPr>
          <w:t>[1994] 10 W.W.R. 232</w:t>
        </w:r>
      </w:hyperlink>
      <w:r>
        <w:rPr>
          <w:rFonts w:ascii="arial" w:eastAsia="arial" w:hAnsi="arial" w:cs="arial"/>
          <w:color w:val="000000"/>
          <w:sz w:val="20"/>
          <w:lang w:val="en-US" w:eastAsia="en-US" w:bidi="ar-SA"/>
        </w:rPr>
        <w:t xml:space="preserve"> at p. 255 (B.C.C.A.).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Given those factors, I am satisfied that it would be unjust to decide these issues pursuant to Rule 18A. Accordingly, the application of Ms. Bostock is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BURNYEAT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Singh (Guardian ad litem of) v. Saragoca, [2004] B.C.J. No. 2126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Loo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31,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B981633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2126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1327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134 A.C.W.S. (3d) 529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Raynish Singh, an infant by his Guardian Ad Litem, Renu Verma and the said Renu Verma, plaintiffs, and Joao Saragoca and Lillian Saragoca,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4"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1" w:name="Keywords_34"/>
      <w:bookmarkEnd w:id="221"/>
      <w:r>
        <w:rPr>
          <w:rFonts w:ascii="arial" w:eastAsia="arial" w:hAnsi="arial" w:cs="arial"/>
          <w:b/>
          <w:color w:val="000000"/>
          <w:sz w:val="20"/>
          <w:lang w:val="en-US" w:eastAsia="en-US" w:bidi="ar-SA"/>
        </w:rPr>
        <w:t xml:space="preserve">Civil evidence — Witnesses — Re-examination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2" w:name="Case Summary_30"/>
            <w:bookmarkEnd w:id="2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Singh, for damages resulting from motor vehicle accident. Singh was a seven year old child. He was struck by a Jeep Cherokee driven by the defendant, Saragoca. According the Saragoca, she had been travelling 40 kilometres an hour when Singh had appeared on the road from between parked cars and she slammed on her brakes immediately but could not avoid hitting him. Witnesses corroborated her evidence. The plaintiffs had a witness who claimed to have seen the accident and called the police. However, he made no statement to the police and told no one about the accident until two years later when he spoke to Singh's father and his lawyer. The witness gave evidence that Singh stopped and looked both ways for entering the street and that the vehicle was traveling at 60 kilometres per hour. When the witness was cross-examined on his evidence he could not read some of the words contained within his affidavit. Some of his evidence at trial was inconsistent with the evidence he gave by affidavit.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3" w:name="Holdings of Court_26"/>
            <w:bookmarkEnd w:id="22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witness was unreliable. The defendant's evidence was preferred. The child had emerged from between parked cars and was looking straight ahead. The plaintiff was not speeding. As soon as she saw Singh she applied the brakes and swerved to try and avoid a collision. The accident occurred without any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4" w:name="Legislation Cited_19"/>
      <w:bookmarkEnd w:id="2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5"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5" w:name="Counsel_36"/>
      <w:bookmarkEnd w:id="2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6"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P.B. Seale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A.L. Murray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6" w:name="Judgment_35"/>
      <w:bookmarkEnd w:id="226"/>
      <w:r>
        <w:pict>
          <v:line id="_x0000_s1197" style="position:absolute;z-index:2518466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7" w:name="LOO J."/>
            <w:bookmarkEnd w:id="227"/>
            <w:r>
              <w:rPr>
                <w:rFonts w:ascii="arial" w:eastAsia="arial" w:hAnsi="arial" w:cs="arial"/>
                <w:b/>
                <w:color w:val="000000"/>
                <w:sz w:val="30"/>
                <w:lang w:val="en-US" w:eastAsia="en-US" w:bidi="ar-SA"/>
              </w:rPr>
              <w:t>LOO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Rule 18A application to determine liability for an accident between a bicycle and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Sunday May 25, 1997 at around 3:00 p.m. on Manor Street in Burnaby, the plaintiff Raynish Singh, then seven and a half years old, rode his bicycle out of a driveway and was struck by a Jeep Cherokee driven by the defendant Lillian Saragoca.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4800 block Manor is a residential area where the street is wide enough to allow vehicles to pass each other in both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Raynish lives with his parents at 4841 Manor, which is on the west side of Manor which runs in a north/south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time of the accident, there were vehicles parked intermittently on both sides of Manor. The weather was overcast.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Lillian Saragoca lives with her parents in a house on the south east corner of Manor and Euclid 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She was driving her father's 1992 Jeep Cherokee, when she backed out of their driveway onto Manor and started heading northbound. Her mother Isabel Saragoca was sitting in the front seat, and her sister Carla Saragoca in the rear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Saragoca states that she was just driving past the middle of the 4800 block Manor, at approximately 40 kilometres an hour in second gear, when suddenly the front of a bicycle appeared to her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van was parked on the west side of Manor facing southbound. The rear of the van encroached onto the driveway to a house. Ms. Saragoca states that the front of the Cherokee was almost parallel with the rear end of the van when the bicycle suddenly appeared. The bicycle seemed to come from the driveway and seemed to be travelling quickly across Manor, at a slight angle to the north. A small boy was riding the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Saragoca immediately slammed on her brakes and swerved to the right. She had no time to honk the horn. The Cherokee stopped almost immediately after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Ms. Saragoca got out of the Cherokee she saw the bicycle about two to three feet in front of the Cherokee and the boy lying about two feet in front of the bicycle. She had not seen the boy before he suddenly appeared, nor had she seen any other children playing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first person to arrive was an East Indian gentleman, and shortly after that, a woman Ms. Saragoca understood was the boy's mother. A fire truck and ambulance then arrived. The police arrived while the young boy was being placed in the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Saragoca was not charged with any offence relating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Isabel Saragoca corroborates her daughter's evidence. She states that she was in the front seat looking straight ahead, as her daughter drove northbound on Manor. There was no traffic in front of them. She says that the Cherokee was in second gear and travelling at about 40 kilometres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Mrs. Saragoca says they reached the middle of the block when suddenly a small boy on a bicycle appeared from behind a parked van on the west side of the street, moving from her left to her right. The moment she saw the boy, she heard and felt her daughter slam on the brakes. The Cherokee stopped almost immediately. The front of the Cherokee struck the boy and he fell to the ground about two to three feet in front of the vehicle. The accident damaged the right front tire of the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Carla Saragoca states that she was sitting in the back seat looking to her right out of the passenger window when she felt the Cherokee braking and almost immediately, heard her mother say "Lillian". She looked up and saw the top of a helmet out of the front window. The Cherokee stopped almost immediately after her sister applied the brakes. She estimates the Cherokee was travelling no more than about 30 kilometres an hour when her sister slammed on the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Constable Greg Perry of the Vancouver City Police investigated the accident. He has no independent recollection of the accident, but a review of the police file and his notes indicate that he was notified of the accident at approximately 3:10 p.m. and he attended Children's Hospital. Constable Perry tested the brakes of the child's "Mountain Tour" bicycle and found that they were not functioning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Kitty Lee lives at 4886 Manor on the east side of the street, and one house to the south of where the accident occurred. Mrs. Lee's front door is ten steps above ground level. Mrs. Lee had just finished locking her front door and was turning around when she saw a red Cherokee travelling north on Manor. At the same time she saw a small boy about seven to eight years old, on a bicycle coming from out of the driveway across the street onto Manor. Within one to two seconds, the bicycle collided with the Cherokee.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the accident, Mrs. Lee gave the following statement to Constable Perry: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was standing on my front porch. I saw a maroon Jeep travelling northbound in front of my house. The vehicle appeared to be travelling at a normal speed. It did not look as if it was speeding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a 7-8 year old boy riding a bicycle on the west side of the street in front of 4869 Manor St. The boy was behind a white Ford van and started to travel eastbound across the street. I don't think the driver of the Jeep could see the boy on the bicycle behind the white Ford van. The Ford van was parked on the west curb facing southbound. The boy rode his bicycle out into the street and was struck by the Jeep. The Jeep stopped right away and the driver and the mother offered assistance to the injured boy.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Mrs. Lee was cross-examined on her affidavit. From her affidavit and cross-examination, it seems clear that Raynish pedalled out from behind a parked van, into the street and into the path of the Cherokee. The accident was unavoidable.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However, on behalf of the plaintiff there are two affidavits of another witness to the accident, Dron Singh, who claims that he saw the accident, called the police, and saw the emergency vehicles arrive. However, he never gave a statement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maintain that Mr. Singh is an unreliable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the time of the accident, Mr. Singh lived at 4811 Manor, on the west side of the street two houses north of Raynish's house, and four houses north of 4869 Manor.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Singh is not related to Raynish or his parents, although they know one another. He claims that the evening of the accident he told the brother of Raynish's father, but the brothers were not getting along and did not speak to each other. Otherwise, Mr. Singh told no one else about the accident, until almost two years later, when he spoke to Raynish's father, and then to the plaintiff's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his affidavit sworn May 31, 2003, Mr. Singh deposed the following:</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happened at approximately 3 PM on May 25, 1997. At that time, I was standing outside my house, on my balcony. My balcony is high up. From that point on my balcony, I can see southbound on Manor Street more than half a block. It was a partly sunny, partly cloudy day, and the streets were dry. Some cars were parked on both sides of the street at various locations, but not densely parked. I had been watching Raynish ride his bicycle in front of his home. I knew him to be about seven years old. The bicycle was small and Raynish was a small boy for his age. He was wearing a helmet. When Raynish would ride his bike south (downhill) he was a lot faster than he was when he was riding north (uphill). Every once in awhile, Raynish would get off his bike and rest or go in the house and then emerge and then continue to play and ride his bike. His father was working in the front yard of their home.</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white van parked on the west side of the street, facing downhill, facing south. This van was immediately south of the driveway associated with 4869 Manor Street ("the Driveway"). It was parked in such a way that the rear of the van was approximately at the south edge of the Driveway. I do not know whether or not the van obstructed the Driveway. If it did obstruct the Driveway, it was only a little bit.</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I was standing on my balcony watching Raynish, I saw him downhill on the west sidewalk, from the front of his house southbound. He turned left on the Driveway, then he proceeded onto the street, proceeding East. As he reached the East edge of the van, I first notice a familiar red Cherokee approaching towards Raynish from the south, proceeding north along Manor Street. The Cherokee was on the proper side of the street. It was about 100 yards away from Raynish at that point in time.</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saw Raynish emerge onto the street from the Driveway behind the van. He was riding uphill (north) and across Manor Street (east). Because it was uphill, he was slowing down. After emerging from behind the van, he rode for about six seconds on the street in this direction, as the Cherokee approached from the south. The Cherokee struck him. By the time the Cherokee struck him, I would say it was travelling approximately 60 kilometres per hour. Prior to impact, the engine was racing, and the Cherokee was accelerating. I heard the sound of tires screeching on the road as the driver of the Cherokee slammed on the brakes just prior to impact. Also, just prior to impact, Raynish turned his head around towards the Cherokee, but there was nothing he could do to get out of the way at that time.</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Just prior to impact, the Cherokee veered slightly to the right. The centre front of the Cherokee hit Raynish. At the moment of impact, the Cherokee was still on the right hand side of the street, looking northbound, in its proper lane. On impact, Raynish was thrown off his bike in the direction of travel of the Cherokee, which was mainly straight north, but also slightly to the right, and landed several feet ahead of where the Cherokee stopped, towards the right hand side of the Cherokee.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Singh was cross-examined on his affidavit on February 12, 2004. He subsequently filed a second affidavit, which is identical to his first affidavit of May 3, 2003, except for the addition of a sentence between paragraphs 7 and 8, that states: "He [Raynish] stopped and looked both ways before going into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Singh was cross-examined on his second affidavit on June 17,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evidence he gave on cross-examination, is at odds with the evidence in his affidavits. He was unable to read the following words in just the first two paragraphs of his affidavit: occurred, depose, annexed hereto, circle, laser photographs, acquainted and interactions. He said that his first affidavit was read to him although that is not indicated in the jurat to the affidavit; it was in his second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paragraph 7 of his affidavits, Mr. Singh said that the Cherokee was about 100 yards away from Raynish when he started across the street. On cross-examination, he said that the Cherokee was about 100 feet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re-examination he did not know the number of feet in a yard, and admitted that he was not good with numbers and found numbers confusing.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paragraph 8 of his affidavits, Mr. Singh estimates that when the Cherokee struck Raynish, it was travelling approximately 60 kilometres an hour. On cross-examination, he said that the Cherokee was almost at a stop when it struck Raynish, and that he did not see how fast the Cherokee was travelling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same paragraph, he said that Raynish rode his bicycle for about six seconds before the Cherokee struck him. On cross-examination he said that the accident happened within a second or two of Raynish starting across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his second affidavit, Mr. Singh said that Raynish looked left and right before he started across the street. On cross-examination, he conceded that when Raynish looked left and right, he was still behind the van, and a car travelling northbound would have been unable to see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whole of his evidence, I find Mr. Singh to be an unreliable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only passage that bears a resemblance to what most probably happened, is found in this exchange on his cross-examination [Transcript pp. 29-30, lines 47 and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What happened? What happened? What did you see?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it's, like, he went on the side, went up to the driveway behind the van and, like, he stopped his bicycle and he look and then he went to the street. That's the time the Cherokee was coming up the hill. The Cherokee was coming up the hill and he went into the street. As soon as he went into the street and the Cherokee came right and hit Raynish.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evidence is consistent with Kitty Lee's evidence. From her vantage point on the porch she saw the Cherokee when it was roughly one car length north of her house. At the same time she saw Raynish already out of the driveway, pedalling across Manor, and looking straight ahead. The Cherokee swerved to the right and the collision occurred between the front wheel of the bicycle, and the front drivers' side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that Raynish emerged from a driveway behind a parked van where he could not be seen by the driver of the Cherokee. He pedalled fairly quickly across Manor within the path of the oncoming Cherokee. He was looking straight ahead. The Cherokee was not speeding. There is no evidence that Lillian Saragoca knew or ought to have known that there were children playing in the area. As soon as she saw the bicycle she applied her brakes and swerved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Both parties have referred to a number of authorities, but each case depends on its facts. In this case I find that the accident occurred without any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Counsel for the defendants took exception to the extent of the re-examination conducted by counsel for the plaintiff following Mr. Singh's cross-examination on affidavit. Both counsel agreed the issue would be resolved during this hearing of the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 good general statement of the scope of re-examination is contained in R. v. Moore </w:t>
      </w:r>
      <w:hyperlink r:id="rId588" w:history="1">
        <w:r>
          <w:rPr>
            <w:rFonts w:ascii="arial" w:eastAsia="arial" w:hAnsi="arial" w:cs="arial"/>
            <w:i/>
            <w:color w:val="0077CC"/>
            <w:sz w:val="20"/>
            <w:u w:val="single"/>
            <w:shd w:val="clear" w:color="auto" w:fill="FFFFFF"/>
            <w:lang w:val="en-US" w:eastAsia="en-US" w:bidi="ar-SA"/>
          </w:rPr>
          <w:t>(1984), 15 C.C.C. (3d) 541</w:t>
        </w:r>
      </w:hyperlink>
      <w:r>
        <w:rPr>
          <w:rFonts w:ascii="arial" w:eastAsia="arial" w:hAnsi="arial" w:cs="arial"/>
          <w:color w:val="000000"/>
          <w:sz w:val="20"/>
          <w:lang w:val="en-US" w:eastAsia="en-US" w:bidi="ar-SA"/>
        </w:rPr>
        <w:t xml:space="preserve"> (Ont. C.A.) at p. 544: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right ... to re-examine exists only where there has been cross-examination and must be confined to matters arising in cross-examination New facts cannot be introduced in re-examination although the judge has the discretion to grant leave to introduce new matters in re-examination and the opposite party may then cross-examine on the new facts. Moreover, in re-examination, leading questions may not be asked. ... [see Phipson on Evidence, 13th ed. (1982), pp. 823-4; 6 Wigmore on Evidence, 3rd ed. (1940), p. 567].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re-examination Mr. Singh was asked several leading questions which went beyond that which is generally allowed by way of re-examination. However, in view of my findings, I do not find it necessary to deal with each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action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8"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Speers v. Drake, [2000] B.C.J. No. 1527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Doolan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 and 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B965508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1527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1132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 C.C.L.I. (3d) 131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A.C.W.S. (3d) 313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Russell Thomas Speers, plaintiff, and Ronald David Drake, defendant,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9"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8" w:name="Keywords_35"/>
      <w:bookmarkEnd w:id="228"/>
      <w:r>
        <w:rPr>
          <w:rFonts w:ascii="arial" w:eastAsia="arial" w:hAnsi="arial" w:cs="arial"/>
          <w:b/>
          <w:color w:val="000000"/>
          <w:sz w:val="20"/>
          <w:lang w:val="en-US" w:eastAsia="en-US" w:bidi="ar-SA"/>
        </w:rPr>
        <w:t>Practice — Juries and trials — Right to a jury — Setting aside a jury notice.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9" w:name="Case Summary_31"/>
            <w:bookmarkEnd w:id="2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Speers for an order that a jury notice delivered by the third party be set aside. Speers was a passenger in a motor vehicle accident in which Drake was allegedly the driver. The third party admitted that Drake owned the vehicle, and that the vehicle had been involved in a single car accident, but denied that Drake was the driver. The matter was set for trial on January 11, 1999. In anticipation of the trial, the third party filed a jury notice on April 3, 1997. The trial was subsequently adjourned and reset for February 26, 2001. Five days were allotted for the trial. On November 26, 1999, the third party filed a second jury notice. On December 7, 1999, Speers sought an order that the second jury notice delivered by the third party be set aside. Speers argued that the issues in the action were intricate and complex and required a scientific or local investigation which could not be made conveniently with a jury. The third party opposed the application, claiming a prima facie right to have the proceedings determined by a judge and jury. It asserted that Speers was out of time to file the application.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0" w:name="Holdings of Court_27"/>
            <w:bookmarkEnd w:id="230"/>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Speers was not out of time to file the application. Although the third party was not required to file a second jury notice and could have asserted its continuing right to a jury trial on the strength of its first notice, it elected to file a second notice and opened the door to the application that was filed within the prescribed delay. The medical reports did not present matters requiring a scientific or local investigation that could not be made conveniently by a jury, and the issues were not of an intricate or complex nature. However, the introduction of a jury would have added a day to the length of the trial, and prevented it from proceeding conveniently.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1" w:name="Legislation Cited_20"/>
      <w:bookmarkEnd w:id="2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0"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39(27).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2" w:name="Counsel_37"/>
      <w:bookmarkEnd w:id="2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1"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L. Cohen, for the plaintiff. Joseph P. Cahan, for the third party.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3" w:name="Judgment_36"/>
      <w:bookmarkEnd w:id="233"/>
      <w:r>
        <w:pict>
          <v:line id="_x0000_s1202" style="position:absolute;z-index:2518476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4" w:name="MASTER DOOLAN"/>
            <w:bookmarkEnd w:id="234"/>
            <w:r>
              <w:rPr>
                <w:rFonts w:ascii="arial" w:eastAsia="arial" w:hAnsi="arial" w:cs="arial"/>
                <w:b/>
                <w:color w:val="000000"/>
                <w:sz w:val="30"/>
                <w:lang w:val="en-US" w:eastAsia="en-US" w:bidi="ar-SA"/>
              </w:rPr>
              <w:t>MASTER DOOLAN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notice of motion dated December 7, 1999, the plaintiff seeks an order that the jury notice delivered by the third party on November 30, 1999, be set aside. This application is made pursuant to R. 39(27) which reads as follows:</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in cases of defamation, false imprisonment and malicious prosecution, a party to whom a notice under subrule (26) has been delivered may apply</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7 days for an order that the trial or part of it be heard by the court without a jury on the ground that</w:t>
      </w:r>
    </w:p>
    <w:p>
      <w:pPr>
        <w:numPr>
          <w:numId w:val="3"/>
        </w:numPr>
        <w:tabs>
          <w:tab w:val="clear" w:pos="184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which cannot be made conveniently with a jury, or</w:t>
      </w:r>
    </w:p>
    <w:p>
      <w:pPr>
        <w:numPr>
          <w:numId w:val="4"/>
        </w:numPr>
        <w:tabs>
          <w:tab w:val="clear" w:pos="184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or</w:t>
      </w:r>
    </w:p>
    <w:p>
      <w:pPr>
        <w:numPr>
          <w:numId w:val="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for an order that the trial be heard by the court without a jury on the ground that it relates to one of the matters referred to in subrule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concerns the events of June 11, 1996, when a vehicle owned by the defendant Drake and occupied by Mr. Drake, the plaintiff, and a person not a party to these proceedings, was involved in a single vehicle accident. The statement of claim dated November 1, 1996 alleges that the motor vehicle was being driven by the defendant Drake in a negligent fashion causing that vehicle to leave the travel portion of the highway and into a ditch, causing the plaintiff, who claims to have been a passenger, serious injury, loss, damage,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third party admits that the defendant Drake owned the motor vehicle and that it was involved in a single car accident on June 11, 1996. They deny that the defendant was the driver of that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matter was set for trial on January 11, 1999. In anticipation of that trial, the third party filed a jury notice on April 3, 1997. On application of the plaintiff heard December 31, 1998, Master Patterson adjourned the trial generally. The matter has been re-set for trial on February 26, 2001 for five days. On November 26, 1999, the third party filed a second jury notice. On December 7, 1999, the plaintiff filed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submits that the issues in this action require a scientific or local investigation which cannot be made conveniently with a jury, or that the issues are of an intricate and complex nature, and as such this matter should be heard by the court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third party opposes the application and submits that it has a prima facie right to have these proceedings determined by a judge and jury. While acknowledging that this prima facie right can be defeated by an order under R. 39(27), they submit that their right to a jury trial is a substantive right of great importance. Counsel makes reference to King v. Colonial Homes Ltd. </w:t>
      </w:r>
      <w:hyperlink r:id="rId596" w:history="1">
        <w:r>
          <w:rPr>
            <w:rFonts w:ascii="arial" w:eastAsia="arial" w:hAnsi="arial" w:cs="arial"/>
            <w:i/>
            <w:color w:val="0077CC"/>
            <w:sz w:val="20"/>
            <w:u w:val="single"/>
            <w:shd w:val="clear" w:color="auto" w:fill="FFFFFF"/>
            <w:lang w:val="en-US" w:eastAsia="en-US" w:bidi="ar-SA"/>
          </w:rPr>
          <w:t>[1956] S.C.R. 528</w:t>
        </w:r>
      </w:hyperlink>
      <w:r>
        <w:rPr>
          <w:rFonts w:ascii="arial" w:eastAsia="arial" w:hAnsi="arial" w:cs="arial"/>
          <w:color w:val="000000"/>
          <w:sz w:val="20"/>
          <w:lang w:val="en-US" w:eastAsia="en-US" w:bidi="ar-SA"/>
        </w:rPr>
        <w:t xml:space="preserve"> at 533. They submit that the burden of proof is on the plaintiff who must clearly establish that this case falls within one or more of the exceptions set out in R. 39(27). They submit that this is a "significant onus" and make reference to Nichols v. Gray </w:t>
      </w:r>
      <w:hyperlink r:id="rId597" w:history="1">
        <w:r>
          <w:rPr>
            <w:rFonts w:ascii="arial" w:eastAsia="arial" w:hAnsi="arial" w:cs="arial"/>
            <w:i/>
            <w:color w:val="0077CC"/>
            <w:sz w:val="20"/>
            <w:u w:val="single"/>
            <w:shd w:val="clear" w:color="auto" w:fill="FFFFFF"/>
            <w:lang w:val="en-US" w:eastAsia="en-US" w:bidi="ar-SA"/>
          </w:rPr>
          <w:t>(1978), 9 B.C.L.R. 5</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its outline, the third party sets out its opposition to the application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in this proceeding are not of such an intricate or complex nature so as to render a jury unable to consider them conveniently. The expert evidence in support of the applicant's motion relates to the determination of:</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seating position in the vehicle the Plaintiff was occupying; and</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wearing a seatbelt.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 has failed to bring this application within the time required as the respondent first filed a Notice Requiring Trial by Jury on April 3, 1997, and following the adjournment of the scheduled trial, filed a further Notice Requiring Trial by Jury on November 26,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will first deal with the submission that the plaintiff is out of time to make this application. They submit that under R. 39(27), the plaintiff is required to make an application to set aside a jury notice within seven days after delivery of same. Mr. Cahan submits that the plaintiff was served with a jury notice dated April 3, 1997 with respect to the trial then set for January 11, 1999. He submits that no application was made to set aside that jury notice. He reminds me that it was only after Master Patterson adjourned the first trial and the re-setting of this matter for trial on February 26, 2001, that the plaintiff makes this application to set aside the jury notice. Mr. Cahan submits that the plaintiff had one opportunity to set aside the jury notice and, not having taken that step, they are now estopped from making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reject this argument. The law is that the rule contemplates only one jury notice in an action even though the trial has been adjourned. (Donovan v. Vat </w:t>
      </w:r>
      <w:hyperlink r:id="rId598" w:history="1">
        <w:r>
          <w:rPr>
            <w:rFonts w:ascii="arial" w:eastAsia="arial" w:hAnsi="arial" w:cs="arial"/>
            <w:i/>
            <w:color w:val="0077CC"/>
            <w:sz w:val="20"/>
            <w:u w:val="single"/>
            <w:shd w:val="clear" w:color="auto" w:fill="FFFFFF"/>
            <w:lang w:val="en-US" w:eastAsia="en-US" w:bidi="ar-SA"/>
          </w:rPr>
          <w:t>(1995), 17 B.C.L.R. (3d) 322</w:t>
        </w:r>
      </w:hyperlink>
      <w:r>
        <w:rPr>
          <w:rFonts w:ascii="arial" w:eastAsia="arial" w:hAnsi="arial" w:cs="arial"/>
          <w:color w:val="000000"/>
          <w:sz w:val="20"/>
          <w:lang w:val="en-US" w:eastAsia="en-US" w:bidi="ar-SA"/>
        </w:rPr>
        <w:t xml:space="preserve"> at p. 324). In my view, the third party was not required to file a second jury notice and could have asserted its continuing right to a jury trial on the strength of its April 3, 1997 notice. In my view, the third party elected, unnecessarily, to file a second jury notice, and having done so, they opened the door to this application which was filed within the time set out in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his submissions, Mr. Cahan submits that a consideration of R. 39(27) requires the court to embark upon a two-step process. He submits that the court must first make a finding that:</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a scientific or local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If the court cannot make a positive finding on either (a) or (b), then there are no grounds for granting the order under R. 39(27)(a)(i). Where the court makes a positive finding on either (a) or (b) above, it moves to the second step and must consider whether these are issues which cannot be made "conveniently"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event the court does not make the order under the above subsection, then it must consider whether it can or should be made under R. 39(27)(a)(ii), the issues being of an "intricate and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alleges that he suffered personal injuries as a result of this accident which include:</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head, including concussion;</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neck;</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back;</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ear;</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fractured rib;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lacerations and contusions.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issues of liability and quantum are very much at issue, as evident by the pleadings. The third party's statement of defence pleads as follows: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not driving the vehicle at the time of the accident.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if the defendant was driving, he was not negligent.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further alternative, if the defendant was driving and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contribute to the accident.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if the defendant was driving the vehicle and was negligent, then the defendant's ability to drive the vehicle was impaired by drug or alcohol.</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further alternative, if the defendant was driving the vehicle and was negligent, and if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injuries to the plaintiff, they plead the principle of volenti non fit injuria, and submit that the plaintiff, knowing the full nature of the risk, assumed that risk, and is the author of his own misfortune.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was negligent in knowingly riding in a motor vehicle operated by a driver whose ability to drive was impaired by alcohol or drugs.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Again, in the alternative, if the plaintiff did sustain injuries and damages as alleged, which is denied, these injuries were not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were attributable in whole or in part to previous or subsequent accidents involving the plaintiff, or congenital defects, or previous and subsequent conditions or injuries, or intervening acts of the plaintiff, his family, friends, or caregivers.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Again in the alternative, the third party says the plaintiff has failed or refused to take any or any reasonable steps to mitigate the damage or loss, and in particular, he failed to follow the advice of his medical advisors, failed to take proper steps to find any or any alternate employment, and failed to assist in rehabilitation.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plaintiff was negligent in that he did not in his own interests take reasonable care of himself, and contributed to his injuries by failing to utilize either the available seat belt, as required by s. 217 of the Motor Vehicle Act, R.S.B.C. 1979, c. 288, or the available headrest. The third party claims as well provisions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1979, c. 298, and amendments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says that the liability issue will require a determination of the following:</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identification of the driver of the vehicle involved in the accident;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location of the plaintiff in the vehicle at the time of the accident;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was wearing a seat belt at the time of the accident;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use of the seat belt would have materially reduced injuries sustained by the plaintiff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affidavit sworn December 7, 1999, Ross E. McLarty, a partner of the firm Macaulay McColl, solicitors for the plaintiff, deposes in paragraph 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that will be adduced at the trial of this matter relevant to the determination of the said liability issues includes the following expert evidence: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of Mark Bailey of MacInnis Engineering Associates Ltd. dated November 10, 1998 with respect to the vehicle dynamics and seat belt use and effectiveness prepared at the request of counsel for the Plaintiff, a true copy of which report is now produced, shown to me, and marked as Exhibit "A" to this my Affidavit.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Reports of Ian Senkow of Daysman Lamb dated October 8, 1996 and November 4, 1998, with respect to seat belt use and effectiveness prepared at the request of counsel for the Third Party, true copies of which reports are now produced, shown to me, and marked as Exhibits "B" and "C", respectively to this my Affidavit.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of Helix Biotech dated March 24, 1999 with respect to the DNA test results of the Plaintiff's blood sample prepared at the request of counsel for the Third Party, a true copy of which report is now produced, shown to me, and marked as Exhibit "D" to this my Affidavit.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of Helix Biotech dated May 25, 1999 with respect to the DNA test results of the Defendant's blood sample prepared at the request of counsel for the Third Party, a true copy of which report is now produced, shown to me, and marked as Exhibit "E" to this my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his affidavit, Mr. McLarty gives the following opinions: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verily believe that the said liability issues and scientific investigations involved are of an intricate or complex nature given the character and extent of the expert evidence that will be adduced relevant to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in paragraph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verily believe that the scientific investigation inherent in the analysis of the engineering evidence and the DNA results cannot, due to its intricate and complex nature, be made conveniently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his second affidavit sworn April 27, 2000, Mr. McLarty deposes that the plaintiff sustained serious injuries in this accident, resulting in a loss of earnings, past and prospective, and loss of opportunity. He lists the medical doctors who have delivered reports in this matter. There are two reports of Dr. S.J.C. Allen, together with numerous clinical reports and records, including four x-ray reports, and the results of a CT Scan on the plaintiff's head, and a second CT Scan with respect to the spine, and diagnostic imaging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as well a report of Dr. R.V. Wilkinson, a neuropsychologist. He conducted a number of tests on the plaintiff with respect to attention and information processing, intellect, memory, motor and higher sensory functions, higher visual functions, language, personality and mood, culminating with an extensive opinion, recommendations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will also be the report and opinion of Dr. Cecil E.G. Caines, an orthopaedic surgeon, and a Work Capacity Evaluation of the plaintiff prepared by Gerard Kerr, a registered occupational therapist. According to this report, the plaintiff was subjected to numerous tests, resulting in an in-depth, 17-page report and opinion concerning the work, ability and capacity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Upon my reading of the medical reports, I find that they do not present matters which will require a scientific or local investigation which cannot be made conveniently by a jury, nor are the issues of an intricate or complex character. I note that the third party did not even requisition or seek an independent medical examination of the plaintiff, opting instead to go with the plaintiff's own physician's reports. Mr. Cahan refers me to the November 10, 1997 report of Dr. S.J.C. Allen, the plaintiff's physician, with specific reference to the bottom of page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Recovery as of August 28 seems, however, to be pretty well complete and I do not think that these mild compression fractures will result in any serious limitation, deformity, or alteration of functional capacity. I do think, however, that it will make Mr. Speers somewhat more prone to arthritis down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in the last paragraph of Dr. Allen's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feel, however, that he has now made a complete recovery and should suffer no permanent sequelae as a consequence of these injuries, either physical, mental or psychological.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Cahan also makes reference to the November 12, 1996 report of Dr. R.V. Wilkinson, and particularly his comments under the heading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Altogether, he is making a good recovery from his head injury, and I find no clear signs of residual brain damage. Physical discomfort and headache remain the most troubling symptoms, and I expect that these, in addition to the use of codeine, may be accounting for some of the subjective symptoms of occasional forgetfulness. Permanent night shift will contribute to the symptoms. He is to be credited for returning to work and coping with a difficult night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later under the heading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expect good recovery by about a year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Inasmuch as the third party has elected not to call contra medical evidence and intends to rely on the plaintiff's evidence in this regard, it would seem his alleged injuries and recovery, or degree of recovery are issues which should present no difficulty for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issue of liability is one which will require some analysis by a jury, both with respect to the degree of liability, if any, and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These issues will be made more complex by the introduction of the principle of volenti non fit injuria.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reports of the engineers are for the most part diametrically opposed. The plaintiff's report prepared by Mark Bailey of MacInnis Engineering Associates Ltd. commences with the assumption that the plaintiff was the right front passenger in the Toyota motor vehicle. I would have thought the engineer was to prepare a report and give an opinion which could be used to establish that fact. For him to commence with that assumption makes no sense to me. Mr. Bailey opines that the star fracture in the windshield in front of the passenger seat was caused by the head of the defendant driver hitting the windshield; the driver having been propelled in that direction by virtue of the forward and lateral movement of the motor vehicle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third party obtained the report of Ian H. Senkow of Daysman Lamb. The report of Mr. Senkow is extensive; he attaches to his report some 134 photographs of the vehicle from all angles; external, internal, and many shots of the star fracture on the windshield, and the position and condition of the seat belts. At page 9 of his report of October 8, 1996, he concludes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absence of loading marks on the webbing of the lap portion and the shoulder portion of the left front restraint system, the absence of abrasions on the latch plate and the D-ring and the contact damage on the windshield would indicate that the right front occupant was not wearing the available lap/shoulder seat belt configuration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Senkow does not attempt to establish nor does he give an opinion as to who was occupying the passenger seat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Bailey is critical of Mr. Senkow's report and disagrees with his conclusions concerning the use or non-use of a seat belt. He is critical of the third party's report on many levels, but no more so with respect to seat belts. In critiquing the comments of Mr. Senkow,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Absence of loading marks must never be interpreted by an investigator to mean a restraint was not worn. There are positive signs of use, such as melting and abrasion of plastic or synthetic components, that lead to a conclusion that a seat belt was used, but absence of that evidence does not mean a seat belt was not used. A more familiar example is that the absence of skid marks leading up to a stop sign does not mean that no car has ever used its brakes to stop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Senkow was asked to file an addendum to his report. The addendum dated November 4, 1998, concludes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our analysis, it is our opinion that had the right front occupant of the Toyota Corolla been seated properly and been wearing the available restraint systems, properly fitted, his injuries associated with windshield contact would have been reduced or prevented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Senkow in the above statement appears to have concluded that the star fracture in the windshield was caused by only one person, that being the passenger on the right side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location of the plaintiff in the vehicle at the time of the accident is an issue to be determined at trial and the evidence on that point is by no means certain. Mr. Speers in his statement of claim asserts he was a passenger. The third party in their statement of defence assert that Mr. Drake was not the driver of the vehicle. No one suggests that the third passenger was the driver of this vehicle, or that the defendant sat in the rear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Whoever determines this issue at trial will not get a great deal of help from the two DNA reports. The DNA reports were prepared by Helix Biotech Corp. In the report of March 24, 1999, they compared hair from the automobile (Sample 1) with a blood sample from the plaintiff. Their report excludes the plaintiff as being the contributor of the DNA sample from the automobile. In their report dated May 25, 1999, they compared hair from the automobile (Sample 1) with a blood sample from the defendant. They concluded that based on the genetic testing results obtained by STR analysis, the defendant matches the DNA Sample number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Interestingly enough, neither of these reports identifies Sample 1, the hair from the automobile, as being hair found at the site of the star fracture on the windshield. The results of the Helix testing does not throw a great deal of light on the issue as to which of the parties was driving. At trial a determination will have to be made as to which of the plaintiff or defendant is telling the truth. The engineers' reports and DNA testing may not be of great assistance. It seems to me that if the plaintiff's version of events is accepted, he was sitting in the passenger seat and the defendant was the driver. According to the report, the defendant might have been propelled forward and to the right, causing his head to make contact with the windshield. The third party's version of events is that the defendant was, or could have been, the passenger on the right side of the vehicle, and at the time of the accident was thrown forward and his head came in contact with the windshield.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For this trial to proceed with a jury, it must be found that the trial can proceed "conveniently". It has been held that "convenience" refers to the question of whether the trial can be decided fairly once all the evidence affecting the jury's determination have been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McEachern, C.J.S.C. (as he then was) in the case of Wipfli v. Britten, </w:t>
      </w:r>
      <w:hyperlink r:id="rId599" w:history="1">
        <w:r>
          <w:rPr>
            <w:rFonts w:ascii="arial" w:eastAsia="arial" w:hAnsi="arial" w:cs="arial"/>
            <w:i/>
            <w:color w:val="0077CC"/>
            <w:sz w:val="20"/>
            <w:u w:val="single"/>
            <w:shd w:val="clear" w:color="auto" w:fill="FFFFFF"/>
            <w:lang w:val="en-US" w:eastAsia="en-US" w:bidi="ar-SA"/>
          </w:rPr>
          <w:t>32 B.C.L.R. 343</w:t>
        </w:r>
      </w:hyperlink>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[1982] 1 W.W.R. 709</w:t>
        </w:r>
      </w:hyperlink>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24 C.P.C. 164</w:t>
        </w:r>
      </w:hyperlink>
      <w:r>
        <w:rPr>
          <w:rFonts w:ascii="arial" w:eastAsia="arial" w:hAnsi="arial" w:cs="arial"/>
          <w:color w:val="000000"/>
          <w:sz w:val="20"/>
          <w:lang w:val="en-US" w:eastAsia="en-US" w:bidi="ar-SA"/>
        </w:rPr>
        <w:t>, considered the word "convenience":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Convenience, in the sense in which the word is used in the rule, does not depend solely upon whether or not the jury can be made to understand the evidence. I accept the evidence of Drs. Riddell and Henniger, whose useful evidence on their cross-examination satisfies me that they can probably make an understandable description of the actual surgical procedures and that they can explain the present condition of the infant plaintiff. But that is not the point. What is required before it is convenient to have a scientific investigation made with a jury is the ability to have a proper trial, which includes not just an understanding of the evidence as it is being given, but also an ability to retain this understanding throughout a long trial in a form which permits an analysis of the evidence in relation to the difficult questions which must be decided at the end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again at p. 348:</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As I said in Mewhort,  </w:t>
      </w:r>
      <w:hyperlink r:id="rId600" w:history="1">
        <w:r>
          <w:rPr>
            <w:rFonts w:ascii="arial" w:eastAsia="arial" w:hAnsi="arial" w:cs="arial"/>
            <w:i/>
            <w:color w:val="0077CC"/>
            <w:sz w:val="20"/>
            <w:u w:val="single"/>
            <w:shd w:val="clear" w:color="auto" w:fill="FFFFFF"/>
            <w:lang w:val="en-US" w:eastAsia="en-US" w:bidi="ar-SA"/>
          </w:rPr>
          <w:t>[1980] B.C.J. No. 1374</w:t>
        </w:r>
      </w:hyperlink>
      <w:r>
        <w:rPr>
          <w:rFonts w:ascii="arial" w:eastAsia="arial" w:hAnsi="arial" w:cs="arial"/>
          <w:color w:val="000000"/>
          <w:sz w:val="20"/>
          <w:lang w:val="en-US" w:eastAsia="en-US" w:bidi="ar-SA"/>
        </w:rPr>
        <w:t xml:space="preserve"> [at p. 61]</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convenience in the context of this Rule does not refer to physical or personal convenience. Rather, it relates to the proper conduct of the trial, including an understanding of the issues and evidence, the submissions of counsel, and the judge's charge.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still subscribe to what I said there, except that I now realize that this passage may be thought completely to exclude physical or personal convenience as relevant factors on this question. I do not think such matters must be disregarded. In a long case such as this one the personal convenience of all parties must be considered if it may affect the proper trial of the case, particularly if the volume of evidence may become difficult to manage or if the decisional process may adversely be affected by the personal or physical discomfort of the jury. Having said that for the purpose of expanding upon what I said earlier, I am still of the view that "convenience" in this rule relates to the proper conduct and management of the entire trial, including, of course, the decisional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believe that the time-honoured process of jury trials, which may be eminently sensible for some cases, can be described as "convenient" in this case either in the sense that I have described or in any other sense of that word. This case cries out for unhurried and thoughtful consideration. There must be a weighing of alternatives, and an opportunity to reflect upon these alternatives. The first decision the jurors reach may well be the right one, but all these parties, including the various defendants as between themselves, are entitled to have the case considered and reconsidered before a final decision is irrevocably announced. In this connection I respectfully adopt what Branca, J.A. said in McDonald v. Inland Natural Gas Co., supra, at pp. 95-96. With deference, I also refer to what I said in Henry v. Knickerbocker, B.C.S.C., 12th May 1981, </w:t>
      </w:r>
      <w:hyperlink r:id="rId601" w:history="1">
        <w:r>
          <w:rPr>
            <w:rFonts w:ascii="arial" w:eastAsia="arial" w:hAnsi="arial" w:cs="arial"/>
            <w:i/>
            <w:color w:val="0077CC"/>
            <w:sz w:val="20"/>
            <w:u w:val="single"/>
            <w:shd w:val="clear" w:color="auto" w:fill="FFFFFF"/>
            <w:lang w:val="en-US" w:eastAsia="en-US" w:bidi="ar-SA"/>
          </w:rPr>
          <w:t>[1981] B.C.J. No. 710</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judge deciding this case without a jury would, after hearing the evidence and reviewing his notes or a transcript, assess and consider all the evidence, including the many medical reports and the submissions of counsel. He would probably draft and re-draft a judgment several times, and he would make countless calculations to test and verify the reasonableness of his conclusions. Like any conscientious jury, he would agonize over his conclusions, but he would do so at a leisurely pace and he would not be under pressure of time or the person comfort of himself or others in making the kind of calculations which should be made to test the reasonableness of his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MacDonald v. Smith </w:t>
      </w:r>
      <w:hyperlink r:id="rId602" w:history="1">
        <w:r>
          <w:rPr>
            <w:rFonts w:ascii="arial" w:eastAsia="arial" w:hAnsi="arial" w:cs="arial"/>
            <w:i/>
            <w:color w:val="0077CC"/>
            <w:sz w:val="20"/>
            <w:u w:val="single"/>
            <w:shd w:val="clear" w:color="auto" w:fill="FFFFFF"/>
            <w:lang w:val="en-US" w:eastAsia="en-US" w:bidi="ar-SA"/>
          </w:rPr>
          <w:t>(1983), 48 B.C.L.R. 285</w:t>
        </w:r>
      </w:hyperlink>
      <w:r>
        <w:rPr>
          <w:rFonts w:ascii="arial" w:eastAsia="arial" w:hAnsi="arial" w:cs="arial"/>
          <w:color w:val="000000"/>
          <w:sz w:val="20"/>
          <w:lang w:val="en-US" w:eastAsia="en-US" w:bidi="ar-SA"/>
        </w:rPr>
        <w:t>, McEachern, C.J.S.C. (as he then was) said at page 288: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Briefly I think a case of this complexity cannot conveniently or suitably be tried and a proper conclusion assured to the parties when there is no opportunity for thoughtful and timely consideration and reconsideration, particularly after several days of evidence and the other proceedings which follow the completion of evidence. There must, in a case such as this, be an opportunity for thoughtful review after preliminary conclusions have been reached and there is too much risk of a compromise verdict being accepted by the jury or a majority of the jury under pressures of time and other personal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stated, I do not believe that the medical evidence concerning the plaintiff's injuries will be a scientific or local investigation which cannot be made conveniently by a jury, nor do I find that this issue is of an intricate or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contra opinions of the engineers with respect to the likelihood that the seat belt was used by the passenger, or as to which party was the passenger, are clearly within the abilities of our jurors.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Having said that, I have a major concern with respect to the length of trial which has been held to be a factor in a number of cases including Mighton v. Maile </w:t>
      </w:r>
      <w:hyperlink r:id="rId603" w:history="1">
        <w:r>
          <w:rPr>
            <w:rFonts w:ascii="arial" w:eastAsia="arial" w:hAnsi="arial" w:cs="arial"/>
            <w:i/>
            <w:color w:val="0077CC"/>
            <w:sz w:val="20"/>
            <w:u w:val="single"/>
            <w:shd w:val="clear" w:color="auto" w:fill="FFFFFF"/>
            <w:lang w:val="en-US" w:eastAsia="en-US" w:bidi="ar-SA"/>
          </w:rPr>
          <w:t>(1986), 12 B.C.L.R. (2d) 155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this case, I am told that the plaintiff intends to introduce the evidence of six experts and two lay witnesses. The defendant will introduce the evidence of two experts and one lay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have, in the last two or three years, presided over most of the pre-trial conferences in this courthouse. One of the matters discussed and considered is a comparison between the time set by counsel for the trial and the current view of time that would now likely be required. Many things will have happened between the time the matter was set for trial and the pre-trial conference. Counsel will have a better view of their case, the witnesses needed, the evidence required, and the issues which are still to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is a concern with respect to the danger of an unjust result (Wipfli v. Britten, (supra)). This danger has been cited as a factor to be considered on an application to strike a jury notice. The definition of "convenience" does not depend solely on whether or not a jury understands the evidence. The real issue is as to whether the jury will have the ability to retain this understanding throughout a trial in a form which permits a proper analysis of the evidence in order to properly deliberate all matters and render a fair, considered verdict on the difficult questions before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my opinion that the introduction of a jury into the trial of these matters adds roughly one additional day to the time in which it will take to complete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introduction of a jury in a trial system requires additional steps and additional considerations as follows:</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must be allocated to jury selection.</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in my opinion, a greater emphasis on opening statements to bring the jury into the picture;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the likelihood of a voir dire, and the additional time this will require;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judge and counsel must thrash out and settle those questions to be put to the jury; and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Charging the jury may or may not be a time-consuming step in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my view, this matter cannot be dealt with in the five days currently allotted for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motion is granted and trial will proceed by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DOOLAN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3"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Strata Plan NW 3341 v. Canlan Ice Sports Corp., [2001] B.C.J. No. 2661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Grist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November 15, 2001.</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C965848</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2661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1751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2 W.W.R. 456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96 B.C.L.R. (3d) 249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110 A.C.W.S. (3d) 768</w:t>
      </w:r>
    </w:p>
    <w:p>
      <w:pPr>
        <w:spacing w:before="120" w:line="260" w:lineRule="atLeast"/>
        <w:rPr>
          <w:lang w:val="en-US" w:eastAsia="en-US" w:bidi="ar-SA"/>
        </w:rPr>
      </w:pPr>
      <w:r>
        <w:rPr>
          <w:rFonts w:ascii="arial" w:eastAsia="arial" w:hAnsi="arial" w:cs="arial"/>
          <w:color w:val="000000"/>
          <w:sz w:val="20"/>
          <w:lang w:val="en-US" w:eastAsia="en-US" w:bidi="ar-SA"/>
        </w:rPr>
        <w:t>Between The Owners, Strata Plan NW 3341, Leslie Evans, Gerald O'Neil, Fiona Smyth, James Robert MacNab, the Executor of the Estate of James Martin MacNab, Colleen Harnett, George Temperton, Nancy Stewart, Tawnia Gale Scott and Noreen Sydell Anne Gunn and Lavona Sybil Marie Dayle, Executrices of the Estate of Doris Wright, plaintiffs, and Canlan Ice Sports Corp., Van Maren Construction Co. Ltd., Grant Dumbleton carrying on business as Grant Dumbleton, Architects and the said Grant Dumbleton, Elbe, Lock, Walls &amp; Associates Inc., J. Novacek &amp; Associates Ltd., the Corporation of Delta, and Van Maren Construction (#8701) Ltd., defendants, and Elbe, Lock, Walls &amp; Associates Inc., Van Maren Construction Co. Ltd., Van Maren Construction (#8701) Ltd., and J. Novacek &amp; Associates Ltd.,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04" style="position:absolute;z-index:25169817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35" w:name="Keywords_36"/>
      <w:bookmarkEnd w:id="235"/>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fault.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36" w:name="Case Summary_32"/>
            <w:bookmarkEnd w:id="23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Assessment of fault following a settlement and discontinuance. The action by the owners of Strata Plan NW 3341 arose from the need to repair buildings subject to rot. The defendant, Canlan Ice Sports, was the developer. The defendant, Van Maren Construction, was the general contractor. The defendant, Elbe, Lock, Walls, designed the buildings. The defendant Municipality of Delta was the municipal authority responsible for building code enforcement. The major failings were found to have been insufficient care in design and inadequate inspection. </w:t>
            </w:r>
            <w:r>
              <w:rPr>
                <w:lang w:val="en-US" w:eastAsia="en-US" w:bidi="ar-SA"/>
              </w:rPr>
              <w:cr/>
            </w:r>
          </w:p>
          <w:p>
            <w:pPr>
              <w:spacing w:before="120" w:line="260" w:lineRule="atLeast"/>
              <w:ind w:left="240"/>
              <w:jc w:val="both"/>
              <w:rPr>
                <w:lang w:val="en-US" w:eastAsia="en-US" w:bidi="ar-SA"/>
              </w:rPr>
            </w:pPr>
            <w:bookmarkStart w:id="237" w:name="Holdings of Court_28"/>
            <w:bookmarkEnd w:id="237"/>
            <w:r>
              <w:rPr>
                <w:rFonts w:ascii="arial" w:eastAsia="arial" w:hAnsi="arial" w:cs="arial"/>
                <w:color w:val="000000"/>
                <w:sz w:val="20"/>
                <w:lang w:val="en-US" w:eastAsia="en-US" w:bidi="ar-SA"/>
              </w:rPr>
              <w:t>HELD: Canlan's fault was the largest, at 30 per cent, because of inadequate professional design and inspection.</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Municipality was 20 per cent at fault for abdication of its responsibility to enforce the building code. Van Maren and Elbe, Lock, Walls were each 25 per cent at fault. </w:t>
            </w:r>
            <w:r>
              <w:rPr>
                <w:lang w:val="en-US" w:eastAsia="en-US" w:bidi="ar-SA"/>
              </w:rPr>
              <w:cr/>
            </w:r>
          </w:p>
          <w:p>
            <w:pPr>
              <w:rPr>
                <w:lang w:val="en-US" w:eastAsia="en-US" w:bidi="ar-SA"/>
              </w:rPr>
            </w:pPr>
          </w:p>
        </w:tc>
      </w:tr>
    </w:tbl>
    <w:p>
      <w:pPr>
        <w:jc w:val="both"/>
        <w:rPr>
          <w:lang w:val="en-US" w:eastAsia="en-US" w:bidi="ar-SA"/>
        </w:rPr>
      </w:pPr>
      <w:bookmarkStart w:id="238" w:name="Legislation Cited_21"/>
      <w:bookmarkEnd w:id="23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05" style="position:absolute;z-index:2517493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 4(1).</w:t>
      </w:r>
      <w:r>
        <w:rPr>
          <w:lang w:val="en-US" w:eastAsia="en-US" w:bidi="ar-SA"/>
        </w:rPr>
        <w:cr/>
      </w:r>
    </w:p>
    <w:p>
      <w:pPr>
        <w:keepNext/>
        <w:spacing w:before="240" w:line="340" w:lineRule="atLeast"/>
        <w:rPr>
          <w:lang w:val="en-US" w:eastAsia="en-US" w:bidi="ar-SA"/>
        </w:rPr>
      </w:pPr>
      <w:bookmarkStart w:id="239" w:name="Counsel_38"/>
      <w:bookmarkEnd w:id="239"/>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06" style="position:absolute;z-index:2518005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E. Tully, for the plaintiffs. J. Yardley, for the defendants. R. Hunter, for third parties.</w:t>
      </w:r>
      <w:r>
        <w:rPr>
          <w:lang w:val="en-US" w:eastAsia="en-US" w:bidi="ar-SA"/>
        </w:rPr>
        <w:cr/>
      </w:r>
    </w:p>
    <w:p>
      <w:pPr>
        <w:spacing w:after="240"/>
        <w:rPr>
          <w:lang w:val="en-US" w:eastAsia="en-US" w:bidi="ar-SA"/>
        </w:rPr>
      </w:pPr>
      <w:bookmarkStart w:id="240" w:name="Judgment_37"/>
      <w:bookmarkEnd w:id="240"/>
      <w:r>
        <w:pict>
          <v:line id="_x0000_s1207" style="position:absolute;z-index:25184870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41" w:name="GRIST J. (orally)"/>
            <w:bookmarkEnd w:id="241"/>
            <w:r>
              <w:rPr>
                <w:rFonts w:ascii="arial" w:eastAsia="arial" w:hAnsi="arial" w:cs="arial"/>
                <w:b/>
                <w:color w:val="000000"/>
                <w:sz w:val="30"/>
                <w:lang w:val="en-US" w:eastAsia="en-US" w:bidi="ar-SA"/>
              </w:rPr>
              <w:t>GRIST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Counsel have advised that the settlement and discontinuance entered in respect of the developer Canlan in this case requires an apportionment of fault under Section 4(1)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primarily to identify the portion of the judgment to which the remaining defendants will stand exposed.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Section 4(1) provides if damage or loss has been caused by the fault of two or more persons, the court must determine the degree to which each person was at fault. This allocation of fault is as indicated in Cempel v. Harrison Hot Springs Hotel, </w:t>
      </w:r>
      <w:hyperlink r:id="rId611" w:history="1">
        <w:r>
          <w:rPr>
            <w:rFonts w:ascii="arial" w:eastAsia="arial" w:hAnsi="arial" w:cs="arial"/>
            <w:i/>
            <w:color w:val="0077CC"/>
            <w:sz w:val="20"/>
            <w:u w:val="single"/>
            <w:shd w:val="clear" w:color="auto" w:fill="FFFFFF"/>
            <w:lang w:val="en-US" w:eastAsia="en-US" w:bidi="ar-SA"/>
          </w:rPr>
          <w:t>[1997] B.C.J. No. 2853</w:t>
        </w:r>
      </w:hyperlink>
      <w:r>
        <w:rPr>
          <w:rFonts w:ascii="arial" w:eastAsia="arial" w:hAnsi="arial" w:cs="arial"/>
          <w:color w:val="000000"/>
          <w:sz w:val="20"/>
          <w:lang w:val="en-US" w:eastAsia="en-US" w:bidi="ar-SA"/>
        </w:rPr>
        <w:t>, an allocation of blameworthiness not, say, an attempt to draw lines of causation, indicating contribution to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As further indicated in Cemple, blameworthiness is essentially a judgment based upon standard of care, a concept familiar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not tied to or at least not fundamental to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Assessing fault under Section 4(1), where one of the parties in view may also have contractual obligations, requires an analysis of blameworthiness independent of features of allocation of loss inherent to contract, which might act quite independent of fault, or breach of a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Here, the participants in the construction of Riverwest included Canlan, the developer; Van Maren (#8701), the construction company that performed as general contractor; Elbe, Lock, Walls, a design firm which presented the design of the buildings constructed; and the Municipality of Delta, the municipal authority responsible for building code enforcement.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identified in my Reasons for Judgement, the major failings resulting in the buildings being subject to rot were: Firstly, insufficient care in design and detail associated with the application of stucco to the exterior of the buildings, an application which presented considerable risk considering the configuration of the buildings and the site exposure to weather; and secondly, inadequate inspection and control to assure that quality of construction was maintained and that it satisfied code requirements.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dominant source of damages was the cost of the remedial project to strip and replace the cladding on the buildings. The evidence did not establish that any of the prior remedial efforts, primarily with respect to the decks, significantly exacerbated the problems; nor did the lack of earlier efforts to remediate, once the degree of the problem became known, add to the eventual cost.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Therefore, the allocation of fault focuses on the roles and failings during construction.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Taking the participants in order, firstly Canlan, the developer was in overall control of the project. It chose the configuration of the buildings it wanted to comprise the project, and decided the level of involvement of the parties it contracted with, and the level of professional involvement by way of architectural design and supervision. They ultimately stood to profit from the avoidance of the cost of more extensive design and inspection.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Van Maren (#8701): The recitation of points of water entry listed by Mr. Ricketts indicated not only failures in design, but very significant failures in workmanship, notably badly applied flashings, and decks which did not have even the reduced slope indicated in the design.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Elbe, Lock, Walls: The design submitted by this defendant stipulated the stucco application, and was noticeably deficient in associated detail. The troublesome features of inadequate deck slope began with a slope detail which did not meet Code.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Further, this defendant stood obliged under the role of designer indicated in the Building Code, notwithstanding the failure of the developer to contract for this function.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respect to the Municipality of Delta: The assessment of Delta's role is better indicated in my previous Reasons for Judgement. In short, the failing or blameworthiness was an abdication of the responsibility to enforce the relevant part of the Building Code, leaving the public unprotected from just what occurred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described this role as secondary to those who had a hand in the construction of the defective buildings themselves; and at first exposure, judged the degree of fault at 20 percent.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remain of this view after a more complete review and assessment of the fault of the other participants. I view the developer's contribution to fault as being the largest, because of the inadequate level of professional design and inspection determined by their management of the project. I assess its fault at 30 percent.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two remaining participants, Van Maren #8701 and Elbe, Lock, Walls should be fixed with 25 percent fault in each case.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GRIST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18" w:history="1">
        <w:r>
          <w:rPr>
            <w:rFonts w:ascii="arial" w:eastAsia="arial" w:hAnsi="arial" w:cs="arial"/>
            <w:b/>
            <w:bCs/>
            <w:i/>
            <w:color w:val="0077CC"/>
            <w:kern w:val="32"/>
            <w:sz w:val="28"/>
            <w:szCs w:val="32"/>
            <w:u w:val="single"/>
            <w:shd w:val="clear" w:color="auto" w:fill="FFFFFF"/>
            <w:lang w:val="en-US" w:eastAsia="en-US" w:bidi="ar-SA"/>
          </w:rPr>
          <w:t>Torgerson v. Bouchir, [2003] B.C.J. No. 1789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Ross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19 and 20,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July 28, 2003.</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MO23057</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1789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1184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124 A.C.W.S. (3d) 606</w:t>
      </w:r>
    </w:p>
    <w:p>
      <w:pPr>
        <w:spacing w:before="120" w:line="260" w:lineRule="atLeast"/>
        <w:rPr>
          <w:lang w:val="en-US" w:eastAsia="en-US" w:bidi="ar-SA"/>
        </w:rPr>
      </w:pPr>
      <w:r>
        <w:rPr>
          <w:rFonts w:ascii="arial" w:eastAsia="arial" w:hAnsi="arial" w:cs="arial"/>
          <w:color w:val="000000"/>
          <w:sz w:val="20"/>
          <w:lang w:val="en-US" w:eastAsia="en-US" w:bidi="ar-SA"/>
        </w:rPr>
        <w:t>Between Randy Lea Torgerson, plaintiff, and John Bouchir, Daniel Dipaola, Her Majesty the Queen in Right of the Province of British Columbia,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09" style="position:absolute;z-index:25169920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42" w:name="Keywords_37"/>
      <w:bookmarkEnd w:id="242"/>
      <w:r>
        <w:rPr>
          <w:rFonts w:ascii="arial" w:eastAsia="arial" w:hAnsi="arial" w:cs="arial"/>
          <w:b/>
          <w:color w:val="000000"/>
          <w:sz w:val="20"/>
          <w:lang w:val="en-US" w:eastAsia="en-US" w:bidi="ar-SA"/>
        </w:rPr>
        <w:t xml:space="preserve">Prisons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Prison authorities — Standard of care — Custodial officers.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43" w:name="Case Summary_33"/>
            <w:bookmarkEnd w:id="243"/>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Torgerson for damages for personal injuries. Torgerson was a prisoner being transported to court in a van. The deputy sheriffs transporting the prisoners noticed that they were sharing a cigarette. The sheriffs stopped the van and demanded that the prisoners get out to be searched. When they refused, Torgerson alleged that the sheriffs pepper sprayed them without warning and then attempted to pull Torgerson out of the van, which he resisted. He stated that he grabbed the door hinge to avoid being pulled out and injured, and the sheriffs slammed the van door causing his fingertip to be crushed in the door hinge. The sheriffs testified that they did not attempt to pull Torgerson out of the van, that Torgerson kicked one of them when they tried to remove another prisoner, that they warned the prisoners about the use of pepper spray, warned them that the door would be closed, checked the latch area before closing the door but were unable to check the hinge area without entering the van, and did not foresee that a prisoner would have a finger in the hinge area. </w:t>
            </w:r>
            <w:r>
              <w:rPr>
                <w:lang w:val="en-US" w:eastAsia="en-US" w:bidi="ar-SA"/>
              </w:rPr>
              <w:cr/>
            </w:r>
          </w:p>
          <w:p>
            <w:pPr>
              <w:spacing w:before="120" w:line="260" w:lineRule="atLeast"/>
              <w:ind w:left="240"/>
              <w:jc w:val="both"/>
              <w:rPr>
                <w:lang w:val="en-US" w:eastAsia="en-US" w:bidi="ar-SA"/>
              </w:rPr>
            </w:pPr>
            <w:bookmarkStart w:id="244" w:name="Holdings of Court_29"/>
            <w:bookmarkEnd w:id="244"/>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sheriffs' testimony was more consistent and credible than Torgerson's testimony. The sheriffs owed Torgerson a duty of care to protect him from foreseeable risks, but this injury was not foreseeable. Their actions were reasonable in the circumstances and in accordance with their training and approved practice. </w:t>
            </w:r>
            <w:r>
              <w:rPr>
                <w:lang w:val="en-US" w:eastAsia="en-US" w:bidi="ar-SA"/>
              </w:rPr>
              <w:cr/>
            </w:r>
          </w:p>
          <w:p>
            <w:pPr>
              <w:rPr>
                <w:lang w:val="en-US" w:eastAsia="en-US" w:bidi="ar-SA"/>
              </w:rPr>
            </w:pPr>
          </w:p>
        </w:tc>
      </w:tr>
    </w:tbl>
    <w:p>
      <w:pPr>
        <w:jc w:val="both"/>
        <w:rPr>
          <w:lang w:val="en-US" w:eastAsia="en-US" w:bidi="ar-SA"/>
        </w:rPr>
      </w:pPr>
      <w:bookmarkStart w:id="245" w:name="Counsel_39"/>
      <w:bookmarkEnd w:id="24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10" style="position:absolute;z-index:2517504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K.R. Steinberg, for the plaintiff. L. Johnston, for the defendants.</w:t>
      </w:r>
      <w:r>
        <w:rPr>
          <w:lang w:val="en-US" w:eastAsia="en-US" w:bidi="ar-SA"/>
        </w:rPr>
        <w:cr/>
      </w:r>
    </w:p>
    <w:p>
      <w:pPr>
        <w:spacing w:after="240"/>
        <w:rPr>
          <w:lang w:val="en-US" w:eastAsia="en-US" w:bidi="ar-SA"/>
        </w:rPr>
      </w:pPr>
      <w:bookmarkStart w:id="246" w:name="Judgment_38"/>
      <w:bookmarkEnd w:id="246"/>
      <w:r>
        <w:pict>
          <v:line id="_x0000_s1211" style="position:absolute;z-index:25180160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47" w:name="ROSS J._0"/>
            <w:bookmarkEnd w:id="247"/>
            <w:r>
              <w:rPr>
                <w:rFonts w:ascii="arial" w:eastAsia="arial" w:hAnsi="arial" w:cs="arial"/>
                <w:b/>
                <w:color w:val="000000"/>
                <w:sz w:val="30"/>
                <w:lang w:val="en-US" w:eastAsia="en-US" w:bidi="ar-SA"/>
              </w:rPr>
              <w:t>ROSS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Randy Torgerson, sues for damages for personal injuries suffered as a result of an injury sustained while he was in custody that resulted in the loss of a portion of his right index finger. The incident occurred on March 28, 2001 while Mr. Torgerson was in the Sheriff's van awaiting transport. As a result of the incident involving several persons in the van, including Mr. Torgerson, the defendants, Deputy Sheriffs John Bouchir and Daniel DiPaola shut the door of the van. Mr. Torgerson's finger was caught in the hinge and injured.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Torgerson testified that he was in custody on March 28, 2001. That afternoon, he had been taken to the loading dock at the New Westminster courthouse for transport back to the Surrey pre-trial centre and had been loaded into the Sheriff's van for that purpose. He was restrained, wearing handcuffs, which secured his hands in front, and leg chains.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Sheriff's transport van contains six compartments, each equipped with two benches. Mr. Torgerson was seated in the right side rear compartment, beside the door. There were three other persons in the compartment with him. The van is equipped with two doors, one mesh and one plexi-glass.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cigarette was being passed around the occupants in the van. Mr. Torgerson testified that a Sheriff came, opened the door, and instructed them to put out the cigarette and to come out of the van. He testified that someone threw the cigarette out of the van, but that the occupants, himself included, refused to leave the van. He said that his reason for refusal was that there was no reason for them to get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testified that the Sheriffs then used pepper spray and attempted to pull him out of the van by his leg chains. He said that he was afraid of hitting his head if he were pulled out so he clung to the door hinge to prevent himself from being pulled out of the van. He testified that the Sheriffs gave no warning that pepper spray would be used.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was his testimony that the next thing that happened was that the Sheriffs, without warning, slammed the door shut. He was clinging to the hinge at the time to prevent himself from being pulled out of the van. His finger was caught in the hinge when the door shut. In the result, he lost the first digit from the index finger of his right hand.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denied that he was in any physical altercation with the Sheriffs. He denied kicking the Sheriffs. He also denied that he blocked the exit of the van.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a consequence of the injury, Mr. Torgerson was taken to hospital where the tip of his finger was amputated under local anaesthetic. He was in hospital for a few hours. The wound was dressed for about a month. He suffered considerable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still experiences discomfort in the finger. He has lost grip strength in his hand and some dexterity. He testified that the injury has reduced his ability to engage in the construction work that he did when not in custody. In addition, his ability to participate in sports has been diminished and he is no longer able to work as a tattoo artist.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examination for discovery Mr. Torgerson had testified that his hand had not been in the hinge, but on the other side, where the door closes when the accident happened.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149</w:t>
            </w:r>
          </w:p>
        </w:tc>
        <w:tc>
          <w:tcPr>
            <w:tcW w:w="307"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Well, the problem that we have for the purposes of this discovery is that when you say "like this," it doesn't translate on paper. You've got to be a little more descriptive.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I had my hands on the door frame where the cage closes.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150 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So you're talking about the hinge area of the --</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 not the hinge. The side where the - not the hinge, on the other end. Whatever that's called I don't know. Where the door handle or whatever they click it open with.</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1080"/>
        <w:rPr>
          <w:lang w:val="en-US" w:eastAsia="en-US" w:bidi="ar-SA"/>
        </w:rPr>
      </w:pP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163 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Well, why don't you show me where your hand was when it got caught?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My hand was right here.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164 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And are you saying that the door opened up this way then?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The door's hinge is on the opposite side that I am. The door goes open like that.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165 Q</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So your --</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My hand is right there. So when the door closes, it chops my fingertip off.</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166 Q</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So your --</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And there's a space in this door this much.</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167 Q</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So what you're saying, then --</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When it's closed.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168</w:t>
            </w:r>
          </w:p>
        </w:tc>
        <w:tc>
          <w:tcPr>
            <w:tcW w:w="307"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 is that your hand was in the area where the door actually comes and slams onto it as opposed to in the hinge area.</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Yeah, my hand is not in the hinge area.</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169 Q</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And you're absolutely certain of that?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Pretty certain, yeah. I am positive of that, yeah.</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inconsistency is significant and casts doubt on the reliability of Mr. Torgerson's recollection of the events.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John Bouchir has been a Deputy Sheriff for four and a half years. He was on duty at the time of the incident giving rise to these proceedings.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Bouchir testified that he was walking by the van to go back to the cells when he smelled smoke. The outer door of the van was open. He looked in and saw Mr. Rosebush, one of the persons in the compartment with Mr. Torgerson, smoking. He testified that Mr. Rosebush refused to give up the cigarette and the occupants of the van refused to leave the van when instructed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testified that, contraband having been found, in his view the occupants would now have to leave the van and submit to a skin search for additional contraband.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called for back up and opened the door, grabbing Mr. Rosebush. Mr. Rosebush attempted to pull Mr. Bouchir into the van. At this time, Mr. Bouchir testified that Mr. Torgerson kicked him in the right shoulder. He then closed the cage door of the van.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Deputy Sheriff DiPaola arrived to assist. Mr. Bouchir testified that Mr. DiPaola asked the occupants of the compartment several times to exit the van. They refused.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testified that he then gave the chemical agent warning, twice and then sprayed Mr. Rosebush, the instigator of the confrontation. The spray was absorbed into the hood Mr. Rosebush was wearing. Mr. DiPaola then reached in to grab Mr. Rosebush and was kicked by Mr. Torgerson. Mr. Bouchir then sprayed Mr. Torgerson and pulled Mr. DiPaola back out of the van. He testified that he sprayed Mr. Torgerson because he was kicking his partner.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that point he testified that he said in a loud voice, "we have to close the door". The purpose was to give the chemical agent a chance to work with the hope that the occupants would then exit the van to escape the chemical agent. This was the procedure taught in the defensive tactics re-qualification course that he had attended at the Justice Institute.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testified that he and Deputy Sheriff DiPaola checked the door on the latch side before closing it. They did not check the hinge side because that area was not visible to them from the outside of the van. They would have had to enter the van to check the hinge area. Further, in his experience no one had ever used the hinge area to stop a door from closing. This had never been a problem before. The practise was to check the latch side, but not the hinge 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testified that when the door was opened in response to Mr. Torgerson's cries, he observed that Mr. Torgerson's chains were tangled with Mr. Rosebush's.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Bouchir denied that he had ever pulled Mr. Torgerson's feet or leg chains and stated that he did not see Mr. DiPaola doing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Daniel DiPaola has been a Deputy Sheriff for three years. He had completed his Justice Institute training in June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testified that in the afternoon of March 28, 2001 he recalls being on the driver side of the van when he heard a commotion. He went to investigate and saw Mr. Bouchir closing the inside door. He observed loud confrontation from Mr. Rosebush and Mr. Torgerson. They were challenging the Sheriffs to come and get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testified that Mr. Bouchir wanted to take them off one at a time, starting with the instigator, Mr. Rosebush. Mr. DiPaola approached the van and asked Mr. Rosebush to come out. He responded with profanity and refused. After a further exchange of demands and profane refusals Mr. DiPaola gave the chemical agent warning. Mr. Rosebush responded with a taunt.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DiPaola testified that he opened the door and sprayed Mr. Rosebush and demanded several times that he exit the vehicle. Mr. Rosebush still refused.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testified that Mr. Rosebush flicked the cigarette at Mr. Bouchir. Mr. Bouchir did not recall this incident with the cigarette.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recalled that he then reached into the van to attempt to remove Mr. Rosebush who refused and resisted. He recalled Mr. Torgerson's leg being across the bench blocking his access. He testified that he felt a blow to his arms and side, but did not see who hit him. The blows were coming from the right side where Mr. Torgerson was seated.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Then Mr. Bouchir reached in and sprayed Mr. Torgerson. He said "close the door" twice, "let it work". They backed away from the door together and closed the door. He recalled checking the latch side of the door before closing it, but did not stick his head in to check the hinge. He did not expect a hand to be in the hinge. He did not see Mr. Torgerson's hand in the hinge at the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Then he heard a scream, saw the tip of Mr. Torgerson's finger in the door. They opened the door and went to get him out. He observed Mr. Torgerson's leg chains tangled with Mr. Rosebush's.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Bouchir and Mr. DiPaola had very different impressions of the size of Mr. Rosebush. Mr. Bouchir testified that he believed Mr. Rosebush was 6'2" tall and weighed about 225 pounds. Mr. DiPaola was of the view that he was 5"9" tall and weighed 180 pounds.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While there are many divergences in the accounts given of the incident, it is clear and not in contention that the initiating incident was the shared cigarette coupled with the refusal of the occupants of the compartment, including Mr. Torgerson, to exit the van when instructed to do so by Mr. Bouchir. It is also common to the testimony of all three witnesses that Mr. Rosebush was the prime instigator of the incident and that pepper spray was used upon both Mr. Rosebush and Mr. Torgerson.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Torgerson denies playing any part in the confrontation. He specifically denies kicking or hitting either Deputy Sheriff. However, I accept Mr. Bouchir's testimony with respect to Mr. Torgerson's conduct. Mr. Bouchir was not shaken in cross examination. His testimony differs in some respects from that of Mr. DiPaola, however, I found the differences to reflect an absence of collusion between them. While Mr. DiPaola did not see who kicked or hit him, he did feel blows coming from the same direction as Mr. Torgerson. In that respect his testimony is consistent with that of Mr. Bouchir. I consider it unlikely that Mr. Bouchir used the spray on Mr. Torgerson for no reason. It is more likely, in my view, that the spray was used in response to the behaviour described in his testimony.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next discrepancy is whether the Deputy Sheriffs attempted to drag Mr. Torgerson out of the van by his leg chain. I find that they did not. Their efforts were directed at attempting to remove Mr. Rosebush, the prime instigator, first. They did not succeed. Then spray was used on Mr. Torgerson in response to his assault upon Mr. DiPaola and the door closed to allow the spray to work. It may be that what Mr. Torgerson perceived was a tugging resulting from the tangling of his chains with those of Mr. Rosebush. However, I find that neither Sheriff attempted to pull him out of the van by his leg chains and, in particular, did not do so after the use of the chemical agent.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Deputy Sheriffs owed Mr. Torgerson a duty of care to exercise reasonable care to protect him from foreseeable risks, see Funk Estate v. Clapp, </w:t>
      </w:r>
      <w:hyperlink r:id="rId409" w:history="1">
        <w:r>
          <w:rPr>
            <w:rFonts w:ascii="arial" w:eastAsia="arial" w:hAnsi="arial" w:cs="arial"/>
            <w:i/>
            <w:color w:val="0077CC"/>
            <w:sz w:val="20"/>
            <w:u w:val="single"/>
            <w:shd w:val="clear" w:color="auto" w:fill="FFFFFF"/>
            <w:lang w:val="en-US" w:eastAsia="en-US" w:bidi="ar-SA"/>
          </w:rPr>
          <w:t>(1986) 35 B.C.L.R. (2d) 222</w:t>
        </w:r>
      </w:hyperlink>
      <w:r>
        <w:rPr>
          <w:rFonts w:ascii="arial" w:eastAsia="arial" w:hAnsi="arial" w:cs="arial"/>
          <w:color w:val="000000"/>
          <w:sz w:val="20"/>
          <w:lang w:val="en-US" w:eastAsia="en-US" w:bidi="ar-SA"/>
        </w:rPr>
        <w:t xml:space="preserve"> (C.A.) at pg. 225.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relationship of jailer and prisoner is such that carelessness on the part of the former may cause damage to the latter. It follows that there is a duty to be careful: see Anns v. Merton London Borough Council, [1978] A.C. 728, [1977] 2 W.L.R. 1024, [1977] 2 ALL E.R. 492 (H.L.). Mr. Funk was entitled to have his jailers exercise reasonable care to protect him from foreseeable risks.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first question is whether the use of the spray was appropriate in the circumstances. The Sheriffs were dealing with a volatile situation. Contraband had been present. There could be more. They had requested the four occupants of the compartment to leave the van. The requests were refused. Mr. Rosebush was actively resisting efforts to remove him. Mr. Torgerson was a participant in that resistance, blocking the entry with his leg and kicking or striking the Sheriffs. In the circumstances, I find it was reasonable for the Sheriffs to use the pepper spray.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next question is whether it was reasonable to shut the door. I find that it was reasonable in the circumstances. The Sheriffs were taught to close the door after the spray had been administered to give it time to work. It was their practice to check the latch area of the door to see if it was clear before closing it. They followed that practice in this case. Conformity with general and approved practice is some evidence that the standard of care has been met, see Funk, supra at pg. 227: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A somewhat similar approach applies to customary practices. Lord Alness in McDaniel v. Vancouver Gen. Hosp., </w:t>
      </w:r>
      <w:hyperlink r:id="rId619" w:history="1">
        <w:r>
          <w:rPr>
            <w:rFonts w:ascii="arial" w:eastAsia="arial" w:hAnsi="arial" w:cs="arial"/>
            <w:i/>
            <w:color w:val="0077CC"/>
            <w:sz w:val="20"/>
            <w:u w:val="single"/>
            <w:shd w:val="clear" w:color="auto" w:fill="FFFFFF"/>
            <w:lang w:val="en-US" w:eastAsia="en-US" w:bidi="ar-SA"/>
          </w:rPr>
          <w:t>[1934] 3 W.W.R. 619</w:t>
        </w:r>
      </w:hyperlink>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[1934] 4 D.L.R. 593</w:t>
        </w:r>
      </w:hyperlink>
      <w:r>
        <w:rPr>
          <w:rFonts w:ascii="arial" w:eastAsia="arial" w:hAnsi="arial" w:cs="arial"/>
          <w:color w:val="000000"/>
          <w:sz w:val="20"/>
          <w:lang w:val="en-US" w:eastAsia="en-US" w:bidi="ar-SA"/>
        </w:rPr>
        <w:t xml:space="preserve"> at 597 (P.C.), over-stated the matter when he said "a defendant charged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clear his feet if he shows that he has acted in accord with general and approved practice" but the cases do show that conformance with a generally accepted practice usually results in a finding of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Employing similar reasoning "failure to adopt the general practice is often the strongest possible indication of want of care": Fleming, The Law of Torts, 5th ed. (1977), p. 118.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final question is whether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manner of closing the door. The Sheriffs did not check the hinge area of the door before closing it. I find that they were not negligent in failing to do so. First, the hinge area was not visible from outside the van. In order to check that area, one of the Sheriffs would have had to go back inside the van and look. That would place the Sheriff back into the very situation of danger that had caused the use of the spray and the door being closed. In the circumstances I find that would not be a reasonable step.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Furthermore, the Sheriffs did not expect that fingers would be in the door hinge. In their experience that had not been a problem. I find that their expectation was not unreasonable. I find that the risk in the circumstances was not foreseeable.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result the actions of the defendants were not in breach of the standard of care. The action is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ROSS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8497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Turcotte v. Global Securities Corp., [2000] B.C.J. No. 1667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Ralph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6 - 9 and 13,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C972414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1667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1232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A.C.W.S. (3d) 920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Jacqueline Turcotte, plaintiff, and Global Securities Corporation, Robert Semple and Robert Tassone,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3"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8" w:name="Keywords_38"/>
      <w:bookmarkEnd w:id="248"/>
      <w:r>
        <w:rPr>
          <w:rFonts w:ascii="arial" w:eastAsia="arial" w:hAnsi="arial" w:cs="arial"/>
          <w:b/>
          <w:color w:val="000000"/>
          <w:sz w:val="20"/>
          <w:lang w:val="en-US" w:eastAsia="en-US" w:bidi="ar-SA"/>
        </w:rPr>
        <w:t>Torts — Duty of care — Whether the defendant took reasonable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9" w:name="Case Summary_34"/>
            <w:bookmarkEnd w:id="24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Turcotte against the defendants Global Securities Corp., Semple and Tassone for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Over the years, Turcotte had bought and sold properties and in 1992 she began to place proceeds from sales with a financial advisor. The funds were used to buy mutual funds that were heavily directed to Asian and other emerging market investments. By October 1994, the value of her funds was about $362,000 which produced a monthly return of $2,471. Her financial advisor was about to retire. She met Semple. He advised that some of her funds should be put into United States investments and bonds. He said that it would be easy to obtain $3,000 a month for her. In August 1995, at 67, she transferred her investment portfolio of some $330,000 to Global. Semple and Tassone were the advisors who assisted her. She obtained monthly payments of $3,000. She said that she was never told that the money was coming from the capital of the account. Semple said that he told her that erosion of her capital was a possibility. Tassone met her for the first time on August 17, 1995. He thought that her portfolio was too heavily weighed to Asian market and was too risky. Semple was of the same opinion. By September 1996, Turcotte's investment had declined in value. An expert opined that the investment portfolio chosen for her was inappropriate for a person in her circumstances and with her stated goals. He agreed that if Turcotte had continued to remain invested largely in the Asian and emerging market mutual funds in 1998, she would have lost enormously.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0" w:name="Holdings of Court_30"/>
            <w:bookmarkEnd w:id="250"/>
            <w:r>
              <w:rPr>
                <w:rFonts w:ascii="arial" w:eastAsia="arial" w:hAnsi="arial" w:cs="arial"/>
                <w:color w:val="000000"/>
                <w:sz w:val="20"/>
                <w:lang w:val="en-US" w:eastAsia="en-US" w:bidi="ar-SA"/>
              </w:rPr>
              <w:t>HELD: Action allowed in part and Turcotte awarded $25,138, $2,471 for 11 months.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relationship of Turcotte with Semple and Tassone was a fiduciary one. Turcotte placed in them her trust and confidence and her reliance on their skills and knowledge. They had an obligation to advise her with care, honesty, good faith, skill and diligence. When she invested through Global, her investment portfolio was at risk of considerable volatility. One of Turcotte's important objectives was her need to derive a monthly income from her portfolio. Between September 1995 and July 1996, she made a number of monthly requests for $3,000 to Tassone. There appeared to be no evidence that during that period either Semple or Turcotte warned her of the impact of monthly withdrawals upon the capital of her portfolio. This constituted a breach of duty of care they owned to her. She was entitled to damages for such a breach. It was reasonably foreseeable that she would think that she could continue to withdraw $2,271, if not $3,000, per month without encroaching on the capital. However, Semple and Tassone did not act in bad faith or dishonestly.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1" w:name="Counsel_40"/>
      <w:bookmarkEnd w:id="2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4"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Michael D. Tatchell, for the plaintiff. Henning Wiebach,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2" w:name="Judgment_39"/>
      <w:bookmarkEnd w:id="252"/>
      <w:r>
        <w:pict>
          <v:line id="_x0000_s1215" style="position:absolute;z-index:2518026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3" w:name="RALPH J._0"/>
            <w:bookmarkEnd w:id="253"/>
            <w:r>
              <w:rPr>
                <w:rFonts w:ascii="arial" w:eastAsia="arial" w:hAnsi="arial" w:cs="arial"/>
                <w:b/>
                <w:color w:val="000000"/>
                <w:sz w:val="30"/>
                <w:lang w:val="en-US" w:eastAsia="en-US" w:bidi="ar-SA"/>
              </w:rPr>
              <w:t>RALPH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August 1995 Mrs. Turcotte transferred her investment portfolio of approximately $330,000 to the corporate defendant ("Global"). Mr. Semple and Mr. Tassone were the investment advisors at Global who assisted Mrs. Turcotte, and by September 1996 the portfolio had declined in value. Mrs. Turcotte says that, as a result of their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the defendants are liable to her for losses in the amount of approximately $88,000.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issues that must be decided in the action are:</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relationship between the parties;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duties owed by the defendants to the plaintiff;</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breached their duties to the plaintiff; and,</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damages have been sustained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When Mrs. Turcotte transferred her investment portfolio to Global in 1995 she was 67 years old. From 1982 to 1989 Mrs. Turcotte worked as a realtor in Vancouver. She moved to Victoria in 1989, purchased a heritage home and operated a bed and breakfast business for a period of time. She subsequently sold the home and returned to Vancouver in 1992. While she was essentially retired at that point she still intended to engage in some real estate selling and renewed her real estate licence as late as December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Over a number of years Mrs. Turcotte purchased and sold a number of properties as a successful investor. In 1992 she began to place proceeds from sales of the properties with a financial advisor, Balanced Financial Services Ltd. These funds were used to purchase a number of mutual funds which were heavily directed to Asian and other emerging market investments. By October 1994 the value of the seven funds held by Mrs. Turcotte was approximately $362,000. They also produced a monthly return of $2,471 which was paid into Mrs. Turcotte's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With a decline in the market and the withdrawal of $20,000 by Mrs. Turcotte, the value of her mutual funds dropped to $316,000 in April 1995. By June 1995 it had grown to $333,000. It was Mrs. Turcotte's evidence that she understood that the funds would fluctuate in value because it "was just like real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the Balanced Financial Services Ltd. financial advisor with whom Mrs. Turcotte dealt was about to retire in mid-1995, Mrs. Turcotte decided to look for a new advisor. On August 17, 1995, she met with Mr. Semple. There is conflicting evidence on what transpired at that meeting. It was Mrs. Turcotte's evidence that she and Mr. Semple met alone for about one hour. Mr. Semple advised her that her mutual funds were "much too aggressive" and should not be so heavily placed in the Asian market. It was his advice that some of her funds should be put into United States investments and some into bonds. It was Mrs. Turcotte's evidence that when she advised Mr. Semple that she was receiving $2,471 income a month through her mutual funds, Mr. Semple replied that it "would be easy" to obtain $3,000 per month for her. Mrs. Turcotte says that she signed a Global Securities Corporation Account Information form in blank and that, in addition, there was no discussion of or completing forms relating to trading in "options". She said that at some later point Mr. Semple discussed "puts" with her but that she did not understand the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Although the entries on the Account Information form states it as such, Mrs. Turcotte denied that she had estimated her total net worth as $700,000 or her approximate annual income as $65,000. She stated that she was retired at that time and denied that she had indicated she was "self-employed", which the form states as her "occupation". She also denied that the "Investment Objectives" portion of the form was discussed and that the allocation of her portfolio was to be, as stated on the form, 50% to Capital Preservation, 40% to Moderate Growth and 10% to Speculative Investments. In cross-examination, however, she agreed that there may have been discussion of creating up to a 10% Speculative Investment allocation as an available allotment should she learn of a speculative investment in which she might wish to invest.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transferring her portfolio to Global, Mrs. Turcotte obtained monthly payments by placing a monthly call to Global, usually to Mr. Tassone. Most payments were in the amount of $3,000. Between September 1995 and July 1996 she drew out $36,740. It was Mrs. Turcotte's evidence that when she asked Mr. Tassone where the payments were coming from he advised her not to worry and that the money was in the account. She said that she was never told that the money was coming from the capital of the account or that she could not draw out $3,000 per month without encroaching on the capital of her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cross-examination Mrs. Turcotte agreed that at the beginning of her association with Global she may have contacted Mr. Semple by phone twice a week. She also agreed that after that she met with him or Mr. Tassone a number of times concerning the state of her portfolio and for the purpose of obtaining an explanation of her monthly statements from Global.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Semple had met Mrs. Turcotte on social occasions but first met with her concerning her investments on August 17, 1995. He described the completion of the Account Information Form at that meeting. He denied that Mrs. Turcotte signed the form in blank. It was his evidence that they discussed the form as a document to "know your client" as required by the investment industry. He said that Mrs. Turcotte informed him that she had most of her liquid assets in mutual funds, that she was conversant with them and that she followed their progress. In his view it was appropriate to classify her "Investment Experience" on the information form as "Moderate" for common shares, preferred shares and bonds rather than under the alternative classification of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discussing the "Investment Objectives" section of the form, Mr. Semple said in evidence that the most important thing in Mrs. Turcotte's mind was capital preservation but that this had to be tempered by her need to live off the income. He stated that in their discussions Mrs. Turcotte recognized that when she withdrew more than the income from her investments, the capital went down. It was his evidence that he informed Mrs. Turcotte that erosion of her capital was a "distinct possibility" and that, while she could place all her funds in a guaranteed income certificate at the bank, it would not provide the amount of income that she said that she needed. He said that he informed Mrs. Turcotte that over time it might be possible to take out 11% return if the market was favourable. An 11% return would provide approximately $3,000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Semple said that the $65,000 per year annual income indicated on the form came from information provided by Mrs. Turcotte and that it was difficult to tell at that point whether Mrs. Turcotte was gainfully employed, retired or in transition.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was Mr. Semple's evidence that he informed Mrs. Turcotte that her heavy emphasis in Asian based mutual funds was a "time bomb" and that she should immediately begin moving to "blue chip" companies, most of which were in the United States. He also recommended at that time and on at least two meetings after August 17 that one way to diversify was by selling "puts" on the options market. In his view options presented the least risky strategy that would enable Mrs. Turcotte to begin to acquire shares in American companies, to meet the diversity she needed in her portfolio and to produce the return she was seeking.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Tassone met Mrs. Turcotte for the first time at the meeting of August 17, 1995. It was his evidence that he was "in and out of the meeting" at different times. He said that he remembers making instant comments about Mrs. Turcotte's portfolio being too heavily weighted to Asian investments and far too risky. He also said that he recalls Mrs. Turcotte stating that she wanted to take out $2,471 per month and that his response was that it was necessary for her to diversify her portfolio and that she might need to lighten up on the amount she was taking out each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Tassone also testified that he and Mr. Semple informed Mrs. Turcotte that she could make certain inter-fund transfers of some of her mutual funds from those with an Asian emphasis to those with more of a worldwide distribution of assets. He said that Mrs. Turcotte did not want to do so because her existing funds had been increasing in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Tassone also stated in evidence that at the August 17, 1995, meeting they talked about options trading as part of the overall strategy to achieve diversity in Mrs. Turcotte's portfolio. It was his opinion that purchasing puts was less risky than purchasing stocks if the puts were associated with large American companies that appeared from recognized analytical sources to have strong financial records. It was his opinion that the four companies in which option trading took place met the criteria. He stated that option trading in each of the four companies was discussed with Mrs. Turcotte, who appeared to have a general understanding of the nature of the trading and agreed to it. It was Mr. Tassone's evidence that by December 1995 the options strategy was essentially abandoned because of substantial losses that had occurred in the option trading to that date. As a result of those losses, Mrs. Turcotte had become opposed to the strategy.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Mrs. Turcotte transferred her investment portfolio to Global in September 1995, the portfolio was made up of investments in seven mutual funds. When she transferred her portfolio to TD Evergreen in September 1996 five of those mutual funds continued to be part of the portfolio, although some trading of small numbers of the units of those funds appears to have occurred. Two had been sold and the proceeds applied to new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Of the approximately $85,000 derived from the sale of the two mutual funds, $47,992.56 was used to purchase a bond. The sum of $25,000 was used to purchase a Samoth Capital Corporation debenture. Substantial amounts of the bond were subsequently used to pay for the options traded by Global on Mrs. Turcotte's behalf. In addition Global purchased 10,000 shares of Achieva Development Corporation, a speculative stock, at $1.68 per share in May 1996. Although considerable evidence was given about the purchase and the subsequent sale of this stock, it ultimately sold in different allotments at different prices but all at prices above $1.68 per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Ronald Webster was qualified and gave an expert opinion on the practice of advising on investments and on determining what factors must be considered in making appropriate investments. It was his opinion that the investment portfolio chosen for Mrs. Turcotte was inappropriate for a person in her circumstances and with her stated goals. It was also his opinion that a prudent and competent investment advisor knowing Mrs. Turcotte's circumstances would not choose the options trading account for her portfolio "consisting as it did of highly speculative, complex transactions which are not easily understood by investors even with more experience or sophistication than that of Mrs. Turcotte".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cross-examination, while he maintained that Mr. Semple and Mr. Tassone picked the wrong strategy, Mr. Webster agreed that the sale of puts and the purchase of stock would carry about the same amount of risk and that the seller's side of the put is not as risky as the purchaser's side. He agreed that it is high-grade securities on which options are usually available. He also agreed that if the fundamentals of the companies in which the puts were sold were strong - high revenues, high earnings, low debt, high capital value and widely held - they would be attractive purchases. In addition, Mr. Webster agreed that if Mrs. Turcotte had continued to remain invested largely in Asian and emerging market mutual funds in 1998 that she would have lost enormously.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relationship of stockbroker to client is that of agent to principal, but the client's relationship with the broker may be such that the stockbroker stands in a fiduciary relationship to the client (Reed v. McDermid St. Lawrence Ltd., </w:t>
      </w:r>
      <w:hyperlink r:id="rId627" w:history="1">
        <w:r>
          <w:rPr>
            <w:rFonts w:ascii="arial" w:eastAsia="arial" w:hAnsi="arial" w:cs="arial"/>
            <w:i/>
            <w:color w:val="0077CC"/>
            <w:sz w:val="20"/>
            <w:u w:val="single"/>
            <w:shd w:val="clear" w:color="auto" w:fill="FFFFFF"/>
            <w:lang w:val="en-US" w:eastAsia="en-US" w:bidi="ar-SA"/>
          </w:rPr>
          <w:t>(1990) 52 B.C.L.R. (2d) 265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principles applicable to fiduciary relationships are set out in Hodgkinson v Simms et al. </w:t>
      </w:r>
      <w:hyperlink r:id="rId628" w:history="1">
        <w:r>
          <w:rPr>
            <w:rFonts w:ascii="arial" w:eastAsia="arial" w:hAnsi="arial" w:cs="arial"/>
            <w:i/>
            <w:color w:val="0077CC"/>
            <w:sz w:val="20"/>
            <w:u w:val="single"/>
            <w:shd w:val="clear" w:color="auto" w:fill="FFFFFF"/>
            <w:lang w:val="en-US" w:eastAsia="en-US" w:bidi="ar-SA"/>
          </w:rPr>
          <w:t>(1994), 117 D.L.R. (4th) 161</w:t>
        </w:r>
      </w:hyperlink>
      <w:r>
        <w:rPr>
          <w:rFonts w:ascii="arial" w:eastAsia="arial" w:hAnsi="arial" w:cs="arial"/>
          <w:color w:val="000000"/>
          <w:sz w:val="20"/>
          <w:lang w:val="en-US" w:eastAsia="en-US" w:bidi="ar-SA"/>
        </w:rPr>
        <w:t xml:space="preserve"> (S.C.C.). In that decision La Forest J. adopted as "an accurate statement of fiduciary law in the context of independent professional advisory relationships" the words of Keenan J. in Varcoe v. Sterling </w:t>
      </w:r>
      <w:hyperlink r:id="rId629" w:history="1">
        <w:r>
          <w:rPr>
            <w:rFonts w:ascii="arial" w:eastAsia="arial" w:hAnsi="arial" w:cs="arial"/>
            <w:i/>
            <w:color w:val="0077CC"/>
            <w:sz w:val="20"/>
            <w:u w:val="single"/>
            <w:shd w:val="clear" w:color="auto" w:fill="FFFFFF"/>
            <w:lang w:val="en-US" w:eastAsia="en-US" w:bidi="ar-SA"/>
          </w:rPr>
          <w:t>(1992), 7 O.R. (3d) 204</w:t>
        </w:r>
      </w:hyperlink>
      <w:r>
        <w:rPr>
          <w:rFonts w:ascii="arial" w:eastAsia="arial" w:hAnsi="arial" w:cs="arial"/>
          <w:color w:val="000000"/>
          <w:sz w:val="20"/>
          <w:lang w:val="en-US" w:eastAsia="en-US" w:bidi="ar-SA"/>
        </w:rPr>
        <w:t xml:space="preserve"> at pp. 234-6 which include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relationship of the broker and client is elevated to a fiduciary level when the client reposes trust and confidence in the broker and relies on the broker's advice in making business decisions. When the broker seeks or accepts the client's trust and confidence and undertakes to advise, the broker must do so fully, honestly and in good faith. ... It is the trust and reliance placed by the client which give to the broker the power and in some cases, discretion, to make a business decision for the client. Because the client has reposed that trust and confidence and has given over that power to the broker, the law imposes a duty on the broker to honour that trust and respond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La Forest J. went on to state at p. 184: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where a fiduciary duty is claimed in the context of a financial advisory relationship, it is at all events a question of fact as to whether the parties' relationship was such as to give rise to a fiduciary duty on the part of the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Rhoads v. Prudential-Bache Securities Canada Ltd. </w:t>
      </w:r>
      <w:hyperlink r:id="rId630" w:history="1">
        <w:r>
          <w:rPr>
            <w:rFonts w:ascii="arial" w:eastAsia="arial" w:hAnsi="arial" w:cs="arial"/>
            <w:i/>
            <w:color w:val="0077CC"/>
            <w:sz w:val="20"/>
            <w:u w:val="single"/>
            <w:shd w:val="clear" w:color="auto" w:fill="FFFFFF"/>
            <w:lang w:val="en-US" w:eastAsia="en-US" w:bidi="ar-SA"/>
          </w:rPr>
          <w:t>(1992), 63 B.C.L.R. (2d) 256</w:t>
        </w:r>
      </w:hyperlink>
      <w:r>
        <w:rPr>
          <w:rFonts w:ascii="arial" w:eastAsia="arial" w:hAnsi="arial" w:cs="arial"/>
          <w:color w:val="000000"/>
          <w:sz w:val="20"/>
          <w:lang w:val="en-US" w:eastAsia="en-US" w:bidi="ar-SA"/>
        </w:rPr>
        <w:t xml:space="preserve"> (C.A.), the Court of Appeal affirmed a finding of liability of two financial advisors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breach of fiduciary duty. The defendants had advertised their services as "growing and managing retirement wealth", "keeping investments safe" and providing service in "ways that no one else can". At p. 261 Taylor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Stockbrokers who carry on business in this way accept responsibilities beyond those involved in bringing together buyers and sellers. They undertake the duty of providing careful, competent, considered professional advice of a sort in which clients, especially those who have no experience of their own to guide them, may well place their complete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Varcoe v. Sterling, supra, Keenan J. considered the nature of the remedy that is available for breach of fiduciary duty. After considering the decision of the Supreme Court of Canada in Canson Enterprises Ltd. v. Boughton &amp; Co. </w:t>
      </w:r>
      <w:hyperlink r:id="rId631" w:history="1">
        <w:r>
          <w:rPr>
            <w:rFonts w:ascii="arial" w:eastAsia="arial" w:hAnsi="arial" w:cs="arial"/>
            <w:i/>
            <w:color w:val="0077CC"/>
            <w:sz w:val="20"/>
            <w:u w:val="single"/>
            <w:shd w:val="clear" w:color="auto" w:fill="FFFFFF"/>
            <w:lang w:val="en-US" w:eastAsia="en-US" w:bidi="ar-SA"/>
          </w:rPr>
          <w:t>(1991), 85 D.L.R. (4th) 129</w:t>
        </w:r>
      </w:hyperlink>
      <w:r>
        <w:rPr>
          <w:rFonts w:ascii="arial" w:eastAsia="arial" w:hAnsi="arial" w:cs="arial"/>
          <w:color w:val="000000"/>
          <w:sz w:val="20"/>
          <w:lang w:val="en-US" w:eastAsia="en-US" w:bidi="ar-SA"/>
        </w:rPr>
        <w:t xml:space="preserve"> (S.C.C.), he stated at p. 228: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above, I conclude that concerns about any rigid restriction on the right of the court to fashion a just and equitable award of damages are relieved, and a suitable award may be crafted whether the breach be in law or in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considering the evidence I am satisfied that the relationship of Mrs. Turcotte to Mr. Semple and Mr. Tassone was a fiduciary one. While she had some previous experience with investing in mutual funds, and considerable experience in the real estate business and market, Mrs. Turcotte was dependent on her investment advisors for their assistance in managing her portfolio and made that dependence known to them. In my view Mrs. Turcotte placed in her investment advisors her trust and confidence, and her reliance on their skills and knowledge. By virtue of that relationship Mr. Semple and Mr. Tassone had an obligation to advise Mrs. Turcotte with care, honesty, good faith, skill and diligence. It is, therefore, necessary to determine whether that obligation was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the time Mrs. Turcotte engaged the services of the defendants she held an investment portfolio that, on the evidence, must be considered one which was at risk of considerable volatility. In my view it is important to note that, unlike the plaintiffs in Rhoads v. Prudential-Bache Securities, supra, who were 100% invested in interest-bearing bank certificates and advised to move to growth-oriented mutual funds carrying more risk, Mrs. Turcotte was advised that she needed to take steps to reduce the risk in her portfolio. The advice she received was to seek to diversify her portfolio by substantially reducing the Asian and emerging market content of her portfolio and adding American-based investments in financially more secure enterprises. One of the means which she was advised to employ to achieve this diversification was to trade in the options market and engage in the selling of puts.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While the evidence of Mr. Webster was that this was the wrong strategy, that opinion must be weighed against his unproved assumption that the particular options traded in were "highly speculative, complex transactions" and against his concession in cross-examination that the sale of puts and the purchase of stock would carry about the same amount of risk. In spite of the fact that the particular options recommended by Mr. Semple and Mr. Tassone to Mrs. Turcotte resulted in significant financial loss to her, I am not satisfied on the evidence before me that the advice was given in bad faith or negligently.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Considerable examination and cross-examination was directed to the completion of the Account Information Form during Mrs. Turcotte's first meeting with Mr. Semple. In my view the importance of that document relates to whether sufficient and accurate information was obtained by Mr. Semple to enable him to "know his client" and to make informed and considered investment recommendations that were appropriate to Mrs. Turcotte's financial circumstances and objectives. The meeting of August 17, 1995, lasted for at least one hour. It is clear that there were competing investment objectives which were almost in conflict with one another given Mrs. Turcotte's expressed need to preserve her capital but to generate some growth in that capital that would give rise to a return large enough to achieve the monthly return of $3,000. There was evidence that Mrs. Turcotte intended to maintain some activity in the real estate field which would have made her occupational status uncertain. There was evidence that her 1994 Income Tax return showed a "total income" of approximately $65,000, albeit including some substantial capital gains. I would draw no adverse inferences against Mr. Semple or Mr. Tassone concerning the completion of that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One of the important objectives Mrs. Turcotte made very clear to Mr. Semple and Mr. Tassone was her need to derive a monthly income from her investment portfolio. She also made it clear that, while her portfolio was placed at Balanced Financial Services Ltd., she had been receiving $2,471 per month with little or no encroachment on the capital of her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Mrs. Turcotte identified to Mr. Semple an objective of achieving a monthly return of $3,000. It was Mrs. Turcotte's evidence that Mr. Semple stated it would be easy to achieve this. It was Mr. Semple's evidence that he stated such a return was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Tassone's evidence was that at their first meeting in August 1995 he advised Mrs. Turcotte that she might have to lighten up on what she was taking out each month. Between September 1995 and July 1996 Mrs. Turcotte made a number of her monthly requests for $3,000 to Mr. Tassone.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There appears to be no evidence that between September 1995 and July 1996 either Mr. Semple or Mr. Tassone clearly advised or warned Mrs. Turcotte of the impact of her monthly withdrawals upon the capital of her portfolio even though they were aware of her experience at Balanced Financial Services Ltd. In my view it was reasonably foreseeable that Mrs. Turcotte would think that, as she had been doing before moving her portfolio, she could continue to withdraw $2,471, if not $3,000, per month without encroaching on the capital of her investment. The failure of Mr. Semple and Mr. Tassone to warn Mrs. Turcotte of the consequences of her actions constitutes a breach of the duty of care that they owed to Mrs. Turcotte. That duty of care is required both by the law relating to fiduciary relationships and the law relating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my conclusion that Mrs. Turcotte is entitled to damages for such a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Although Mrs. Turcotte alleged other breaches by Mr. Semple and Mr. Tassone of their fiduciary duty to her, I do not find them to be proved. In particular, and although it is often present where there is a finding of a breach of fiduciary duty, I do not find that Mr. Semple or Mr. Tassone acted in bad faith or dishonestly.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Hodgkinson v. Simms, supra, La Forest J. considered the principles that apply to the assessment of damages for breach of a fiduciary duty at pp. 199-210. The proper approach is restitutionary, but a variety of remedial considerations may be appropriate. At page 201 La Forest J. quoted with approval an extra-judicial statement of Huband J.A. of the Manitoba Court of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breach of fiduciary duty can take many forms. It might be tantamount to deceit and theft, while on the other hand it may be no more than an innocent and honest bit of bad advice, or a failure to give a timely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breach of duty which I have found in this action was the failure of Mr. Semple and Mr. Tassone to warn Mrs. Turcotte that what had been her practice and its effect upon the capital of the funds she had invested through Balanced Financial Services Ltd. could not be sustained after she moved her portfolio to Global. As a result Mrs. Turcotte continued her practice of withdrawing at least $2,471 a month without fully understanding its effect of reducing her capital. In my view the damages sustained by Mrs. Turcotte should be assessed by determining the amount by which the continuation of that practice reduced the capital she would have otherwise retained in her portfolio.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damages should be determined by assuming that Mrs. Turcotte would have received a return of $2,471 per month for 11 months. From that amount should be subtracted the amount she received as a return on her Samoth Capital Corporation debenture. That amount is $25,138 ($2,471 x 11 - $2,043).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Counsel for Mrs. Turcotte has submitted that she should also receive compounded interest on the amount she has lost at a rate of 9%. In my view it is reasonable to assume that some gain would have been made on what would have remained as part of the capital but the evidence of that return is not particularly helpful. In my view an appropriate approach would be to treat the damages of $25,138 as if they were pecuniary and to apply the applicable pre-judgment interest rates to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Mrs. Turcotte also seeks as special damages the amount she paid to retain an accountant, Mr. Edwards, to calculate her loss. That amount is claimed at $2,535.90. In my view this expense is not sufficiently related to the loss sustained to characterize it as special damages, and I would not allow it as part of the claim. In so ruling, I am not deciding that it would not be a disbursement recoverable by Mrs. Turcotte as part of any costs to which she may be entitled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Mrs. Turcotte also seeks punitive and exemplary damages and special costs. While Mr. Semple and Mr. Tassone breached a duty of care owed to Mrs. Turcotte, I do not find that their conduct was reprehensible to the degree that would give rise to punitive and exemplary damages or to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result, Mrs. Turcotte is entitled to judgment against Mr. Semple, Mr. Tassone and Global in the amount of $25,138 together with interest calculated as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am not aware of any reason why costs should not follow the event. If counsel cannot agree, they may make written submissions on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RALPH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6" style="position:absolute;z-index:251850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Vukorep v. Bartulin, [2004] B.C.J. No. 878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Williamson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23, 2004.</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3, 2004.</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B994354</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878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585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29 B.C.L.R. (4th) 393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130 A.C.W.S. (3d) 440</w:t>
      </w:r>
    </w:p>
    <w:p>
      <w:pPr>
        <w:spacing w:before="120" w:line="260" w:lineRule="atLeast"/>
        <w:rPr>
          <w:lang w:val="en-US" w:eastAsia="en-US" w:bidi="ar-SA"/>
        </w:rPr>
      </w:pPr>
      <w:r>
        <w:rPr>
          <w:rFonts w:ascii="arial" w:eastAsia="arial" w:hAnsi="arial" w:cs="arial"/>
          <w:color w:val="000000"/>
          <w:sz w:val="20"/>
          <w:lang w:val="en-US" w:eastAsia="en-US" w:bidi="ar-SA"/>
        </w:rPr>
        <w:t>Between Ivanka Vukorep, plaintiff, and Tony Bartulin,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17" style="position:absolute;z-index:25170124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54" w:name="Keywords_39"/>
      <w:bookmarkEnd w:id="25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Transportation law — Shipping, navigation and admiralty — Ownership — Inability of operator — Liability of owner.</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55" w:name="Case Summary_35"/>
            <w:bookmarkEnd w:id="25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Bartulin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him in connection with a boating accident in which Vukorep broke her leg. Bartulin sought an order that limited his liability pursuant to section 575(1) of the Canada Shipping Act. </w:t>
            </w:r>
            <w:r>
              <w:rPr>
                <w:lang w:val="en-US" w:eastAsia="en-US" w:bidi="ar-SA"/>
              </w:rPr>
              <w:cr/>
            </w:r>
          </w:p>
          <w:p>
            <w:pPr>
              <w:spacing w:before="120" w:line="260" w:lineRule="atLeast"/>
              <w:ind w:left="240"/>
              <w:jc w:val="both"/>
              <w:rPr>
                <w:lang w:val="en-US" w:eastAsia="en-US" w:bidi="ar-SA"/>
              </w:rPr>
            </w:pPr>
            <w:bookmarkStart w:id="256" w:name="Holdings of Court_31"/>
            <w:bookmarkEnd w:id="256"/>
            <w:r>
              <w:rPr>
                <w:rFonts w:ascii="arial" w:eastAsia="arial" w:hAnsi="arial" w:cs="arial"/>
                <w:color w:val="000000"/>
                <w:sz w:val="20"/>
                <w:lang w:val="en-US" w:eastAsia="en-US" w:bidi="ar-SA"/>
              </w:rPr>
              <w:t>HELD: Application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Bartulin was the owner of the vessel, and the accident occurred as a result of his actual fault as owner which was outside the limitations set out in s. 575(1) of the Canada Shipping Act. </w:t>
            </w:r>
            <w:r>
              <w:rPr>
                <w:lang w:val="en-US" w:eastAsia="en-US" w:bidi="ar-SA"/>
              </w:rPr>
              <w:cr/>
            </w:r>
          </w:p>
          <w:p>
            <w:pPr>
              <w:rPr>
                <w:lang w:val="en-US" w:eastAsia="en-US" w:bidi="ar-SA"/>
              </w:rPr>
            </w:pPr>
          </w:p>
        </w:tc>
      </w:tr>
    </w:tbl>
    <w:p>
      <w:pPr>
        <w:jc w:val="both"/>
        <w:rPr>
          <w:lang w:val="en-US" w:eastAsia="en-US" w:bidi="ar-SA"/>
        </w:rPr>
      </w:pPr>
      <w:bookmarkStart w:id="257" w:name="Legislation Cited_22"/>
      <w:bookmarkEnd w:id="25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18" style="position:absolute;z-index:2517524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Canada Shipping Act, R.S.C. 1985, s. 575.</w:t>
      </w:r>
      <w:r>
        <w:rPr>
          <w:lang w:val="en-US" w:eastAsia="en-US" w:bidi="ar-SA"/>
        </w:rPr>
        <w:cr/>
      </w:r>
    </w:p>
    <w:p>
      <w:pPr>
        <w:keepNext/>
        <w:spacing w:before="240" w:line="340" w:lineRule="atLeast"/>
        <w:rPr>
          <w:lang w:val="en-US" w:eastAsia="en-US" w:bidi="ar-SA"/>
        </w:rPr>
      </w:pPr>
      <w:bookmarkStart w:id="258" w:name="Counsel_41"/>
      <w:bookmarkEnd w:id="258"/>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19" style="position:absolute;z-index:2518036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John W. Bromley, for the plaintiff. Kim Wigmore and Michael Silva, for the defendant.</w:t>
      </w:r>
      <w:r>
        <w:rPr>
          <w:lang w:val="en-US" w:eastAsia="en-US" w:bidi="ar-SA"/>
        </w:rPr>
        <w:cr/>
      </w:r>
    </w:p>
    <w:p>
      <w:pPr>
        <w:spacing w:after="240"/>
        <w:rPr>
          <w:lang w:val="en-US" w:eastAsia="en-US" w:bidi="ar-SA"/>
        </w:rPr>
      </w:pPr>
      <w:bookmarkStart w:id="259" w:name="Judgment_40"/>
      <w:bookmarkEnd w:id="259"/>
      <w:r>
        <w:pict>
          <v:line id="_x0000_s1220" style="position:absolute;z-index:25185177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60" w:name="WILLIAMSON J."/>
            <w:bookmarkEnd w:id="260"/>
            <w:r>
              <w:rPr>
                <w:rFonts w:ascii="arial" w:eastAsia="arial" w:hAnsi="arial" w:cs="arial"/>
                <w:b/>
                <w:color w:val="000000"/>
                <w:sz w:val="30"/>
                <w:lang w:val="en-US" w:eastAsia="en-US" w:bidi="ar-SA"/>
              </w:rPr>
              <w:t>WILLIAMSON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from a accident which took place on a 20 foot boat July 26, 1998 in Queen Charlotte Channel between Bowen and Passage Islands. The boat owned and driven by the defendant, Tony Bartulin ("Bartulin"), violently struck a three foot wave emanating from a passing British Columbia ferry. The plaintiff, Ivanka Vukorep ("Vukorep"), was standing between the driver and a passenger, and holding on to the windshield of the open boat. She was thrown upward and when she came down and struck the floor, her leg was broken.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this application, Bartulin seeks an order that the accident "did not occur with Bartulin's actual fault or privity" as owner, and therefore Bartulin is entitled to limit his liability pursuant to the Canada Shipping Act, R.S.C. 1985 c. S-9, s. 575 (1), as it read at the date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Bartulin seeks this order because if the accident did not occur within his "actual fault or privity" as owner, he may limit his liability according to a formula set out in the Act. The operator or driver of a boat receives the benefit of a limitation of liability pursuant to the Act without the necessity of such a declaration. In other words, the liability of the driver of the boat is limited according to the Act in all circumstances, but an owner must first establish that the loss occurred "without his actual fault or privity" in order to benefit from the statutory limitation of liability.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Bartulin is an experienced boater. He came to Canada from Yugoslavia in 1967, but before that had operated boats and taken courses on boating, navigation and safety as a teenager. He purchased a power boat in Canada in 1983 and has since boated in the southern waters of British Columbia.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l992 Bartulin purchased the boat involved in this accident - a 20 foot Searay runabout with a 230 horsepower inboard engine.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affidavit evidence discloses that he frequently took passengers on boating trips, and always gave safety instructions to passengers who had not previously been on his vessel.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had boated with Bartulin for a number of years. On the day of the accident she was on the boat with Bartulin and five other passengers.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was evidence that the boat had a capacity of eight people, one more than the number on board that day. With Bartulin driving the boat, the seven went to Keats Island for a picnic and were on their way back to Sunset Marina in Howe Sound when the accident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They left Keats Island around 5:00 p.m. and proceeded around the south side of Bowen Island intending to enter Howe Sound. The boat was cruising at approximately 30 miles per hour. There is evidence that with that number of passengers this particular boat requires a minimum speed of 26 miles per hour to bring it up onto the plane.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Just aft of the windshield there are two bucket seats. The one on the starboard side is for the driver and was occupied by Bartulin. Another passenger, one Vidovic, was seated in the port side chair. There was enough space between these two seats for a person to stand.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the vessel left Keats Island someone else was standing at the windshield, but at some point Vukorep came forward, changed places with that person and stood between Bartulin and Vidovic with her hands on the windshield. The windshield is said to have a steel frame and to be solid and secure.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sea conditions were smooth and there was no wind. As Bartulin turned north into Howe Sound, he observed to starboard a British Columbia ferry in the passage. He made a course change to keep it at some distance. His attention was then turned to the port side where the occupants of another boat were pulling a water skier out of the water.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Because of this distraction, Bartulin did not see the waves from the wake of the ferry approaching his craft. As a result, his boat hit the first wave head on and was thrown violently upward and then down. Bartulin thought he would alter course so that the next wave would be taken at a safer angle, but before he did so he heard someone call out "stop". He did so, turning off the engine.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Vukorep was thrown up into the air. She managed to maintain her grip on the windshield. However, when she landed on the floor of the boat, as noted above, the impact was such as to break her leg. Bartulin then took the boat to the nearest marina where an ambulance was called and Vukorep was taken to the hospital.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stated there are four issues. However, only one of them is in significant dispute.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first issue is whether the relevant sections of the Act apply to pleasure craft. There does not seem to be much dispute about this. They do. See Whitbread v. Walley, </w:t>
      </w:r>
      <w:hyperlink r:id="rId639" w:history="1">
        <w:r>
          <w:rPr>
            <w:rFonts w:ascii="arial" w:eastAsia="arial" w:hAnsi="arial" w:cs="arial"/>
            <w:i/>
            <w:color w:val="0077CC"/>
            <w:sz w:val="20"/>
            <w:u w:val="single"/>
            <w:shd w:val="clear" w:color="auto" w:fill="FFFFFF"/>
            <w:lang w:val="en-US" w:eastAsia="en-US" w:bidi="ar-SA"/>
          </w:rPr>
          <w:t>[1990] 3 S.C.R. 1273</w:t>
        </w:r>
      </w:hyperlink>
      <w:r>
        <w:rPr>
          <w:rFonts w:ascii="arial" w:eastAsia="arial" w:hAnsi="arial" w:cs="arial"/>
          <w:color w:val="000000"/>
          <w:sz w:val="20"/>
          <w:lang w:val="en-US" w:eastAsia="en-US" w:bidi="ar-SA"/>
        </w:rPr>
        <w:t>, in which the Supreme Court of Canada upheld the judgment of our Court of Appeal limiting the liability of a defendant who owned a pleasure craft.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second issue was whether the relevant sections of the Act may limit the liability of an owner who is also operating the boat at the relevant time. This issue was settled in Conrad v. Snair, </w:t>
      </w:r>
      <w:hyperlink r:id="rId640" w:history="1">
        <w:r>
          <w:rPr>
            <w:rFonts w:ascii="arial" w:eastAsia="arial" w:hAnsi="arial" w:cs="arial"/>
            <w:i/>
            <w:color w:val="0077CC"/>
            <w:sz w:val="20"/>
            <w:u w:val="single"/>
            <w:shd w:val="clear" w:color="auto" w:fill="FFFFFF"/>
            <w:lang w:val="en-US" w:eastAsia="en-US" w:bidi="ar-SA"/>
          </w:rPr>
          <w:t>[1995] N.S.J. No. 519</w:t>
        </w:r>
      </w:hyperlink>
      <w:r>
        <w:rPr>
          <w:rFonts w:ascii="arial" w:eastAsia="arial" w:hAnsi="arial" w:cs="arial"/>
          <w:color w:val="000000"/>
          <w:sz w:val="20"/>
          <w:lang w:val="en-US" w:eastAsia="en-US" w:bidi="ar-SA"/>
        </w:rPr>
        <w:t xml:space="preserve"> (N.S.C.A.) at para. 109:</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principle is the same whether the owner and the master are two individuals or one individual acting in two different capacities.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third question is if the relevant sections of the Act limit Bartulin's liability, how does that limitation calculation apply to this case? Counsel have agreed that should I decide in this proceeding that Bartulin's liability is limited, they will be able to agree upon the appropriate calculation.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That leaves the key issue. Should Bartulin's liability as owner be limited in these circumstances? Did the accident occur within the "actual fault or privity" of Bartulin as owner?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Stein v. Kathy K., </w:t>
      </w:r>
      <w:hyperlink r:id="rId641" w:history="1">
        <w:r>
          <w:rPr>
            <w:rFonts w:ascii="arial" w:eastAsia="arial" w:hAnsi="arial" w:cs="arial"/>
            <w:i/>
            <w:color w:val="0077CC"/>
            <w:sz w:val="20"/>
            <w:u w:val="single"/>
            <w:shd w:val="clear" w:color="auto" w:fill="FFFFFF"/>
            <w:lang w:val="en-US" w:eastAsia="en-US" w:bidi="ar-SA"/>
          </w:rPr>
          <w:t>[1976] 2 S.C.R. 802</w:t>
        </w:r>
      </w:hyperlink>
      <w:r>
        <w:rPr>
          <w:rFonts w:ascii="arial" w:eastAsia="arial" w:hAnsi="arial" w:cs="arial"/>
          <w:color w:val="000000"/>
          <w:sz w:val="20"/>
          <w:lang w:val="en-US" w:eastAsia="en-US" w:bidi="ar-SA"/>
        </w:rPr>
        <w:t>, the Supreme Court of Canada approved the statement of the trial judge that the words "actual fault or privity" imply something personal to the owner. The court said, at page 11, that the burden resting on the owners "is a heavy one and is not discharged by their showing that their acts were not 'the sole or next or chief cause' of the mishap".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court accepted the statement of Viscount Haldane in Standard Oil Co. of New York v. Clan Line Steamers Ltd., [1924] A.C. 100, at page 113, that "owners must show they were themselves in no way in fault or privy to what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Meeker Log and Timber Ltd. v. Sea Imp VIII, </w:t>
      </w:r>
      <w:hyperlink r:id="rId642" w:history="1">
        <w:r>
          <w:rPr>
            <w:rFonts w:ascii="arial" w:eastAsia="arial" w:hAnsi="arial" w:cs="arial"/>
            <w:i/>
            <w:color w:val="0077CC"/>
            <w:sz w:val="20"/>
            <w:u w:val="single"/>
            <w:shd w:val="clear" w:color="auto" w:fill="FFFFFF"/>
            <w:lang w:val="en-US" w:eastAsia="en-US" w:bidi="ar-SA"/>
          </w:rPr>
          <w:t>[1994] B.C.J. No. 3006</w:t>
        </w:r>
      </w:hyperlink>
      <w:r>
        <w:rPr>
          <w:rFonts w:ascii="arial" w:eastAsia="arial" w:hAnsi="arial" w:cs="arial"/>
          <w:color w:val="000000"/>
          <w:sz w:val="20"/>
          <w:lang w:val="en-US" w:eastAsia="en-US" w:bidi="ar-SA"/>
        </w:rPr>
        <w:t xml:space="preserve">, (B.C.S.C.), affirmed </w:t>
      </w:r>
      <w:hyperlink r:id="rId643" w:history="1">
        <w:r>
          <w:rPr>
            <w:rFonts w:ascii="arial" w:eastAsia="arial" w:hAnsi="arial" w:cs="arial"/>
            <w:i/>
            <w:color w:val="0077CC"/>
            <w:sz w:val="20"/>
            <w:u w:val="single"/>
            <w:shd w:val="clear" w:color="auto" w:fill="FFFFFF"/>
            <w:lang w:val="en-US" w:eastAsia="en-US" w:bidi="ar-SA"/>
          </w:rPr>
          <w:t>[1996] B.C.J. No. 1411</w:t>
        </w:r>
      </w:hyperlink>
      <w:r>
        <w:rPr>
          <w:rFonts w:ascii="arial" w:eastAsia="arial" w:hAnsi="arial" w:cs="arial"/>
          <w:color w:val="000000"/>
          <w:sz w:val="20"/>
          <w:lang w:val="en-US" w:eastAsia="en-US" w:bidi="ar-SA"/>
        </w:rPr>
        <w:t xml:space="preserve"> (B.C.C.A.), Lowry J., as he then was, wrote at para. 18 that the owner:</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...must discharge what is a heavy burden of proving that the person or persons who represented its managing or directing mind were not at fault in any way that was at all causative of the loss: there must have been no failure to do what ought to have been done. The standard of care is not one of perfection; it is rather one of what would be done by a reasonable owner.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Thus, I conclude that while the onus upon the owner is a heavy one, a causative factor is required. Was the accident solely because of the failure of the master, or driver, of the boat to see the approaching wave and take appropriate action, or was there some failure on the part of the owner which contributed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If there was some failure on the part of the owner to either ensure that the vessel was operated by a competent master and crew, or some failure to equip the vessel appropriately, the owner will not receive the benefit of the limitation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Did Bartulin as owner fail to ensure that Bartulin as driver was competent? I conclude that he did not so fail. This is not a case like Conrad v. Snair where the court refused to limit the liability of an owner because a number of wrongs committed by him were committed in his capacity as owner rather than as master in the sense that he knew the operator often acted incompetently.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am satisfied that Bartulin was a competent and experienced boater who knew, among other things, how to approach a large wave created by a passing ferry. That he failed to see the wave and manoeuvre appropriately in the circumstances is attributable to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master or driver, not as an owner.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Further, I am satisfied that if there was any obligation on Bartulin to not have people standing on the boat, such a failure was in his capacity as a master. I note, however, the opinion of the expert retained by the defendant, Captain J.N. Dyck, that this vessel was one which could safely accommodate a passenger standing upright between the two seats at least in weather conditions such as prevailed on that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also retained an expert, Captain Brian Tuomi. He was of the opinion that it would be appropriate to permit a person to stand near the windshield of this vessel provided that there was an appropriate hand hold in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also was of the opinion that it was not reasonable or safe to stand in the boat during this voyage because of the significant amount of traffic and the frequency of floating debris in Queen Charlotte Channel. Further, he said that the vessel did not have sufficient hand holds for a person standing in that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am satisfied that given the weather and sea conditions on the day in question, it was not inappropriate for a person to be standing at the windshield of a boat of this type. In this regard, I accept the opinion of Captain Dyck.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However, the difficult issue in this case is whether the fact that there was no dedicated hand hold device for a person standing at the windshield, thus necessitating that person gripping the windshield frame, was a cause of the injury. And if it was, does that failure to equip the boat come within the responsibilities of the owner?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am satisfied that it is the responsibility of the owner to ensure that the vessel is seaworthy in the sense of being fit with proper equipment for the intended voyage. See Conrad v. Snair at para. 115: the owner must ensure the vessel is "...seaworthy in the sense of being fit for the intended voyage, in good repair and properly equipped, and safe for those on board".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am satisfied that it is the responsibility of an owner who knows that persons will be standing at a particular place on the vessel to ensure that there are appropriate hand holds. This seems to be simple common sense. If one is operating an open 20 foot vessel in relatively narrow waters frequented by large ferries, it is inevitable that from time to time, one will cross the wakes of those ferries. Gripping a windshield frame, which does not permit one to put one's hand completely around, but merely to grip by squeezing, cannot provide the security of grip or control afforded by a proper hand hold around which one can place one's hand completely.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If common sense and concept of judicial notice do not permit me to come to these conclusions, I accept the opinion of Captain Tuomi that British Columbia ferries frequently transit these waters and that the "usually very large" wake of these ferries would be obvious to boaters who had transited the area on previous occasions.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satisfied, then, that Bartulin as owner knew or should have known that appropriate hand holds would be essential for passengers standing in the position in which the plaintiff stood on the day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Can it be said that the lack of an appropriate hand hold was a cause of the injury? This issue must be considered in light of the fact that Vukorep did not lose her grip on the windshield at any time. Thus, the defendant says, in effect, that having a hand hold would not have made any difference.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am not persuaded.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Again, common sense tells us that if one has a grip on a pipe like device with the hand completely around something designed to be a hand hold, one would have a more effective grip and more control then simply squeezing a windshield frame. However, once again there is evidence on this point. In the cross-examination of Captain Tuomi, he was asked the following questions and gave the following answers: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Question:</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Would the hand hold make any difference as far as whether how far up or down, unstable you would be, as far as a grip is concerned?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Answer:</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Sure, in my experience it would.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720"/>
        <w:rPr>
          <w:lang w:val="en-US" w:eastAsia="en-US" w:bidi="ar-SA"/>
        </w:rPr>
      </w:pPr>
      <w:r>
        <w:rPr>
          <w:rFonts w:ascii="arial" w:eastAsia="arial" w:hAnsi="arial" w:cs="arial"/>
          <w:color w:val="000000"/>
          <w:sz w:val="20"/>
          <w:lang w:val="en-US" w:eastAsia="en-US" w:bidi="ar-SA"/>
        </w:rPr>
        <w:t>Question: What difference would it make?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Answer:</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You - you have more - you can exercise more upper body leverage and keep yourself from being flung about.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am satisfied that an owner would know, given the conditions in the waters where this boat was intended to operate, that the likelihood of being "flung about" as a result of wakes of ferries or other large ships, was considerable. With this knowledge, an owner should have equipped his vessel with dedicated appropriate hand holds or grips. He failed to do so. I find that this occurred within Bartulin's "actual fault or privity" as owner and was a contributing cause of the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add that counsel for Bartulin made a determined attack upon the validity of Captain Tuomi's opinion on the ground that although he had spent 31 years in the Canadian Coast Guard and a number of years since as a marine consultant, his familiarity with small vessels of the sort concerned here was limited to Coast Guard rescue vessels. I do not find that submission persuasive. I see no difference in the requirements of a 20 foot boat operating in southern British Columbia waters based upon its purpose. A 20 foot Coast Guard rescue vessel hitting a British Columbia ferry wake will in all probability react in the same way as a 20 foot pleasure craft of the same design or brand.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find that the failure of the owner to provide appropriate dedicated hand holds for persons standing on a vessel operating in Queen Charlotte Channel was a failure as owner rather than as master. This omission brought the injury of July 28, 1998 within the owner's "actually fault or privity".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application for a declaration that the accident did not occur within Bartulin's "actual fault or privity"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will have her costs at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WILLIAMSON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Aderichin v. Michaels (c.o.b. Michaels Wealth Management Group), [2011] B.C.J. No. 1552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10-5172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1552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1100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Alex Aderichin, Viola Jen Aderichin, Yvonne Shirley Cantin, Jane Conway McAllister, Deborah Neil, Pail Maxym Sembaliuk, Patricia Sembaliuk, Amersham Holdings Inc., Jacqueline Clara Watson, Gordon Ronald Webb, Janet Webb, Richard Kit Weyler, Joanne Weyler, Edward Campbell Williams, Valerie Heather Williams, and Deborah Agnes Wright, Plaintiffs, and David Michaels dba Michaels Wealth Management Group, Patrick Lenihan dba SCH Group, Aaltje van Grootheest, Allan Kelly, Bethel Care Society, Bert Boyd, Verne Reeves, Cathie Bushey, Tracy Scott, and William McLean,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2"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1" w:name="Keywords_40"/>
      <w:bookmarkEnd w:id="261"/>
      <w:r>
        <w:rPr>
          <w:rFonts w:ascii="arial" w:eastAsia="arial" w:hAnsi="arial" w:cs="arial"/>
          <w:b/>
          <w:color w:val="000000"/>
          <w:sz w:val="20"/>
          <w:lang w:val="en-US" w:eastAsia="en-US" w:bidi="ar-SA"/>
        </w:rPr>
        <w:t>Civil litigation — Civil procedure — Pleadings — Particulars — Application by the defendant Kelly for an order that the plaintiffs provide further and better particulars, allowed in part — Plaintiffs' claims arose out of a failed development project — Plaintiffs argued Kelly's application was premature, as document discovery had only recently been conducted and examinations for discovery had not yet started — Court found the nature of the plaintiffs' pleadings necessitated further particulars — Delay not warranted, as the requested information was within the knowledge of the plaintiffs — Particulars ordered for all but one piece of requested information.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2" w:name="Case Summary_36"/>
            <w:bookmarkEnd w:id="2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Kelly for an order that the plaintiffs serve further and better particulars of several matters in their pleadings. The plaintiffs' claims arose out of a failed development project for which the plaintiffs had advanced funds. The plaintiffs claimed that the defendants were at fault for the loss of those funds, and pleaded negligent misrepresentation, conversion, breach of constructive trust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While the plaintiffs had provided some particulars, Kelly found them inadequate and requested further and better particulars; however, the plaintiffs did not provide any further information. In particular Kelly requested particulars of the following: the allegation that he was "at all material times a promoter of the investments material to [the] action"; the representations alleged to have been made by Kelly to each of the plaintiffs; how he deliberately created a relationship of proximity to the plaintiffs via various meetings and communications; each of the plaintiffs' funds which he was alleged to have utilized, the purpose for which they were utilized which were 'not authorized', and particulars of his commission and collusion in conversion; the express and implied representations for which Kelly was alleged to have been responsible; Kelly's conduct that was alleged to have induced the plaintiffs to invest their funds; how Kelly "actively promoted" the project to the plaintiffs; and, the information packages containing misleading, inaccurate and false information that Kelly was alleged to have circulated to the plaintiffs. On their part, the plaintiffs argued that Kelly's application was premature, as the parties had only recently conducted voluminous document discovery and had not yet conducted examinations for discovery.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3" w:name="Holdings of Court_32"/>
            <w:bookmarkEnd w:id="263"/>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allegations of negligent misrepresentation, taking money under false pretences and the existence of equitable trust-like obligations rendered particulars necessary. The Court was not persuaded that the circumstances of the case supported a delay in the provision of particulars, as the requested information was within the knowledge of the plaintiffs. With respect to the individual requests for particulars, the Court ordered that particulars be provided for all requests except for the request in relation to the allegation that Kelly was at all material times a promoter of the impugned investments. In the Court's opinion, no further particulars were required, as the material dates were clearly outlined in the pleadings and nothing more was alleged other than that Kelly met the dictionary definition of "promoter". The plaintiffs were given 14 days within which to provide the particulars as outlined by the court.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4" w:name="Legislation Cited_23"/>
      <w:bookmarkEnd w:id="2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3"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3-7(9), Rule 3-7(18), Rule 3-7(22)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5" w:name="Counsel_42"/>
      <w:bookmarkEnd w:id="26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4"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(Respondents on the Application): M.A.M. Brunton.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Allan Kelly, (Applicant on the Application): G.A. Cuttler.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6" w:name="Judgment_41"/>
      <w:bookmarkEnd w:id="266"/>
      <w:r>
        <w:pict>
          <v:line id="_x0000_s1225" style="position:absolute;z-index:251852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7" w:name="R.D. WILSON J."/>
            <w:bookmarkEnd w:id="267"/>
            <w:r>
              <w:rPr>
                <w:rFonts w:ascii="arial" w:eastAsia="arial" w:hAnsi="arial" w:cs="arial"/>
                <w:b/>
                <w:color w:val="000000"/>
                <w:sz w:val="30"/>
                <w:lang w:val="en-US" w:eastAsia="en-US" w:bidi="ar-SA"/>
              </w:rPr>
              <w:t>R.D. WILSON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claims arise out of a failed development project. The plaintiffs' plead that they advanced funds for the project and that they have lost all of the funds so advanced. The plaintiffs say the defendants are at fault for those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plead four causes of action:</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conversion;</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constructive trust; and</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By a demand dated 26 January 2011, counsel for the defendant Allan Kelly demanded certain particulars of the plaintiffs'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By a letter dated 23 February 2011, the plaintiffs responded to Mr. Kelly's demand for particulars. In Mr. Kelly's view, the particulars provided by the plaintiffs were inadequate and requested further and better particulars of the plaintiffs' claims against him. Failing receipt of further and better particulars, Mr. Kelly applied, pursuant to R. 3-7(22) of the Supreme Court Civil Rules, for an order that the plaintiffs serve further and better particulars of several matters stated in their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Rule 3-7(22)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order a party to serve further and better particulars of a matter stated in a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Rule 3-7(18) is relevant on this application. It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party pleading relies on misrepresentation, fraud, breach of trust, wilful default or undue influence, or if particulars may be necessary, full particulars, with dates and items if applicable, must be stated in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have pleaded negligent misrepresentation. Therefore, they must state particulars of their claim in their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well, the plaintiffs have alleged "equitable trust-like obligations" and taking money "under false pretences".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my view, those allegations render particulars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There is no dispute about the general principles to be applied in the determination of this application. They are stated in </w:t>
      </w:r>
      <w:r>
        <w:rPr>
          <w:rFonts w:ascii="arial" w:eastAsia="arial" w:hAnsi="arial" w:cs="arial"/>
          <w:i/>
          <w:color w:val="000000"/>
          <w:sz w:val="20"/>
          <w:lang w:val="en-US" w:eastAsia="en-US" w:bidi="ar-SA"/>
        </w:rPr>
        <w:t>Cansulex Ltd v. Perry</w:t>
      </w:r>
      <w:r>
        <w:rPr>
          <w:rFonts w:ascii="arial" w:eastAsia="arial" w:hAnsi="arial" w:cs="arial"/>
          <w:color w:val="000000"/>
          <w:sz w:val="20"/>
          <w:lang w:val="en-US" w:eastAsia="en-US" w:bidi="ar-SA"/>
        </w:rPr>
        <w:t>:</w:t>
      </w:r>
      <w:bookmarkStart w:id="268"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68"/>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function of particulars ... is ... :</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inform the other side of the nature of the case they have to meet as distinguished from the mode in which that case is to be proved;</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prevent the other side from being taken by surprise at the trial;</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enable the other side to know what evidence they ought to be prepared with and to prepare for trial;</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limit the generality of the pleadings;</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limit and decide the issues to be tried, and as to which discovery is required, and</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tie the hands of the party so that he cannot without leave go into any matters not included.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do not quarrel with those principles, but say that Mr. Kelly's application is premature. Document discovery has been voluminous and recently conducted; there have been no examinations for discovery, and an inquiry into the internal relationships between the several defendants, is necessary to fully respond to Mr. Kelly's demands. As I understand the plaintiffs, they contend that there is certain knowledge exclusively within the possession of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Cominco Ltd. v. Westinghouse Can. Ltd.</w:t>
      </w:r>
      <w:r>
        <w:rPr>
          <w:rFonts w:ascii="arial" w:eastAsia="arial" w:hAnsi="arial" w:cs="arial"/>
          <w:color w:val="000000"/>
          <w:sz w:val="20"/>
          <w:lang w:val="en-US" w:eastAsia="en-US" w:bidi="ar-SA"/>
        </w:rPr>
        <w:t>,</w:t>
      </w:r>
      <w:bookmarkStart w:id="269"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269"/>
      <w:r>
        <w:rPr>
          <w:rFonts w:ascii="arial" w:eastAsia="arial" w:hAnsi="arial" w:cs="arial"/>
          <w:color w:val="000000"/>
          <w:sz w:val="20"/>
          <w:lang w:val="en-US" w:eastAsia="en-US" w:bidi="ar-SA"/>
        </w:rPr>
        <w:t xml:space="preserve"> where provision of particulars was delayed until the completion of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am not persuaded, for reasons that follow, that the circumstances in this case support a delay in the provision of particulars. For the most part, Mr. Kelly is seeking particulars of matters alleged by these plaintiffs as occurring between these plaintiffs, or one or more of them, and the defendants, or one or more of them. I find the plaintiffs are currently in a position to respond to Mr. Kelly's demand, without further delay.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Accordingly, applying the above-noted principles, to the matters alleged, I find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para. 5 of their amended notice of civil claim, the plaintiffs allege that Mr. Kelly was "... at all material times a promoter of investments material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Kelly demands particulars of the allegation that he was, "at all material times, a 'promoter' of investments material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am not persuaded that this allegation requires particularization. There is nothing in the context which indicates anything other than Mr. Kelly fit the dictionary definition of "promoter".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According to the amended notice of civil claim, paras. 13 and 18, the material times are August, September and November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According the </w:t>
      </w:r>
      <w:r>
        <w:rPr>
          <w:rFonts w:ascii="arial" w:eastAsia="arial" w:hAnsi="arial" w:cs="arial"/>
          <w:i/>
          <w:color w:val="000000"/>
          <w:sz w:val="20"/>
          <w:lang w:val="en-US" w:eastAsia="en-US" w:bidi="ar-SA"/>
        </w:rPr>
        <w:t>Oxford Universal Dictionary</w:t>
      </w:r>
      <w:r>
        <w:rPr>
          <w:rFonts w:ascii="arial" w:eastAsia="arial" w:hAnsi="arial" w:cs="arial"/>
          <w:color w:val="000000"/>
          <w:sz w:val="20"/>
          <w:lang w:val="en-US" w:eastAsia="en-US" w:bidi="ar-SA"/>
        </w:rPr>
        <w:t>, "promote" includes "to further the growth, development, progress, or establishment of (anything); to further, advance, encourage".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will be no order for particulars on this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para. 15 of their pleading, the plaintiffs allege 11 representations, "... to the Plaintiffs, by one, some or all of the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Kelly demands particulars of the representations alleged to have been made by him, to each of the plaintiffs, severally.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Kelly is entitled to know which of the representations pleaded, are attributed to him; to whom it is alleged he made those representations; when he is alleged to have made those representations; and, whether the alleged representations were oral or in writing.</w:t>
      </w:r>
      <w:bookmarkStart w:id="270"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270"/>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No examinations for discovery are needed to respond to this demand. Presumably, the plaintiffs, or one or more of them, were present when the alleged representations were made, and are in a current position to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para. 16 of their pleading, the plaintiffs allege that "In the course of meetings and communications between the Personal Defendants and the Plaintiffs, the Personal Defendants deliberately created a relationship of proximity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Kelly demands particulars of these allegations as it relates to his several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Kelly is entitled to particulars of when, where and with whom the alleged meetings occurred. He is also entitled to particulars of when his communications occurred, to whom, where and how the communications occurred, that is to say, whether they were oral or in writing. And what was said or written in each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plead a conclusion without the premises to support it. In my view, a plea of "relationship of proximity" is equivalent to a conclusion of law. Rule 3-7(9) prescribes that "Conclusions of law must not be pleaded unless the material facts supporting them are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To make the general allegation contained in this paragraph of their pleading, one or more of the plaintiffs must have met with Mr. Kelly and/or received his communication. An examination for discovery of Mr. Kelly is not necessary for these plaintiffs to respond to the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para. 27 of their pleading, the plaintiffs allege, "... the Personal Defendants ... utilized the Plaintiffs' funds for purposes not authorized, approved or reasonably expected by the Plaintiffs, and thereby committed and colluded in a conversion of the Plaintiffs'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Kelly demands particulars of each of the Plaintiffs' funds which he is alleged to have utilized, the purposes he is alleged to have put them to, which were "not authorized" and particulars of Mr. Kelly's commission and collusion in a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para. 21 of their pleading, the plaintiffs alleged that they advanced funds, "for the specific purpose of becoming mortgagees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Kelly is entitled to particulars of how he is alleged to have utilized the funds of the plaintiffs, or of one or more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If there was a purpose, other than alleged in para. 20 of their pleading, then particulars of that purpose, or purposes, approvals or expectations must be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Kelly is also entitled to particulars of his conduct which, the plaintiffs allege, leads to the conclusion that he committed and colluded in a conversion of the funds of the plaintiffs, or one or more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para. 43(j) of their pleading, the plaintiffs allege that the defendant Grootheest was, "... holder of the Plaintiffs' funds in trust ... exercised control, discretion and influence over the release of those funds; only Grootheest had the ultimate power to release the Plaintiffs' funds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Attached to the affidavit of the plaintiffs' counsel's legal assistant, is a copy of the list of documents of the defendant Grootheest. A number of the items listed are indicative of expenditures made for "construction draws". I proceed on the working presumption that the Grootheest documents will include a record of the receipt and disbursement of funds. The plaintiffs' pleading does not allege any alternative to the Grootheest control of the plaintiffs' funds. The Grootheest records should provide the history of receipts and disbursements. Therefore, there is no reason to delay the plaintiffs' response to Mr. Kelly's demands pending the conduct of an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para. 29 of their pleading, the plaintiffs allege, "Each Personal Defendant is jointly and severally liable to the Plaintiffs for the following representations made either explicitly or by implication to each of the Plaintiffs". That plea is followed by 13 alleged representations, each of which, it is alleged in para. 31, was "... false, misleading or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Kelly demands particulars of the express and implied representations he is alleged to have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Kelly is entitled to particulars of which of the 13 representations for which he is alleged to be responsible. The plaintiffs must provide particulars of when the representations were made by Mr. Kelly, to whom they were made by Mr. Kelly, where Mr. Kelly made them, and whether the representations were oral or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Kelly is also entitled to particulars of what representations the plaintiffs say are to be implied.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One or more of the plaintiffs must have received the alleged representations, and therefore have knowledge of them. There is no valid reason to delay their response to Mr. Kelly's demands pending the conduct of an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para. 30 of their pleading, the plaintiffs allege, "The representations listed above ... were bolstered by certain conduct of the Personal Defendants calculated to induce the Plaintiffs to invest their funds and to lend credence to the Personal Defendants' representations". This is followed by 4 subparagraphs of included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Kelly demands particulars of his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have pleaded a conclusion, without the material facts in support of it. Mr. Kelly is entitled to particulars of his conduct, said by the plaintiffs, to have been calculated to induce the plaintiffs to invest. Mr. Kelly is entitled to know what he did, and where and when he is alleged to have conducted himself 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para. 42(b) of their pleading, the plaintiffs allege that Mr. Kelly, "actively promoted the Project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Kelly demands particulars of "active promotion".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have alleged a conclusion, that is, that Mr. Kelly's promoting was "active". Mr. Kelly is entitled to particulars of his conduct which supports the conclusion that his promoting was "active". Again, what did Mr. Kelly do and where and when did he 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Again, this is information which must be in the knowledge of the plaintiffs, or one or more of them. There is no reason to delay a response to Mr. Kelly's demand pending the conduct of an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para. 42(c) of their pleading, the plaintiffs allege that Mr. Kelly, "... drafted and circulated information packages to the Plaintiffs that he knew our ought to have known contained misleading, inaccurate and false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Kelly demanded particulars of the allegations in that plea.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Kelly is entitled to particulars of what information packages he was alleged to have drafted; and when he is alleged to have drafted those information packages. He is also entitled to particulars of what information packages he is alleged to have circulated; to whom he circulated those information packages, and when each of those information packages was so circulated.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or one or more of them, must have been in receipt of information packages, otherwise they could not make this plea. The particulars of the plea are within the knowledge of the plaintiffs and there is no reason why a response to Mr. Kelly's demands must be delayed pending an examination for discovery.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response to Mr. Kelly's demand, which response is dated 23 February 2011, does not provide particulars of the plaintiffs' pleading. Therefore, I order the plaintiffs to provide the particulars demanded by Mr. Kelly of paras. 15, 16, 27, 29, 30, 42(b), and 42(c) of the plaintiffs' amended notice of civil claim. Those particulars shall be provided within 14 days of the date of entry of the formal order arising from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226" style="position:absolute;z-index:25188556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71"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271"/>
      <w:r>
        <w:rPr>
          <w:rFonts w:ascii="arial" w:eastAsia="arial" w:hAnsi="arial" w:cs="arial"/>
          <w:sz w:val="20"/>
          <w:lang w:val="en-US" w:eastAsia="en-US" w:bidi="ar-SA"/>
        </w:rPr>
        <w:tab/>
      </w:r>
      <w:hyperlink r:id="rId651" w:history="1">
        <w:r>
          <w:rPr>
            <w:rFonts w:ascii="arial" w:eastAsia="arial" w:hAnsi="arial" w:cs="arial"/>
            <w:i/>
            <w:color w:val="0077CC"/>
            <w:sz w:val="18"/>
            <w:u w:val="single"/>
            <w:shd w:val="clear" w:color="auto" w:fill="FFFFFF"/>
            <w:lang w:val="en-US" w:eastAsia="en-US" w:bidi="ar-SA"/>
          </w:rPr>
          <w:t>[1982] B.C.J. No. 369</w:t>
        </w:r>
      </w:hyperlink>
      <w:r>
        <w:rPr>
          <w:rFonts w:ascii="arial" w:eastAsia="arial" w:hAnsi="arial" w:cs="arial"/>
          <w:color w:val="6D6E71"/>
          <w:sz w:val="18"/>
          <w:lang w:val="en-US" w:eastAsia="en-US" w:bidi="ar-SA"/>
        </w:rPr>
        <w:t xml:space="preserve"> (B.C.C.A.), applied in, for example, </w:t>
      </w:r>
      <w:r>
        <w:rPr>
          <w:rFonts w:ascii="arial" w:eastAsia="arial" w:hAnsi="arial" w:cs="arial"/>
          <w:i/>
          <w:color w:val="6D6E71"/>
          <w:sz w:val="18"/>
          <w:lang w:val="en-US" w:eastAsia="en-US" w:bidi="ar-SA"/>
        </w:rPr>
        <w:t>Powell v. 349131 B.C. Ltd.</w:t>
      </w:r>
      <w:r>
        <w:rPr>
          <w:rFonts w:ascii="arial" w:eastAsia="arial" w:hAnsi="arial" w:cs="arial"/>
          <w:color w:val="6D6E71"/>
          <w:sz w:val="18"/>
          <w:lang w:val="en-US" w:eastAsia="en-US" w:bidi="ar-SA"/>
        </w:rPr>
        <w:t xml:space="preserve">, </w:t>
      </w:r>
      <w:hyperlink r:id="rId652" w:history="1">
        <w:r>
          <w:rPr>
            <w:rFonts w:ascii="arial" w:eastAsia="arial" w:hAnsi="arial" w:cs="arial"/>
            <w:i/>
            <w:color w:val="0077CC"/>
            <w:sz w:val="18"/>
            <w:u w:val="single"/>
            <w:shd w:val="clear" w:color="auto" w:fill="FFFFFF"/>
            <w:lang w:val="en-US" w:eastAsia="en-US" w:bidi="ar-SA"/>
          </w:rPr>
          <w:t>[1992] B.C.J. No. 1088</w:t>
        </w:r>
      </w:hyperlink>
      <w:r>
        <w:rPr>
          <w:rFonts w:ascii="arial" w:eastAsia="arial" w:hAnsi="arial" w:cs="arial"/>
          <w:color w:val="6D6E71"/>
          <w:sz w:val="18"/>
          <w:lang w:val="en-US" w:eastAsia="en-US" w:bidi="ar-SA"/>
        </w:rPr>
        <w:t xml:space="preserve"> (B.C.S.C.); </w:t>
      </w:r>
      <w:r>
        <w:rPr>
          <w:rFonts w:ascii="arial" w:eastAsia="arial" w:hAnsi="arial" w:cs="arial"/>
          <w:i/>
          <w:color w:val="6D6E71"/>
          <w:sz w:val="18"/>
          <w:lang w:val="en-US" w:eastAsia="en-US" w:bidi="ar-SA"/>
        </w:rPr>
        <w:t>G.W.L. Properties Ltd. v. W.R. Grace &amp; Co. of Canada</w:t>
      </w:r>
      <w:r>
        <w:rPr>
          <w:rFonts w:ascii="arial" w:eastAsia="arial" w:hAnsi="arial" w:cs="arial"/>
          <w:color w:val="6D6E71"/>
          <w:sz w:val="18"/>
          <w:lang w:val="en-US" w:eastAsia="en-US" w:bidi="ar-SA"/>
        </w:rPr>
        <w:t xml:space="preserve">, </w:t>
      </w:r>
      <w:hyperlink r:id="rId653" w:history="1">
        <w:r>
          <w:rPr>
            <w:rFonts w:ascii="arial" w:eastAsia="arial" w:hAnsi="arial" w:cs="arial"/>
            <w:i/>
            <w:color w:val="0077CC"/>
            <w:sz w:val="18"/>
            <w:u w:val="single"/>
            <w:shd w:val="clear" w:color="auto" w:fill="FFFFFF"/>
            <w:lang w:val="en-US" w:eastAsia="en-US" w:bidi="ar-SA"/>
          </w:rPr>
          <w:t>[1993] B.C.J. No. 1062</w:t>
        </w:r>
      </w:hyperlink>
      <w:r>
        <w:rPr>
          <w:rFonts w:ascii="arial" w:eastAsia="arial" w:hAnsi="arial" w:cs="arial"/>
          <w:color w:val="6D6E71"/>
          <w:sz w:val="18"/>
          <w:lang w:val="en-US" w:eastAsia="en-US" w:bidi="ar-SA"/>
        </w:rPr>
        <w:t xml:space="preserve"> (B.C.S.C.); </w:t>
      </w:r>
      <w:r>
        <w:rPr>
          <w:rFonts w:ascii="arial" w:eastAsia="arial" w:hAnsi="arial" w:cs="arial"/>
          <w:i/>
          <w:color w:val="6D6E71"/>
          <w:sz w:val="18"/>
          <w:lang w:val="en-US" w:eastAsia="en-US" w:bidi="ar-SA"/>
        </w:rPr>
        <w:t>Hou v. Wesbild Holdings Ltd.</w:t>
      </w:r>
      <w:r>
        <w:rPr>
          <w:rFonts w:ascii="arial" w:eastAsia="arial" w:hAnsi="arial" w:cs="arial"/>
          <w:color w:val="6D6E71"/>
          <w:sz w:val="18"/>
          <w:lang w:val="en-US" w:eastAsia="en-US" w:bidi="ar-SA"/>
        </w:rPr>
        <w:t xml:space="preserve"> </w:t>
      </w:r>
      <w:hyperlink r:id="rId654" w:history="1">
        <w:r>
          <w:rPr>
            <w:rFonts w:ascii="arial" w:eastAsia="arial" w:hAnsi="arial" w:cs="arial"/>
            <w:i/>
            <w:color w:val="0077CC"/>
            <w:sz w:val="18"/>
            <w:u w:val="single"/>
            <w:shd w:val="clear" w:color="auto" w:fill="FFFFFF"/>
            <w:lang w:val="en-US" w:eastAsia="en-US" w:bidi="ar-SA"/>
          </w:rPr>
          <w:t>[1994] B.C.J. No. 2021</w:t>
        </w:r>
      </w:hyperlink>
      <w:r>
        <w:rPr>
          <w:rFonts w:ascii="arial" w:eastAsia="arial" w:hAnsi="arial" w:cs="arial"/>
          <w:color w:val="6D6E71"/>
          <w:sz w:val="18"/>
          <w:lang w:val="en-US" w:eastAsia="en-US" w:bidi="ar-SA"/>
        </w:rPr>
        <w:t xml:space="preserve"> (B.C.S.C.); and </w:t>
      </w:r>
      <w:r>
        <w:rPr>
          <w:rFonts w:ascii="arial" w:eastAsia="arial" w:hAnsi="arial" w:cs="arial"/>
          <w:i/>
          <w:color w:val="6D6E71"/>
          <w:sz w:val="18"/>
          <w:lang w:val="en-US" w:eastAsia="en-US" w:bidi="ar-SA"/>
        </w:rPr>
        <w:t>Harris v. Ray Kissack Memorial Housing Society</w:t>
      </w:r>
      <w:r>
        <w:rPr>
          <w:rFonts w:ascii="arial" w:eastAsia="arial" w:hAnsi="arial" w:cs="arial"/>
          <w:color w:val="6D6E71"/>
          <w:sz w:val="18"/>
          <w:lang w:val="en-US" w:eastAsia="en-US" w:bidi="ar-SA"/>
        </w:rPr>
        <w:t xml:space="preserve">, </w:t>
      </w:r>
      <w:hyperlink r:id="rId655" w:history="1">
        <w:r>
          <w:rPr>
            <w:rFonts w:ascii="arial" w:eastAsia="arial" w:hAnsi="arial" w:cs="arial"/>
            <w:i/>
            <w:color w:val="0077CC"/>
            <w:sz w:val="18"/>
            <w:u w:val="single"/>
            <w:shd w:val="clear" w:color="auto" w:fill="FFFFFF"/>
            <w:lang w:val="en-US" w:eastAsia="en-US" w:bidi="ar-SA"/>
          </w:rPr>
          <w:t>[2003] B.C.J. No. 2253</w:t>
        </w:r>
      </w:hyperlink>
      <w:r>
        <w:rPr>
          <w:rFonts w:ascii="arial" w:eastAsia="arial" w:hAnsi="arial" w:cs="arial"/>
          <w:color w:val="6D6E71"/>
          <w:sz w:val="18"/>
          <w:lang w:val="en-US" w:eastAsia="en-US" w:bidi="ar-SA"/>
        </w:rPr>
        <w:t xml:space="preserve"> (B.C.S.C.).</w:t>
      </w:r>
    </w:p>
    <w:p>
      <w:pPr>
        <w:spacing w:before="120" w:after="20" w:line="240" w:lineRule="atLeast"/>
        <w:ind w:left="720" w:hanging="360"/>
        <w:jc w:val="both"/>
        <w:rPr>
          <w:rFonts w:ascii="arial" w:eastAsia="arial" w:hAnsi="arial" w:cs="arial"/>
          <w:sz w:val="20"/>
          <w:lang w:val="en-US" w:eastAsia="en-US" w:bidi="ar-SA"/>
        </w:rPr>
      </w:pPr>
      <w:bookmarkStart w:id="272"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272"/>
      <w:r>
        <w:rPr>
          <w:rFonts w:ascii="arial" w:eastAsia="arial" w:hAnsi="arial" w:cs="arial"/>
          <w:sz w:val="20"/>
          <w:lang w:val="en-US" w:eastAsia="en-US" w:bidi="ar-SA"/>
        </w:rPr>
        <w:tab/>
      </w:r>
      <w:hyperlink r:id="rId656" w:history="1">
        <w:r>
          <w:rPr>
            <w:rFonts w:ascii="arial" w:eastAsia="arial" w:hAnsi="arial" w:cs="arial"/>
            <w:i/>
            <w:color w:val="0077CC"/>
            <w:sz w:val="18"/>
            <w:u w:val="single"/>
            <w:shd w:val="clear" w:color="auto" w:fill="FFFFFF"/>
            <w:lang w:val="en-US" w:eastAsia="en-US" w:bidi="ar-SA"/>
          </w:rPr>
          <w:t>(1978), 6 B.C.L.R. 25</w:t>
        </w:r>
      </w:hyperlink>
      <w:r>
        <w:rPr>
          <w:rFonts w:ascii="arial" w:eastAsia="arial" w:hAnsi="arial" w:cs="arial"/>
          <w:color w:val="6D6E71"/>
          <w:sz w:val="18"/>
          <w:lang w:val="en-US" w:eastAsia="en-US" w:bidi="ar-SA"/>
        </w:rPr>
        <w:t xml:space="preserve"> (B.C.S.C.), cited in </w:t>
      </w:r>
      <w:r>
        <w:rPr>
          <w:rFonts w:ascii="arial" w:eastAsia="arial" w:hAnsi="arial" w:cs="arial"/>
          <w:i/>
          <w:color w:val="6D6E71"/>
          <w:sz w:val="18"/>
          <w:lang w:val="en-US" w:eastAsia="en-US" w:bidi="ar-SA"/>
        </w:rPr>
        <w:t>Powell</w:t>
      </w:r>
      <w:r>
        <w:rPr>
          <w:rFonts w:ascii="arial" w:eastAsia="arial" w:hAnsi="arial" w:cs="arial"/>
          <w:color w:val="6D6E71"/>
          <w:sz w:val="18"/>
          <w:lang w:val="en-US" w:eastAsia="en-US" w:bidi="ar-SA"/>
        </w:rPr>
        <w:t xml:space="preserve"> (above, Footnote 1, at p. 12).</w:t>
      </w:r>
    </w:p>
    <w:p>
      <w:pPr>
        <w:spacing w:before="120" w:after="20" w:line="240" w:lineRule="atLeast"/>
        <w:ind w:left="720" w:hanging="360"/>
        <w:jc w:val="both"/>
        <w:rPr>
          <w:rFonts w:ascii="arial" w:eastAsia="arial" w:hAnsi="arial" w:cs="arial"/>
          <w:sz w:val="20"/>
          <w:lang w:val="en-US" w:eastAsia="en-US" w:bidi="ar-SA"/>
        </w:rPr>
      </w:pPr>
      <w:bookmarkStart w:id="273"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273"/>
      <w:r>
        <w:rPr>
          <w:rFonts w:ascii="arial" w:eastAsia="arial" w:hAnsi="arial" w:cs="arial"/>
          <w:sz w:val="20"/>
          <w:lang w:val="en-US" w:eastAsia="en-US" w:bidi="ar-SA"/>
        </w:rPr>
        <w:tab/>
      </w:r>
      <w:r>
        <w:rPr>
          <w:rFonts w:ascii="arial" w:eastAsia="arial" w:hAnsi="arial" w:cs="arial"/>
          <w:i/>
          <w:color w:val="6D6E71"/>
          <w:sz w:val="18"/>
          <w:lang w:val="en-US" w:eastAsia="en-US" w:bidi="ar-SA"/>
        </w:rPr>
        <w:t>Natco International, Inc. v. Photo Violation Technologies Corp.</w:t>
      </w:r>
      <w:r>
        <w:rPr>
          <w:rFonts w:ascii="arial" w:eastAsia="arial" w:hAnsi="arial" w:cs="arial"/>
          <w:color w:val="6D6E71"/>
          <w:sz w:val="18"/>
          <w:lang w:val="en-US" w:eastAsia="en-US" w:bidi="ar-SA"/>
        </w:rPr>
        <w:t xml:space="preserve"> </w:t>
      </w:r>
      <w:hyperlink r:id="rId657" w:history="1">
        <w:r>
          <w:rPr>
            <w:rFonts w:ascii="arial" w:eastAsia="arial" w:hAnsi="arial" w:cs="arial"/>
            <w:i/>
            <w:color w:val="0077CC"/>
            <w:sz w:val="18"/>
            <w:u w:val="single"/>
            <w:shd w:val="clear" w:color="auto" w:fill="FFFFFF"/>
            <w:lang w:val="en-US" w:eastAsia="en-US" w:bidi="ar-SA"/>
          </w:rPr>
          <w:t>[2008] B.C.J. No. 1974</w:t>
        </w:r>
      </w:hyperlink>
      <w:r>
        <w:rPr>
          <w:rFonts w:ascii="arial" w:eastAsia="arial" w:hAnsi="arial" w:cs="arial"/>
          <w:color w:val="6D6E71"/>
          <w:sz w:val="18"/>
          <w:lang w:val="en-US" w:eastAsia="en-US" w:bidi="ar-SA"/>
        </w:rPr>
        <w:t xml:space="preserve"> (B.C.S.C.), particularly at para. 36.</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7"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Apex Mountain Resort Ltd. v. British Columbia, [2000] B.C.J. No. 1099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Bauman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4 - 8, 12 - 15, 25 - 29,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November 2, 3, 22 - 26, 29, 30, and December 1 - 3,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C956451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1099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907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 B.L.R. (3d) 255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50 C.C.L.T. (2d) 123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646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B.C.T.C. 408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Apex Mountain Resort Ltd. and Apex Resorts Corporation, plaintiffs,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8"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4" w:name="Keywords_41"/>
      <w:bookmarkEnd w:id="274"/>
      <w:r>
        <w:rPr>
          <w:rFonts w:ascii="arial" w:eastAsia="arial" w:hAnsi="arial" w:cs="arial"/>
          <w:b/>
          <w:color w:val="000000"/>
          <w:sz w:val="20"/>
          <w:lang w:val="en-US" w:eastAsia="en-US" w:bidi="ar-SA"/>
        </w:rPr>
        <w:t>Crown — Actions by and against Crown in right of a province — Fraud and misrepresentation — Misrepresentation — Elements — Special relationships — Reliance.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5" w:name="Case Summary_37"/>
            <w:bookmarkEnd w:id="2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Apex Mountain Resort against British Columbia for damages for negligent misrepresentation, or breach contractual or fiduciary duty. In November 1994, the Penticton Indian Band established a blockade on Green Mountain Road, the primary access to the Apex Mountain Ski Resort, which was operated by Apex. The blockade was eventually extended to a portion of the highway, the secondary access to the resort. Other bands were also involved in the blockade. The blockade ended in December 1994 after negotiations between the Province and the bands. The negotiations drew the attention of the government at high levels. Apex was in the midst of a large expansion project at the time of the blockade. Capital financing was about to close within days of the start of the blockade, and in the result the financing did not close. The Province granted loans to Apex, but Apex was eventually placed into receivership. Apex claimed that the province, through various ministries and premiers, negligently misrepresented both the scope of the problem facing the province in light of the legal position of the Penticton Indian Band, and the nature of its response to any blockades. It relied on various letters from representatives of the government which it said led it to conclude that the Province would act definitively in assuring public access along the Green Mountain Road to the Resort. In the alternative, Apex relied on its development agreement with the Province and it alleged a contractual or fiduciary duty on the Province to access to the Resort.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6" w:name="Holdings of Court_33"/>
            <w:bookmarkEnd w:id="276"/>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Nothing the Province did or said misled Apex, or caused it to make an investment which it would not otherwise have made. The evolution of the policy responding to aboriginal road blockades was gradual and did not result in a magical change without notice. The policy adopted in July 1993 was not categorically different from that which prevailed with Premier Vander Zalm's administration. The letters from the Premiers did not amount to assurances that the Province would resume access to the disputed portions of Green Mountain Road if necessary, and did not mislead Apex by failing to disclose a dramatic shift in government policy. There was no express or implied obligation on the Province to ensure public access to the Resort. There was a commercial, arms-length relationship between the parties and therefore AMR could have bargained for the obligation it asserted was imposed on the Province.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7" w:name="Legislation Cited_24"/>
      <w:bookmarkEnd w:id="2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9"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Land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8" w:name="Counsel_43"/>
      <w:bookmarkEnd w:id="2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0"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J.J.L. Hunter, Q.C., P.J.G. Landry and S.P. Pike, for the plaintiffs. T.P. Leadem (appointed Queen's Counsel after the conclusion of trial), J.G. Penner and N.E. Brown,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9" w:name="Judgment_42"/>
      <w:bookmarkEnd w:id="279"/>
      <w:r>
        <w:pict>
          <v:line id="_x0000_s1231" style="position:absolute;z-index:2518538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0" w:name="BAUMAN J."/>
            <w:bookmarkEnd w:id="280"/>
            <w:r>
              <w:rPr>
                <w:rFonts w:ascii="arial" w:eastAsia="arial" w:hAnsi="arial" w:cs="arial"/>
                <w:b/>
                <w:color w:val="000000"/>
                <w:sz w:val="30"/>
                <w:lang w:val="en-US" w:eastAsia="en-US" w:bidi="ar-SA"/>
              </w:rPr>
              <w:t>BAUMAN J.</w:t>
            </w:r>
          </w:p>
        </w:tc>
      </w:tr>
    </w:tbl>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2 November 1994, the Penticton Indian Band established a blockade on Green Mountain Road, the primary access to the Apex Mountain Ski Resort then operated by the plaintiffs. The corporate structure of the plaintiffs is complicated, but it will serve if I simply refer to the plaintiffs in the singular or as "AMR".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blockade was soon extended to a portion of Highway 3A, the secondary access to the resort. Two other bands - the Lower and Upper Similkameen Bands - were involved in the Highway 3A blockade. It is apparent that the Penticton Indian Band also participated.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blockade lasted until 8 December 1994. It came to an end through negotiations between the bands and a provincial government negotiating team which drew its members from a number of ministries of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blockade, and the negotiations to end it, excited the interest and attention of the government at its highest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negotiation of the so-called Seven Peaks Agreement brought the blockade to a conclusion. That agreement provided a protocol for negotiations to be undertaken between the provincial government and the bands concerning the environmental and other concerns which first prompted the bands to take direct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Seven Peaks negotiations continued sporadically until the fall of 1995. Those negotiations were not successful and the province withdrew. No long term agreement has been reached and the concerns of the bands, in particular those of the Penticton Indian Band, presumably still fester.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November 1995, the province obtained an interim injunction from this court restraining the Penticton Indian Band from undertaking any further blockades pending the trial of the action involving those parties. That action has lain dormant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1994 blockade could not have come at a more inopportune time for AMR. It was in the midst of a moderately large expansion project at the resort and a capital financing overseas which was about to close within days of the start of the blockade.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result, the financing did not close. AMR's financial position became more and more precarious as the blockade and the uncertainty of matters in its aftermath destabilized its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government was sympathetic to the position in which AMR found itself - so much so that, in a somewhat extraordinary move, it guaranteed various loans to AMR by the Bank of Montreal. Those borrowings eventually totalled $8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That stop-gap did not avail and the province eventually placed AMR in receivership. The mountain was sold for less than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AMR's only asset is this lawsuit. It sues the province in contract and tort and for breach of fiduciary duty for many millions of dollars, representing its loss of a ski resort which was on the verge - says the plaintiff - of substantial and sustainable growth.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these proceedings, the plaintiff does not allege that the provincial government owes any legal duty at large to citizens of the province to ensure that commerce is not disturbed by the blockading of public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Nor does the plaintiff suggest that the government's response to this particular blockade was in any way negligently crafted or implemented.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Rather, AMR says that the province, through various ministries and the premiers of the day, negligently misrepresented both the scope of the problem facing the province with Green Mountain Road, in the light of the legal position of the Penticton Indian Band, and the nature of its proposed response to any blockades.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Essentially, AMR relies on various letters from representatives of the government which it says led it, reasonably, to conclude that the province would act definitively in assuring public access along Green Mountain Road to the Apex Ski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alternative, AMR relies on its development agreement with the province and it alleges a contractual or fiduciary duty on the province to maintain public access in all events to the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will discuss the matter under the following headings: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TIMELINE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I will set out in general form the critical milestones in the development of the ski resort from 1960 and the evolution of the controversy surrounding Green Mountain Road and the Penticton Indian Band;</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CRITICAL TIME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I will isolate and discuss in more depth the period between 1990 and the end of the blockade in December 1994;</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AMR'S CAUSES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I will discuss AMR's alternative legal theories on liability in tort, contract and breach of fiduciary duty; and</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I will discuss the facts in the context of the three legal theories.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note at this point that while the trial lasted many days and the documentary exhibits include thousands of pages, the case is remarkably free of any serious dispute on the facts.</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TIMELINE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Apex Mountain was opened to skiers in the spring of 1960. The primary access to the resort was via Green Mountain Road. That road traverses a portion of the Penticton Indian Band Reserve No. 1 as it leaves the City of Penticton. The road was established as a public highway by a notice in the British Columbia Gazette dated 12 February 1912. It was then known as "Penticton and Fish Lake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Green Mountain Road was improved over the years and various minor realignments of the road were undertaken with a careless regard for the actual right of way. In the result, portions of the travelled road apparently trespass on lands within Indian Reserve No. 1. (It is not necessary for me to make a finding of trespass and I do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first notation of the trespass problem, found in the records of the province, is in an internal memorandum dated 17 April 1968 to the Indian Commissioner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1977 and 1978, the province commissioned an internal study to determine the status of Green Mountain Road within Penticton Indian Band Reserve No. 1. This resulted in the preparation of two reports by one N. Allen dated 28 June 1977 and 5 April 1978.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report of 28 June 1977, the author notes the establishment of Green Mountain Road by notices in the British Columbia Gazette in 1912 and 1913.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report then notes that the lands within Indian Reserve No. 1 were transferred to Canada by the province in 1938 by Order in Council 1036 ("OIC 1036").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transfer excepted from the grant "all travelled streets, roads, trails and other highways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report refers to a 1973 survey of Green Mountain Road and then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This legal survey indicates that through the years 1900 to late 1973 this portion of the road [within Indian Reserve No. 1] has been reconstructed in part beyond the limits of the road excepted from the transfer of the property in 1938.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additional right-of-way requirement included in the plan of legal survey is not documented. No evidence can be found of the Province exercising, subsequent to July 29, 1938, a right of resumption nor negotiating to a conclusion with Canada for the additional lands required to contain the subject road. Current negotiations with Canada for additional lands included in the plan of legal survey are stalemated.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reference to the right of resumption relates to this clause in OIC 1036 which figures significantly in these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PROVIDED NEVERTHELESS that it shall at all times be lawful for Us, Our heirs and successors, or for any person or persons acting in that behalf by Our or their authority, to resume any part of the said lands which it may be deemed necessary to resume for making roads, canals, bridges, towing paths, or other works of public utility or convenience; so, nevertheless that the lands so to be resumed shall not exceed one-twentieth part of the whole of the lands aforesaid, and that no such resumption shall be made of any lands on which any buildings may have been erected, or which may be in use as gardens or otherwise for the more convenience occupation of any such buildings.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1979 the province amended the boundaries of the Apex Mountain Class C Park to exclude that land deemed necessary for base facilities in the future expansion of the ski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During 1980, the province was engaged in developing its Commercial Alpine Ski Policy ("CASP").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CASP was part of the province's effort to encourage private sector development of commercial alpine ski facilities on suitable crown lands. The policy's stated strategic objectives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identify and designate potential commercial alpine ski areas on Provincial Crown lands.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for orderly development and rational allocation of Crown land for commercial alpine ski purposes.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encourage higher utilization of Crown lands made available for commercial alpine skiing and associated uses.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minimize environmental conflicts and encourage continued compatible resource use on Crown lands.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a fair return to the Crown for the use of public land.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encourage and facilitate the expansion of employment and revenue opportunities in the tourist sector of the provincial economy.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safeguard the public's interest in Crown land use for commercial alpine skiing.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30 June 1980, the province entered into an interim agreement with Apex Alpine Recreations Ltd. for the expansion of the resort. The interim agreement led to a more complete development agreement between the parties which was effective 30 June 1981 (the "First Development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Coincidentally, on 26 June 1981, representatives of the Ministry of Transportation wrote to the Chief of the Penticton Indian Band on various matters, including the status of Green Mountain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ministry planned to plot the original road alignment on the 1973 survey of Green Mountain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Upon completion, it was the ministry's intention "to contact the band to resolve this contentious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portion of the letter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meantime, we wish to exphasize our previous agreement that the Green Mountain Road is public and that we intend to maintain it to a standard which protects both the travelling public and the residents alongside. We solicit your cooperation in this regard.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27 February 1982, Apex Alpine Ski Resort officially opened as a destination ski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opening (or more accurately the reopening) of the resort was the culmination of an expansion plan for the resort which was undertaken under the First Development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Between August 1982 and January 1986 the province, on various occasions, sought without success to jump start negotiations with the Penticton Indian Band concerning the contentious portions of the Green Mountain Road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its letter to the band dated 16 January 1986, the Ministry of Transportation and Highways (the "MoTH")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Green Mountain Road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plotting the Davis survey of 1973 onto the original location of Green Mountain Road, we noted there was a sizeable discrepancy in acreage taken for the existing road location. The Ministry would like to review these discrepancies with the Band and commence negotiations to resolve the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1988, the resort was on the market for sale. It was acquired in that year for approximately $500,000 by a group which controlled a company known as Jordan Ventures Corp. ("Jordan"). Jordan in turn owned the operating company Apex Alpine Recreation (1988) Ltd. ("Apex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One of the investors in Jordan was William A. Trimble, a man who has played a central role in the subsequent development of the resort and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province provided the necessary consent to the assignment of the First Development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3 April 1989, solicitors for the Penticton Indian Band wrote to the Assistant Regional Property Agent of the MoTH: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Subsequent to that, our client has broadened the inquiry by asking me to ascertain from you your Ministry's view of the origin of this Road and your precise position as to the basis upon which it claims ownership. I recognize that this may be an onerous task but it is important and I trust that you will see fit to oblige.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This request led to the preparation of a report by the MoTH dated 6 June 1990 authored by R. Hadley of the ministry's research section (the "Hadley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Hadley Report reviews the history of Green Mountain Road and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Order 1036 of 1938, Road 78's location through IR 1 has been changed in several places by the Ministry, notably in the early to mid 1960's. These revisions have not varied widely from the location of the old road, but taken as a whole they constitute a sizeable area of the present road (about 40 acres) for which the Ministry has not reached settlement with the Indians and Canada. Formal acquisition of this area is what we seek to negotiate.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 copy of the Hadley Report was sent to the band's solicitors on 23 July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Two other events of significance occurred in this same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First, the province and Apex 1988 entered into a new development agreement effective 1 July 1990 for the future development of the resort (the "Second Development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Second, in July and August 1990, the Penticton Indian Band blockaded Green Mountain Road in sympathy with the Mohawk Nation which was then engaged in the events known historically as the "Oka Crisis".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were a number of other road blockades in the province at this time. These included a blockade of the Duffy Lake Road by the Mount Currie Indian Band and a blockade by the Boothroyd Indian Band. Both blockades involved trespass issues similar to that presented by the Green Mountain Road alignment.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province exercised its right to resume the disputed portions of the roads through the Mount Currie and Boothroyd Reserves. It did not choose to do so in respect of Green Mountain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During the fall of 1990, the province attempted to negotiate the Green Mountain Road issue with the Penticton Indian Band. The band took the position that Green Mountain Road, in its entirety, belonged to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a briefing note to his superiors in the MoTH dated 22 November 1990, the Chief Property Agent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Ministry intends to press the Band for an early meeting and while we remain very reluctant to recommend resumption of the Green Mountain Road right-of-way because of the detrimental effect such action will have on all of the other highway related matters completed but not yet transferred to Provincial administration and control, we retain an open mind on the issue pending successful rescheduling of meetings with the Band.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early December 1990, Rich Morten, Vice President and Director of Apex 1988, wrote to then Premier William Vander Zalm enquiring: "... What is the Government action plan and timeline if the road is closed without notice by a Native blockade?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Premier's response is dated 4 February 1991. It is a central document and I reproduce it in its entirety: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 Morten: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letter of December 11, 1990, regarding the Penticton Indian Band and Green Mountain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Green Mountain Road issue is one of the last in a long series of complex and difficult negotiations on highway related issues, between the Ministry of Transportation and Highways and the Penticton Indian Band. I am advised by my colleague, the Honourable Rita Johnston, Minister of Transportation and Highways, that appraisals are underway which, when completed, will permit negotiations to commence this winter to acquire an acceptable right-of-way for this road. Should these negotiations fail, the Province has the right to use certain rights reserved in the transfer of the Indian Reserve lands to Canada. I wish to emphasize, however, that there is every reason at this time to think these negotiations will prove fruitful and no effort will be spared by the Province to settle this matter amicably.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concern in this matter has been noted and your patience is appreciated.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"Vander Zalm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April 1991, the province began the so-called "Perfection of Title Program" to "ensure the title to our provincial road system running through Indian reserves is perfected as soon as possible." Green Mountain Road was noted as one of four "hot spots".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16 October 1991, the Penticton Indian Band made it clear in a meeting with ministry representatives that it adamantly rejected a proposal to negotiate the Green Mountain Road issue. The Regional Property Agent for the ministry reported that the band did not accept that Green Mountain Road was a public highway. The band proposed that it would retain ownership of the road and that the ministry would continue to be responsible for its maintenance. In consideration for that, the band proposed to allow local and skier traffic to use the road but would prohibit all commercial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light of the just concluded provincial election, which saw the NDP forming the government, the Assistant Deputy Minister of the ministry resolved to await further direction from the new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9 December 1991, the new Minister of Native Affairs, Andrew Petter, wrote to the Chief of the Penticton Indian Band advising of his intention "to establish a government to government relationship between the province and aboriginal governments."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This perspective of an appropriate relationship between the province and aboriginal British Columbians came to be marked by a distinct sense of caution in the exercise of the power to resume found in OIC 1036.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That power was viewed as a power of expropriation and as anathema by the aboriginal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will deal later in more detail with the evolution of the province's policy on resumption. That evolution is characterized as a "sea change" by the plaintiff and it represents the lynch-pin of its theory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the summer and fall of 1992, the Penticton Indian Band placed "No Trespassing" and "Private Road" signs along Green Mountain Road. Apex 1988 expressed its concerns to the MoTH, and the minister responded by indicating that negotiations with the band were ongoing and counselled patience.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1 April 1993, ownership of the resort again changed hands. It was purchased by a group led by William Trimble and it acted through a corporate structure that came to be known as the plaintiffs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assuming ownership, the Trimble group immediately announced an ambitious $20 million expansion program for the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This announcement was not well received by the Penticton Indian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June 1993, the plaintiff voluntarily delayed commencement of the expansion program for three weeks to allow the Penticton Indian Band to review its master plan for the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15 July 1993, the Penticton Indian Band formally stated its opposition to the plaintiff's expansion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6 August 1993, the Penticton Indian Band established a road blockade at the intersection of Green Mountain Road and Apex Mountain Road, an area well outside of the boundaries of Indian Reserve No.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Rich Morten, now the president of the resort, wrote to then Premier Harcourt on 6 August 1993.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Premier, the Province must demonstrate a leadership role by immediately addressing the concerns of the Penticton Indian Band and take the necessary steps to allow Apex Resorts to develop its plan that was approved in 1980. I ask for your assurance that this resolution will be achieved in a non-hostile environment. As you understand, this volatile and potentially devastating situation is ready to explode.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Premier Harcourt's reply of 2 September 1993 is another central document in this case and I reproduce it as Appendix I to these reasons (the "Harcourt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Premier said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roadblocks, I want to assure you that blocking or obstructing an established public highway, such as Highway 3A, is not acceptable to my government. A number of remedial measures may be available if this happens. If groups or individuals persist in blocking road traffic, appropriate steps will be taken to remedy the situation.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An uneasy truce between the Penticton Indian Band, the resort and the province continued through the winter of 1993 and the spring of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August 1994, the Penticton Indian Band requested that the province undertake a comprehensive environmental impact assessment of the Apex resort. On 11 October 1994, the Minister of Environment responded and indicated that such an assessment was not deemed to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3 November 1994, the Penticton Indian Band began the blockade of Green Mountain Road where it passed through Indian Reserve No. 1. The Highway 3A blockade shortly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While the bands largely allowed skiers and local traffic to pass through to the resort, they prohibited most, if not all, commercial traffic and the blockade seriously disrupted the completion of the hotel at the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16 November 1994, the province approved a loan guarantee for the plaintiff in the amount of $500,000. This was the first in a series of guarantees that eventually totalled $8 million. It was intended to assist the plaintiff to cover losses incurred as a result of the blockade.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13 December 1994, the government authorized a total of $3 million in loan guarantees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mid-December 1994, as I indicated above, the blockade came to an end with execution of the Seven Peaks Initial Agreement. That agreement accepted that the bands had aboriginal rights within their traditional territories and that they had unique responsibilities in the protection of the environment in those areas. The agreement set the stage for future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24 February 1995, the Apex loan guarantees by the province rose to $5 million. By May 1995, the guarantees totalled $8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Seven Peaks negotiations dragged on, but on 30 August 1995 the province withdrew because the Penticton Indian Band was apparently unwilling to negotiate for the transfer of the disputed portions of Green Mountain Road and Highway 3A to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the spring and summer of 1996, the plaintiff presented a restructuring plan to the government. It was approved by the Treasury Board, but not by the provincial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September 1996, Apex went into receivership. An agreement with the province settled a number of matters and the plaintiff was permitted to retain and pursue this litigation.</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CRITICAL TIME PERIOD - 1990 to December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Here I will discuss in more detail significant events in the period 1990 to the end of the blockade in December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will do so in the context of three central issues, the resolution of which will largely dispose of the question of the province's liability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These central issues include:</w:t>
      </w:r>
      <w:r>
        <w:rPr>
          <w:rFonts w:ascii="arial" w:eastAsia="arial" w:hAnsi="arial" w:cs="arial"/>
          <w:sz w:val="20"/>
          <w:lang w:val="en-US" w:eastAsia="en-US" w:bidi="ar-SA"/>
        </w:rPr>
        <w:cr/>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was a "sea change" in government policy as it related to the exercise of the power to resume under OIC 1036 when the NDP took office from Social Credit in the fall of 1991;</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did the officers of the plaintiff know of the Green Mountain Road trespass issue and when did they know it; and</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really was the impact of the representations from government upon which the plaintiff pleads reliance and were there misrepresentations upon which the plaintiff in fact reasonably relied.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have already discussed the Oka sympathy blockade of Green Mountain Road, the province's use of the resumptive power in relation to the situations at Mount Currie and Boothroyd and the Vander Zalm Letter in response to Morten's enquiry of December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have also extracted the MoTH briefing note of 22 November 1990 wherein the Chief Property Agent noted the ministry's reluctance to recommend resumption of the disputed areas on Green Mountain Road "because of the detrimental effect such action will have on all of the other highway related matters completed but not yet transferred to Provincial administration and control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By December 1990, the Penticton area MLA, Ivan Messmer, who was also Solicitor General in the Social Credit cabinet, was reaching the limits of his patience with the uncertainty thrown up by the Green Mountain Road issue and the threats of the Penticton Indian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21 December 1990, the Deputy Minister of Transportation and Highways, Vince Collins, sent this hand-written note to a senior officer in the ministry, Logan Stewart: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Logan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Attached background info is material to our discussion of yesterday re Green Mtn. Road. While Hon. Messmer has agreed to hold off resumption at this time, we should continue to prepare background for O.I.C. in case Band carries out this veiled threat in Dec. 8/90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As earlier noted, the ministry began its "Perfection of Title Program" in April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By May 1991, the ministry had assigned this project highest priority.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an interoffice e-mail sent 10 May 1991, the Assistant Deputy Minister of the ministry advised the ministry's regional directors: "... The minister and Deputy have told government that we will pull out all stops to ensure that we are in a position to move to resumption should a road be blockaded."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At some point in this process draft documents for an Order in Council resumption of Green Mountain Road were prepared in anticipation of further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 31 May 1991, however, the Deputy Minister of Native Affairs wrote to the Chief Property Agent of the MoTH advising of the Penticton Indian Band's apparent willingness to discuss Green Mountain Road and asking that "resumption actions ... not take place until negotiations have been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During the summer and fall of 1991, the "Perfection of Title Program" continued on a highest priority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By 3 September 1991, 80 draft Orders in Council for resumptions had been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have already related the facts surrounding the meeting with the Penticton Indian Band on 16 October 1991 and the desire of the MoTH staff to await further direction from the new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On 9 December 1991, Andrew Petter, the new Minister of Native Affairs, wrote to the Chief of the Penticton Indian Band and advised of his government's desire to establish a government-to-government relationship with aboriginal governments.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minister's letter also proposed the establishment of a tripartite government committee with representatives from the province, the Penticton Indian Band and the City of Penticton to identify and resolve all outstanding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"Perfection of Title Program" continued through the first half of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However, by May 1992 it is clear that the program was not being pursued with the same enthusiasm.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a memorandum from Research Officer Hadley to a MoTH property agent during this period, Hadley noted: "Priority for 'Perfection of Title' is being reduced. Use of our resumption rights is unlikely for the time being except in extreme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a briefing note to the MoTH staff dated 8 June 1992, P. Weber, Native Claims Officer, Properties Branch, discussed the progress of negotiations with bands concerning various road disputes. He discussed the situation with Green Mountain Road and the Penticton Indian Band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Penticton Indian Band. Negotiations continue on numerous fronts including Green Mtn. Road, Channel Parkway, access to Lot 34, and new access roads through the reserve. Aboriginal Affairs are taking the lead in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have already described the actions of the Penticton Indian Band in the summer and fall of 1992 when the band placed "No Trespassing" and "Private Road" signs on Green Mountain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This activity led Morten to engage in another series of correspondence with the provincial government. This correspondence has become a central focus in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29 July 1992, Morten (then President of Apex 1988) wrote to Art Charbonneau, Minister of Transportation and Highways. He said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most recent signs posted along the road, (photographs enclosed) indicating "private road", "no trespassing", etc., deter not only potential customers from venturing to Apex Alpine Resort, but also potential real estate purchasers and investors. Serious financial impact during the ski season is anticipated.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attempt to force government agencies into addressing problems of much greater magnitude, the Penticton Indian Band continually use a blockade situation as an ongoing threat. The province of British Columbia has made a commitment to Apex Alpine Resort as is indicated in the enclosed letter of February 4, 1991, from William Vander Zalm, Permier [sic] of British Columbia at that time. In an effort to provide you with additional background, I have also enclosed other relative correspondence regarding the Green Mountain Road situation.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there would be great value in reviewing with you, personally if necessary, the steps that this government is taking to resolve this ongoing situation. I look forward to your earliest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Minister Charbonneau responded in a letter dated 23 September 1992: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that the legal status of Green Mountain Road has been an issue between the Ministry and the Penticton Indian Band for many years. The Province and the Band are presently negotiating on several outstanding matters and we are hopeful the Green Mountain Road issue will be included in these negotiations. We are very aware as to the sensitivity of this issue and will endeavour to resolve the matter as quickly as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By letter dated 20 October 1992, Morten again expressed concern to Charbonneau:</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yesterday, the Green Mountain Road was blocked by the Penticton Indians [sic] Band in a local dispute with the RCMP. Enclosed is a recent article regarding the Penticton Indians Band position and a hand out sheet that was given to drivers that were permitted to go through the blockade. Also enclosed is a letter from International Corona Corp. outlining the same concerns.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discussing this issue with the RCMP this morning, I understand government directive exists that does not acknowledge portions of the Green Mountain Road as public access. The RCMP is to respond as if this road is private land. As you know, this position is contrary to the previous Government's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Charbonneau, we need your direction and help on this matter desperately as continued blockades and business interruption will impact very seriously the immediate future of Apex Alpine Ski Resort.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truly believe that the government is obligated to provide and retain public access to public facility [sic] such as Apex Alpine and adjacent recreation (once park) lands including the International Corona Corp. mine operation. It is our opinion that this critical issue should be discussed with the Premier directly.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Minister Charbonneau responded in a letter dated 18 December 1992: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appreciate your frustration and sense of urgency with this situation. I am aware of the local situation, as Ministry staff continue to keep me informed of events as they occur.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negotiations that I had mentioned in my previous letter to you are ongoing. Please be assured that my colleagues and I recognize the importance of resolving the issue of the road status. The fact is that some portions of the road on the Penticton Reserve are in dispute.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discussed this situation at length with my colleague, the Honourable Andrew Petter, and my staff and his are working toward a resolution to this outstanding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continued support and patience in this matter would be greatly appreciated as we endeavour to find a suitable resolution to this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During this period, the provincial government was considering the certification of a proposed garnet mine in the immediate vicinity of the Apex resort. That certification was opposed by both the Penticton Indian Band and Apex 1988. There were environmental and aesthetic concerns expressed.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proposed certification and the government's evolving aboriginal policies reached an important threshold in the summer of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have already noted the NDP government's fresh approach to aboriginal affairs - the pursuit of a government-to-government relationship. And I have discussed how the resumptive power had become something of a lightning rod in that evolving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have, as well, related that the Trimble-led group purchased the resort in the spring of 1993 and immediately announced the $20 million expansion plan. This in turn led to the resort's self-imposed three week development moratorium, commencing 22 June 1993, in an effort to ease tensions with the Penticton Indian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 11 June 1993, the province entered into a memorandum of understanding with the Union of British Columbia Indian Chiefs which provided for a review of the resumptive power in OIC 1036.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This led to various submissions to the provincial cabinet by the MoTH and the Ministry of Aboriginal Affairs in July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On 7 July 1993, the Cabinet Committee on Aboriginal Land Claims and Self-Government considered the issue. Its minutes disclose this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provisions of Order in Council 1036, the province may resume without compensation any Crown granted land, including reserve land, for public purposes. Insofar as it applies to reserve lands, this authority has been a source of significant concern to aboriginal people.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government has committed to negotiating a resolution to this issue with First Nations representatives in the government-to-government Joint Policy Council forum, resolution is unlikely to be accomplished for a least several months. The ministries therefore seek the Committee's direction on how the government should proceed if a road blockade occurs before negotiated resolution.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options described below are interim, pending the negotiated resolution, and are proposed as a last resort, assuming all other emergency solutions have been exhausted (e.g. injunction; discussions with first nation conducting the blockade):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Do not resume land under any circumstances</w:t>
      </w:r>
      <w:r>
        <w:rPr>
          <w:rFonts w:ascii="arial" w:eastAsia="arial" w:hAnsi="arial" w:cs="arial"/>
          <w:color w:val="000000"/>
          <w:sz w:val="20"/>
          <w:lang w:val="en-US" w:eastAsia="en-US" w:bidi="ar-SA"/>
        </w:rPr>
        <w:t>. First nations would support this option but if no negotiated solution to the blockade occurred, unacceptable harm to the public interest may result;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Resume land and provide compensation</w:t>
      </w:r>
      <w:r>
        <w:rPr>
          <w:rFonts w:ascii="arial" w:eastAsia="arial" w:hAnsi="arial" w:cs="arial"/>
          <w:color w:val="000000"/>
          <w:sz w:val="20"/>
          <w:lang w:val="en-US" w:eastAsia="en-US" w:bidi="ar-SA"/>
        </w:rPr>
        <w:t>. This would be similar to the regular expropriation process but may set a precedent for retroactive claims and may have the effect of rewarding road blockade activities; or,</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Resume land and provide no compensation</w:t>
      </w:r>
      <w:r>
        <w:rPr>
          <w:rFonts w:ascii="arial" w:eastAsia="arial" w:hAnsi="arial" w:cs="arial"/>
          <w:color w:val="000000"/>
          <w:sz w:val="20"/>
          <w:lang w:val="en-US" w:eastAsia="en-US" w:bidi="ar-SA"/>
        </w:rPr>
        <w:t>. This would be consistent with using resumption only as a last resort and does not create an incentive to blockade but is inconsistent with the government's new relationship with aboriginal people and may negatively affect participation of aboriginal leadership in the Joint Policy Council forums.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Cabinet Committee considered the matter further at its meeting of 13 July 1993 and reported to cabinet on 14 July 1993 with its recommendation which was adopted. The adopted policy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using the resumptive power, the province will fully explore all other alternatives, including negotiation, mediation, arbitration, and options available under the Indian Act as well as compensation considerations. If unsuccessful, the province will seek an injunction. If unsuccessful, the province may then exercise its resumptive power with compensation. Compensation criteria will be developed in consultation with First Nations representatives.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At the same meeting, it was agreed that the policy as adopted would be discussed at the Joint Policy Council meeting with the Union of British Columbia Indian Chiefs later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evolution of this policy was reviewed at length with various witnesses called in the government's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It is clear from the evidence of Vince Collins and the documents, that from the fall of 1992 the use of the resumption power in OIC 1036 was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As I discussed in the general timeline section of these reasons the government was considering the certification of the garnet mine during this same period. In fact, cabinet was in a position to issue the certification in mid-July 1993. At the cabinet meeting of 14 July 1993, the issue of certification was discussed immediately after the resolution concerning the use of the resumptive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minutes of cabinet record: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moved to the specific case of the Crystal Peak Garnet Mine. The Penticton Indian Band is opposed to the mine and has threatened to close the Green Mountain Road. Agreed to postpone the announcement of the certification of the mine (slated for July 15) one week while an issues management strategy is further developed. This strategy will be discussed by Cabinet at its next meeting. As well, Cabinet will receive a presentation by the Minister of Transportation and Highways on the visual impact of the mine and the ski hill followed by a discussion of how local concerns and impacts can be mitigated. (e.g., requiring speed bumps in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fact, the mine was never certified. Government's concern for the mining company's interests, in contrast to what is alleged was its lack of candour with the plaintiff, was explored in the cross examination of John Cashore, who was at this point, in 1993, the Minister of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extract this exchange from the transcript: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 take it from this, this is dated July 14th, that the plan had been to announce the certification of the mine the next day?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that is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decision at cabinet was made to put it off a week?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take it that at least one of the reasons for that was the opposition of the Penticton Band and the threats to close the Green Mountain Road?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in fact, the garnet mine wasn't certified a week later either, was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fact, it's never been certified?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never been certified,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take it that a major reason for that is the concern that the Penticton Band would blockade the Green Mountain Road if it was certified?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assume that the province was concerned, or you tell me, about certifying a mine that required access along the Green Mountain Road and then finding that road blockaded by an Indian band?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 was something we were concerned about.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Particularly having in mind the comment in the document we looked at a moment ago that as far as everybody in the government was concerned, the band had the legal right to do just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So the government, had it certified the mine, would have found itself in the position of having approved a mine development accessible along the road which the Penticton Band had the legal right to block?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still wanted to find if there was any way that we could possibly resolve the issue with the band, and that was -- that was one of the ongoing factors.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the view in July of 1993 was that the government should not let the mine go ahead then until the matter could be resolved?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 was consistent with our approach to try to come up with workable solutions that didn't cause a lot of problems elsewhere in the province.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And I suppose it would be also consistent with an approach of not causing a problem for the garnet mine, would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mean, that must be [sic] have been a consideration. The garnet mine, if they opened up and then they couldn't access the mine because of a blockade, that would be a big problem, wouldn't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 would.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would cause serious economic harm to them; isn't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 only thing that was holding this up, but a huge thing, was this prospect of a road blockade by a Penticton Band which the government had concluded had the right to do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sorry, I didn't get your wording at the last few words.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government had concluded, as I understood this memorandum -- or this note earlier, that the Penticton Band could be legally blockaded?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 certainly was one of the consideration[s] that that could happen. Although we wanted to find ways to engage with the band to try to address that issue.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of course. That would be desirable, of course. But the only way to absolutely guarantee access would be to use the resumptive power, wouldn't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that point.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And that wasn't going to happen, was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considering the possible ramifications of using that approach,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juxtaposition of the concern for the garnet mine's proponents (in the light of the Penticton Indian Band's legal position and the government's reticence to invoke the power of resumption) with the government's communication with the plaintiff through, in particular, the Harcourt Letter, is the most troubling aspect of this case. I will return to this aspect when I analyze the evidence in the context of the plaintiff's theories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return to the 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February 1994, the Union of British Columbia Indian Chiefs took the position that the province's power of resumption under OIC 1036 must be rescinded completely and unconditionally.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On 2 March 1994, cabinet's Planning Board considered the matter again. The minutes disclose: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Cabinet agreed that its policy can still be articulated as being - "to continue to move towards the elimination of OIC 1036." It is recognized that it would be bargaining in bad faith to say this and then not diligently and forcefully proceed in this direction. It is also recognized that it will take time to accomplish, and First Nations will be asked to respect the government's responsibilities.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Cabinet agreed that the province will explore a position whereby it would not exercise its resumptive power under OIC 1036 for new acquisitions (i.e., prospectively) but will use the provisions of the Indian Act (as they are used in every other province but B.C. at the present time). For existing situations (i.e., retrospectively), all parties must agree to a process of negotiation, mediation, arbitration and finally compensation. These process steps will be worked out through the First Nations policy tables and the treaty process. (By bringing the federal government into the matter, cost-sharing can occur.) If all parties agree to this process, then OIC 1036 can be rescinded.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From this it is clear that the government, while keenly aware that the power of resumption grated on First Nations, nevertheless viewed it as a necessary tool, in the absence of a negotiation model leading to binding arbitration, with respect to historical road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Cabinet, in March 1994, was obviously reiterating that the government could not give up the power of resumption unless it had a fail-safe method to ensure the final resolution of disputed road issues through Indian reserves.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Coincidentally, in March 1994, the plaintiff entered into a contract with a ski lift manufacturer for the installation of a high speed quad chairlift on the mountain. That contract totalled several million dollars and it was part of the plaintiff's expansion plan for the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have already provided sufficient detail of the events leading to the actual blockade of November/December 1994 and the negotiated resolution of that blockade.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the recital of facts, it remains to provide detail on the issue of what the plaintiff (and its predecessors) knew of the Green Mountain Road issue and when they knew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It will be recalled that the resort changed hands in 1988 when the Jordan group acquired control, and again in 1993, when the Trimble-led investors took over. It is important to note that notwithstanding these changes in ownership, a number of the leading figures in the resort remained constant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1988, when the Jordan investors acquired control, David Betts became president and general manager of the operating company, Apex 1988. He had been involved in the development of the resort in various capacities since its beginnings in the 1960's.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William Trimble was a leading investor in the Jordan group and he of course led the group which acquired the resort in 1993 and which operated it at the critical times covered by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the summer of 1990, Rich Morten replaced Betts at the helm of the operating company and his tenure spanned the 1993 take-over. Morten was of course one of the critical players in the Vander Zalm Letter, the Charbonneau correspondence, and the Harcourt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Notwithstanding the corporate ownership of the resort, there was then some continuity in the personalities of the lead investors and senior managers.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What then was the state of public knowledge and that of the principals of the resort at various times during the critical time period 1990 to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On 30 August 1990, an article appeared in the Penticton Herald newspaper under the heading "Legal question complicating blockade issue - Province lacks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Ivan Messmer, the local area MLA is quoted as saying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Province of British Columbia has been constrained in its ability to deal with the road blockade on the Penticton Indian Reserve, which prevents access to Apex Mountain and the (Nickel Plate) mining operation.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provincial road right-of-way through the reserve has come into serious question and "the band has argued that the highway right-of-way is in trespass in a number of areas on the reserve. The band argues that this means the highway is on reserve land without legal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Messmer noted that in instances where road blockades have been erected on public roads where the province has a clear right-of-way, the province has applied to the courts to prevent Indians from blocking roads or rails.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date, this has not been possible at the Penticton reserve because of serious questions concerning the legal status of the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cannot simply move Indian persons blocking the road if it is on their land and they are within their legal rights," said Messmer.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provincial government is continuing to investigate the exact status of the road, according to Messmer, who added it "will make every effort to secure a proper right-of-way if the existing right-of-way is found to be in trespass."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This article coincided with the Oka sympathy blockade by the Penticton Indian Band, and Morten at least recalls reading it in early September 1990. While Morten believed that Green Mountain Road was a public road, he appreciated that the Penticton Indian Band took the contrary view, at least in respect of portions of the road right of way. But Morten always assumed that the government would solve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It is useful to look at Morten's understanding of the situation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His evidence in-chief proceeds: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by this time, by December 1990, Mr. Morten, did you have an understanding, or had your understanding changed as to whether Green Mountain Road was a public road or a private road?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My understanding didn't change. It was always in -- in my estimation a private road [sic] However, I had learned by then, through some of the local people and the politicians, that there was -- could be an alignment problem.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 you said it -- in your estimation it was a private road?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Excuse me. Excuse me. It was not a private road. It was a -- clearly a public road. I'm glad you corrected me on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made a reference to discussions with politicians about alignment.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seemed to be a problem with -- if -- if there was any areas of the Green Mountain Road that were considered private, seemed to be very minor sections or minor areas that were realigned under the -- as a result of many years of cutting the corners with the road and -- and re -- minor realignments through the reserve.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my interpretation was there was certain areas of that road that may have been trespassing on the Native area, but -- but the main course of the road always was private -- or always was a -- a public road as opposed to private.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where did you get that understanding about the trespasses from?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One of the conversations, either -- either social or business meeting with the solicitor general for the Socred Party at that time, Ivan -- and the local MLA, Ivan Messmer.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did you first meet Mr. Messmer?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 I can't recall. It was -- Dave Betts took me around town and introduced me to several people those first two to three weeks.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 I can't remember when it was. It could have been a social setting, or there was some barbecues and picnics and just would pop in and would say hi in the office. And this topic at one of those discussions surfaced, and that's where I gained the understanding.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Morten was then referred to the Penticton Herald article of 30 August 1990 and his examination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I'd like to turn back to the article.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second paragraph, Mr. Messmer is reported to have said, about the Green Mountain Road situation: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"There's little the provincial government can do about it."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Was that the understanding he left you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 my -- that was certainly contrary to some of the discussions we had.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 in my opinion that second paragraph was shifting the effort to the federals -- government. There was obviously a -- a political question of whose jurisdiction it may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did Mr. Messmer tell you in person that it was a question of jurisdiction?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I'd like to take your attention down to the fourth paragraph from the bottom, and it's where Mr. Messmer is quoted as saying: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"We cannot simply move Indian persons blocking the road if it is on their land and they are within their legal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discuss anything like that with Mr. Messmer, what would happen in the case of a blockade?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 I don't know if we specifically discussed that there was -- in -- in detail.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was some -- some dis -- some understanding that resulted in our discussions regarding if -- if -- if we trespassed on that area of land that would -- was legitimately private, that's not in our best interests, so that was my 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paragraph 9 Mr. Messmer states: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provincial government is continuing to investigate the exact status of the road and will make every effort to secure a proper right of way if the existing right of way is found to be in trespass."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you un -- have any understanding from your conversations with Mr. Messmer of how they were going to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were -- it was my understanding that they were going to move forward with their effort to survey -- to survey and correct that alignment.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it was always my understanding in talking to Mr. Messmer that the provincial government was supportive of -- of our efforts up on the mountain and the -- he would do what he could do to help 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 when I take that -- that clause there that says "if there is a trespass issue," we were very encouraged by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what 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the province was moving forward with the alignment problem with the road.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did you ever have any discussions with Mr. Messmer about what the province would do if it could not get agreement on the survey, surveyed portions?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Ultimately, and I -- I can't tell you what time frame this happened, there were discussion -- what would happen if there was a full-fledged blockade and what the province would do. And I was left with the understanding that the -- the blockade would be taken down.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Mr. -- did you have discussion was Mr. Messmer about whether Green Mountain Road was public or private?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 in general terms, yes. And I -- again, I can't be specific. But my understandings were that Green Mountain Road was a public road, and if there's any private issues there, it, again, is regarding the trespass issues of a small amount regarding alignment.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think you said your understanding was that it was going to be surveyed.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 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 and then what was going to happen, to your understanding?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 if the survey took place and they found portions of the road that were in trespass, it was my understanding that the road would simply be relocated so that the road alignment would follow its original path, which was public road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how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gazetted road.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how would they do that? Would they have to talk to the Band about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I'm sure they would. It seems there was some reference here in this article, and there was informal references that the province was committed to negotiating.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do you know what would happen if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negotiations didn't work?</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always a threat of a blockade in that area as other areas in the province, I think.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do you have any understanding of what the province would do if the negotiations didn't work over those trespasses?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we were assured all along that the blockade, if it happened, would be taken down, and they would correct the -- and fix the road problem. So the road issue, whether it was a trespass issue or an alignment problem, we -- we really didn't care what that was. We certainly appreciated was [sic] but we had a commitment for a -- at least -- at least tremendous amount of encouragement from the province that that would be corrected.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his letter to Premier Vander Zalm of 11 December 1990 (which in turn prompted the Vander Zalm Letter) Morten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one of the earliest snow fall accumulation[s] in history, Apex Alpine is off to an incredible start and visions [of] a financial successful recovery after the darkened receivership days are anticipated. Unfortunately we have lost a potential major investor because of "access uncertainties".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It is trite to observe that business abhors uncertainty. And it was uncertainty that at least in part led, eventually, to the plaintiff's critical and finally terminal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an earlier memorandum to all employees of the resort of 26 October 1990, Morten noted "Although the blockade was removed it remains a present and future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have already outlined Morten's exchange of correspondence with Minister Charbonneau in July, September and October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particular, in his letter of 20 October 1992, Morten indicated that after discussing Green Mountain Road with the local RCMP: "... I understand government directive exists that does not acknowledge portions of the Green Mountain Road as public access.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Charbonneau responded in December 1992: "... Please be assured that my colleagues and I recognize the importance of resolving the issue of the road status. The fact is that some portions of the road on the Penticton Reserve are in dispute.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an article headed "Whose Road is it?" dated 9 November 1992, the Penticton Herald reviewed the Hadley Report, a copy of which the Herald had obtained. The article specifically refers to Hadley's conclusion that 40 acres of the travelled road were not within the legal right of way and that the government had not yet reached settlement with the band on these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 MoTH spokesperson is quoted as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"Formal acquisition of this area is what we need to negotiate .... The Band is being very evasive. We have been attempting to negotiate that land for the last two and a half years at least."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article refers to the right of resumption in OIC 1036 and then it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Kurucz [the ministry spokesperson] said that would cover any changes made in the alignment of Green Mountain Road. "But that's a very archaic way of doing things. ... That's not the way we do business today. We try to negotiate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Morten, in his evidence, specifically recalled seeing this article at the time that it was published.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Now, of course, it is Morten's position (and that of the plaintiff) that while the issue surrounding Green Mountain Road was known at the time, they felt that they had government assurances through the Vander Zalm Letter that the government would take all necessary steps to resolve the access issue - even resorting to "appropriation", which was Morten's word for the power to resume land found in OIC 1036.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That apparently was Morten's (and we can assume, through him, the plaintiff's) view at the time. But it is a view the accuracy and reasonableness of which must be tested in the context of what was then publicly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early 1993, the resort was being marketed for sale through the Vancouver firm Crosby &amp; Galbraith.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February 1993, the Penticton Indian Band was expressing concern with environmental impacts on what they thought was their watershed in the area of the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These concerns arose out of the resort development as well as the proposed garnet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On 23 February 1993, Morten wrote a testy memorandum to Trimble and Michael O'Brien.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He began: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it very difficult to understand the rational [sic]of Apex's President being placed in isolation of strategy and communication concerning this very sensitive situation with the Penticton Indian Band and the potential sale.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Crosby and Galbraith was aware of the "watershed impact" concern from the Penticton Indian Band on February 3, 1993. I was made aware of this situation on February 22, 1993, resulting in a loss of 19 critical days to rectify this situation. Naturally you can understand the difficulty and frustration of performing my duties as president when this basic lack of communication exists.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Morten then proposed: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is my suggested strategy:</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Mike to request meeting with potential purchaser and level with them on the Penticton Indian Band issue. If the purchaser is made aware from any other source than Apex, trust and credibility will be lost. I have advocated this from the start.</w:t>
      </w:r>
    </w:p>
    <w:p>
      <w:pPr>
        <w:numPr>
          <w:numId w:val="18"/>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Rich to attend with Mike which we will communicate with potential purchaser a scheduled high level meeting with B.C. Government and potential purchaser on this issue.</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Rich continue to schedule through two local MLAs, a high level meeting with government possible [sic] the Premier, emphasising:</w:t>
      </w:r>
    </w:p>
    <w:p>
      <w:pPr>
        <w:numPr>
          <w:numId w:val="20"/>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Apex's many attempts to convince government to solve the road access issue. (See petition and covering letter)</w:t>
      </w:r>
    </w:p>
    <w:p>
      <w:pPr>
        <w:numPr>
          <w:numId w:val="21"/>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and likelihood of losing a major investor again at Apex. This time the loss will be a [$]20 million expansion plan in the next five years and the creation of approximately 100 new jobs.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realism of Apex going out of business because:</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cannot expand</w:t>
      </w:r>
    </w:p>
    <w:p>
      <w:pPr>
        <w:numPr>
          <w:numId w:val="2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cannot attract new investments</w:t>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Suggest to government that if nothing is done Apex will go public and accuse the government of not addressing aboriginal concerns, thus forcing Apex into receivership.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Morten referred to the need to emphasize "Apex's many attempts to convince government to solve the road access issue." Yet he maintains that in 1991, as a result of the Vander Zalm Letter and his conversations with Ivan Messmer, he had government assurances that it would "fix the road problem": "we had a commitment ... at least tremendous amount of encouragement from the province that that would be corrected."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April 1993, it was the Trimble-led group which actually acquired the resort. It is important to note that in purchasing the resort the Trimble group did so in the exercise of a right to meet any other bona fide offer of purchase. The group did so by matching a Hongkong group's offer of $4.25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have already related the band's adverse reaction to Trimble's announced $20 million expansion plan for the resort in April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Local newspaper articles during this period are replete with references to the threat by the Penticton Indian Band to block the resort's expansion.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band's concern with the expansion project led to the voluntary three week moratorium on construction in the early summer of 1993. There was a fruitless meeting between the band and representatives of the plaintiff at the offices of the band's lawyers in Vancouver in July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There followed a lengthy press release from the resort through its Marketing Director, John Kapusty. The release explained that the plaintiff had concluded that it was necessary to postpone much of the construction already started at the resort. The capital program for 1993 was accordingly reduced from a planned $7 million to $1.5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press release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Management believe that the development of the resort is not the real issue with the Penticton First Nation. Management believe the real issue is the access to the resort. Apex Resort is not located on Indian Reserve Land. It is situated 21 kilometres from Penticton Indian Reserve land; however, a portion of the 12 kilometre section of Green Mountain Road between Penticton and the resort does fall within the Penticton Indian Reserve, despite previous governments having made arrangements for a public access route through the reserve. The current road alignment apparently does not follow that route completely. Morten said "We would ask that the people of Penticton and area respect that the Penticton First Nation control a small portion of Green Mountain Road in private holding and in our view this road is no longer an assured access route to Apex Resort and Apex Provincial Recreation Area. We therefore discourage the use of it until such a time that the provincial government can show leadership and rectify the problem regarding the alignment of the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This press release was discussed at some length with Morten in his evidence and I reproduce this portion of the transcript: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would ask that the people of Penticton and area respect that the Penticton First Nation control a small portion of Green Mountain Road in private holding."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What did you mean by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may be a dispute on what -- what is a private Native land and what is public highway, again, as a result of the alignment deficiencies. So I meant there may be a dispute on the alignment.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anybody ever tell you that that -- did anybody from the province ever tell you that that affected whether the road was a public road?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go on to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our view this road is no longer an assured access route to Apex Resort and Apex Provincial Recreation Area."</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And then you discourage use of it: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until such time that the provincial government can show leadership and rectify the problem regarding the alignment."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What did you mean by those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 again, in respect to the Band wishes of traffic through the reserve, we -- we did what we could to minimize the -- the traffic through the reserve, the impacts during the summer months.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have earlier related the events surrounding the Harcourt Letter of September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At trial, Morten was referred to the portion of the Harcourt Letter stating that the blockading of public highways "is not acceptable to my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Morten was asked how he took that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we were -- we were ecs -- I was ecstatic. I thought this is -- this is great. Blocking roads is not going to be a common practice in the province. And the -- all the problem [sic] that we talked about before were going to be solved.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believe I discussed this on the telephone with Bill [Trimble] when we received this letter. I -- and we were very happy with the government's commitment or ongoing commitment or recommitment to rectify the road problem.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again, if -- he -- he talks about remedial measures as a possibility of -- happening. And I directly interpret that -- that to mean that there -- would and could exercise their appropriation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there was a blockade, what did you think was going to happen?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blockade, in my opinion, would be very short-lived. And, as a matter of fact, it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Morten resigned in April 1994, but he stayed on in a transitional capacity for another two to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Notwithstanding the plaintiff's "ecstasy" with the assurance it discerned in the Harcourt Letter, the company apparently found it necessary to write to Premier Harcourt again on 2 May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That letter was signed by Dave Betts as General Manager and it was widely copied to cabinet ministers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reproduce a portion of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after months of discussions and negotiations involving consultants and lawyers, at great expense to Apex Resort, the Penticton Indian Band has elevated their efforts to impede the development at the resort by delaying contracting employees on their way to and from work, by contacting development suppliers, and by releasing incorrect and damaging statements about the resort to the press and media.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we continue to make every effort to communicate openly and to build a good rapport with the Penticton Indian Band, we do find the efforts to be very one sided. Under the circumstances, we feel it is imperative that we meet with you and your Ministries as soon as possible to discuss how we can ensure safe and timely completion of the 1994 capital improvements. It is also our desire at the same time, to discuss long term resort access both for our employees and our guests.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we are unable to satisfactorily secure the foregoing at an early date, it is expected that we may be forced to reconsider any further investment in the future operation of Apex Resort. It is hoped however, that the Province will not allow Apex Resort to be placed in a position of confrontation while attempting to meet project deadlines that will allow the resort to operate for winter of 1994/'95. If we are unsuccessful in completing this improvement plan, you must know that resort operation of any kind for the 1994/'95 ski season will be impossible. you must also know the devastating economic effects that would result in the South Okanagan through the loss of over 200 direct jobs, the lack of local economic stimulus realized by resort suppliers, and the loss of the tourism dollars generated through late November to early April.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realize your time is precious and that you are exceedingly busy, however, considering the serious nature of this matter, we urge your early response advising a place, a date and a time where we may meet yourself and other pertinent Ministries to address the forgoing.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Finally, on this issue of knowledge on the part of the plaintiff, I refer to its filing with the United States Securities and Exchange Commission dated 18 April 1994. Under "Risks" the plaintiff, in making full, true and plain disclosure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Penticton Indian Band has in the past made demands of the Provincial government which conflict with the Registrant's legal rights under its Development Agreement with the Province. While discussions and negotiations of a positive nature are ongoing among the Band, the Province and the Registrant, it is possible that if these talks break down, the Band may attempt to interfere with the Registrant's development of Apex Resort.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And in its Rights Offering filed with the Vancouver Stock Exchange in early 1994, management of the plaintiff disclosed: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dispute between the Penticton Band and the Provincial Government regarding the correct boundaries of the Green Mountain Road. In the course of discussions, the Penticton Band has also complained about the dangers of traffic through the Reserve. In response to these concerns, Apex Resorts has instituted and maintains a safe driving program for its employees through the Reserve. In addition, all commercial and heavy industrial vehicles traveling to Apex Resort have been instructed by Apex Resort management to use the alternate route. While the dispute between the Penticton Band and the Provincial Government over the correct dedication of Green Mountain Road is ongoing, the Issuer believes that the steps it continues to take to control the traffic through the Reserve village will alleviate any access problems to Apex Resort. Alternate access continues to be available, in any case, via Highway 3A. There have been no access difficulties in utilizing this alternate route.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AMR'S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plaintiff puts its case in the alternative.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tort, it says that its loss was caused by the negligent misrepresentations by officers of the government, both as to the real nature and extent of the legal problems with Green Mountain Road and as to the government's intended response to future blockades.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Essentially, the plaintiff says that if it (or its predecessors) had been told that the government in 1992, 1993 and beyond did not intend to exercise the power to resume as it had earlier represented it would, alleges the plaintiff, the plaintiff would not have suffered the losses which it alleges.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contract, the plaintiff pleads the provisions of the Second Development Agreement and alleges that the province breached its express or implied obligation to provide an assured access to the resort via Green Mountain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the second alternative, the plaintiff argues that in all the circumstances it stood in a relationship with the province such that the latter owed fiduciary duties to it and it was in breach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damages alleged include loss of investment and loss of future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 turn to discuss each cause of action in more depth.</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Given the enquiries of government in 1990, 1992 and 1993, the plaintiff submits that the province had a duty not to mislead it as to the government's intentions in responding to blockades of Green Mountain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It will be observed that the plaintiff bases its claim in negligent misrepresentation in part on discussions and letters between government and officers of the plaintiff's predecessors. The defendant does not take issue with the plaintiff's alleged reliance on statements made to other entities and, accordingly, I have largely analyzed the claim as though the representations were all made directly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all of the circumstances the plaintiff says that the province had a duty to advise it of the "sea change" (the plaintiff's colourful phrase) in its approach to aboriginal relations and its anticipated response to road blockades.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"sea change" in policy developed in 1992 and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plaintiff (through its predecessors), as a result of the Vander Zalm Letter, and the assurances of Ivan Messmer, was left with the initial understanding that the province would do all that was necessary to keep Green Mountain Road open as a public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Evidence that this assurance reflected actual policy is found in the high priority given to the "Perfection of Title Program" and the creation of shelf-ready OICs to allow for timely resumption in the face of blockades.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Unknown to the plaintiff, it says, however, was the fact that this policy of government underwent a fundamental change with the advent of the NDP government in late 1991. The new policy evolved through 1992 and culminated in the policy adopted by cabinet on 14 July 1993, which I have reproduced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Coupled with this change in policy, the plaintiff alleges that the province was less than frank in advising it of the extent of the issue with Green Mountain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plaintiff stresses, for example, Minister Charbonneau's reference to "disputed" portions of the Green Mountain Road right of way. The plaintiff says that there was hardly a dispute extant when fully 40 acres of the right of way was known by the province to be in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plaintiff underlines the submission that there was a radical change in government policy culminating in July 1993 by highlighting cabinet's concern for the proponents of the garnet mine. That mine was not certified in the summer of 1993 because, argues the plaintiff, the government knew that the Penticton Indian Band could legally blockade Green Mountain Road and the government would not, in the new regime, exercise the resumption power set out in OIC 1036.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plaintiff submits that the government's concern for the mine's proponents is to be contrasted with how it advised the plaintiff via the Harcourt Letter in September of that same year - effectively in the same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plaintiff cites many authorities, but relies primarily on three: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Queen v. Cognos Inc., </w:t>
      </w:r>
      <w:hyperlink r:id="rId665"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99 D.L.R. (4th) 626</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Granitile Inc. v. R. </w:t>
      </w:r>
      <w:hyperlink r:id="rId666" w:history="1">
        <w:r>
          <w:rPr>
            <w:rFonts w:ascii="arial" w:eastAsia="arial" w:hAnsi="arial" w:cs="arial"/>
            <w:i/>
            <w:color w:val="0077CC"/>
            <w:sz w:val="20"/>
            <w:u w:val="single"/>
            <w:shd w:val="clear" w:color="auto" w:fill="FFFFFF"/>
            <w:lang w:val="en-US" w:eastAsia="en-US" w:bidi="ar-SA"/>
          </w:rPr>
          <w:t>(1998), 41 C.L.R. (2d) 115</w:t>
        </w:r>
      </w:hyperlink>
      <w:r>
        <w:rPr>
          <w:rFonts w:ascii="arial" w:eastAsia="arial" w:hAnsi="arial" w:cs="arial"/>
          <w:color w:val="000000"/>
          <w:sz w:val="20"/>
          <w:lang w:val="en-US" w:eastAsia="en-US" w:bidi="ar-SA"/>
        </w:rPr>
        <w:t xml:space="preserve"> (Ont. Ct. Gen. Div.);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Meates v. Attorney-General, [1983] N.Z.L.R. 308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Cognos is the leading case on the tort of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Supreme Court of Canada summarized the five general requirements for a successful claim (at S.C.R. 110):</w:t>
      </w:r>
      <w:r>
        <w:rPr>
          <w:rFonts w:ascii="arial" w:eastAsia="arial" w:hAnsi="arial" w:cs="arial"/>
          <w:sz w:val="20"/>
          <w:lang w:val="en-US" w:eastAsia="en-US" w:bidi="ar-SA"/>
        </w:rPr>
        <w:cr/>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misrepresentation;</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misrepresentation; and</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Cognos sets out the requirements; however, its facts are not apposite to this case. But the plaintiff argues that Granitile and Meates illustrate the consideration of the tort in the context of facts which bear resemblance to those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Granitile makes it clear that an assurance of future action can, in proper circumstances, form the basis for an actionable misrepresentation. There the plaintiffs sued the federal government for damages for negligent misrepresentation. The misrepresentation took the form of an assurance to the plaintiffs that their proposal for a manufacturing plant would be financed in part by a government grant of $3 million, that no grants would be issued to similar competing projects and that a loan guarantee would be forthcoming from the government. The plaintiffs continued with the project on the basis of these assurances.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December 1989, the plaintiffs' banker withdrew its financing commitment in the absence of a loan guarantee. The government later gave the plaintiffs 60 days within which to secure financing before their funding would be withdrawn. An extension was denied even though a crown agent indicated to the plaintiffs that the financing deadline for the grant was flexible.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plaintiffs' efforts to secure financing failed. The plaintiffs later discovered that government funding had been earlier provided to a competing manufacturer.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plaintiffs sued for costs spent on the project to date. Those damages were awarded, as was an award for punitive damages in the amount of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Justice Molloy cited the five requirements from Cognos.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On the issue of the duty of care based upon a special relationship, Molloy J. noted that there are many cases in which Canadian courts, and others, have imposed a duty of care in respect of incorrect advice given by government employees. He cited amongst others: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Anns v. London Borough of Merton, [1977] 2 All E.R. 492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Ministry of Housing &amp; Local Government v. Sharp, [1970] 2 Q.B. 223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Spinks v. Canada </w:t>
      </w:r>
      <w:hyperlink r:id="rId667" w:history="1">
        <w:r>
          <w:rPr>
            <w:rFonts w:ascii="arial" w:eastAsia="arial" w:hAnsi="arial" w:cs="arial"/>
            <w:i/>
            <w:color w:val="0077CC"/>
            <w:sz w:val="20"/>
            <w:u w:val="single"/>
            <w:shd w:val="clear" w:color="auto" w:fill="FFFFFF"/>
            <w:lang w:val="en-US" w:eastAsia="en-US" w:bidi="ar-SA"/>
          </w:rPr>
          <w:t>(1996), 134 D.L.R. (4th) 223</w:t>
        </w:r>
      </w:hyperlink>
      <w:r>
        <w:rPr>
          <w:rFonts w:ascii="arial" w:eastAsia="arial" w:hAnsi="arial" w:cs="arial"/>
          <w:color w:val="000000"/>
          <w:sz w:val="20"/>
          <w:lang w:val="en-US" w:eastAsia="en-US" w:bidi="ar-SA"/>
        </w:rPr>
        <w:t xml:space="preserve"> (F.C.A.)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and various cases where municipal officials have been held liable for negligent advice in zoning and other matters: e.g. Windsor Motors Ltd. v. Powell River (Municipality) </w:t>
      </w:r>
      <w:hyperlink r:id="rId668" w:history="1">
        <w:r>
          <w:rPr>
            <w:rFonts w:ascii="arial" w:eastAsia="arial" w:hAnsi="arial" w:cs="arial"/>
            <w:i/>
            <w:color w:val="0077CC"/>
            <w:sz w:val="20"/>
            <w:u w:val="single"/>
            <w:shd w:val="clear" w:color="auto" w:fill="FFFFFF"/>
            <w:lang w:val="en-US" w:eastAsia="en-US" w:bidi="ar-SA"/>
          </w:rPr>
          <w:t>(1969), 4 D.L.R. (3d) 155</w:t>
        </w:r>
      </w:hyperlink>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68 W.W.R. 173</w:t>
        </w:r>
      </w:hyperlink>
      <w:r>
        <w:rPr>
          <w:rFonts w:ascii="arial" w:eastAsia="arial" w:hAnsi="arial" w:cs="arial"/>
          <w:color w:val="000000"/>
          <w:sz w:val="20"/>
          <w:lang w:val="en-US" w:eastAsia="en-US" w:bidi="ar-SA"/>
        </w:rPr>
        <w:t xml:space="preserve"> (B.C.C.A.), and Jung v. Burnaby (District), </w:t>
      </w:r>
      <w:hyperlink r:id="rId669" w:history="1">
        <w:r>
          <w:rPr>
            <w:rFonts w:ascii="arial" w:eastAsia="arial" w:hAnsi="arial" w:cs="arial"/>
            <w:i/>
            <w:color w:val="0077CC"/>
            <w:sz w:val="20"/>
            <w:u w:val="single"/>
            <w:shd w:val="clear" w:color="auto" w:fill="FFFFFF"/>
            <w:lang w:val="en-US" w:eastAsia="en-US" w:bidi="ar-SA"/>
          </w:rPr>
          <w:t>[1978] 6 W.W.R. 670</w:t>
        </w:r>
      </w:hyperlink>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91 D.L.R. (3d) 592</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It was noted that in Spinks, Linden J.A. observed (at p. 230 of that decision) that a failure to disclose material information may be just as misleading as a positive misstatement.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In determining whether there was a "special relationship" giving rise to the duty of care, Molloy J. said that it is relevant to consider the context in which the advice was given and that a contractual relationship is a supporting factor: BG Checo International Ltd. v. British Columbia Hydro &amp; Power Authority, </w:t>
      </w:r>
      <w:hyperlink r:id="rId670"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learned judge distinguished between routine or casual enquiries of a government employee, which might not be sufficient to give rise to a duty, and the scenario where there is a situation of importance and clear reliance on the government for assistance (para. 157).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Molloy J. then analyzed at some length the decision of the New Zealand Court of Appeal in Meates, supra, which he characterized as having "striking parallels to the case before me" (at para. 163).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Justice Molloy referred to the distinction in the cases between the exercise of government discretion on a matter of policy and government action that is properly characterized as operational. In the case of the former, the government action is outside the scope of any private law duty of care. In the case of the latter, there is no exemption from tort liability: Just v. British Columbia, </w:t>
      </w:r>
      <w:hyperlink r:id="rId671"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64 D.L.R. (4th) 689</w:t>
        </w:r>
      </w:hyperlink>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41 B.C.L.R. (2d) 350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Finally, Justice Molloy concluded (at para. 169) that: "cases involving the giving of advice or information by government employees have typically been regarded as operational."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Here the plaintiff relies as well on the decision in Meates.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headnote to the reported judgment conveniently summarizes the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1972 general election Mr K Meates entered into discussions and correspondence with the Prime Minister, the Minister of Trade and Industry and the Minister of Finance regarding the establishment of industries on the West Coast of the South Island in accordance with the newly-elected Government's policies of regional development. Matai Industries Ltd was incorporated on 9 July 1973 with a share capital of $1 million. One factory commenced operations in Westport before the company was formally incorporated, and four factories were officially opened by the Prime Minister in November 1973. By the time of the official opening the company had a serious cash flow problem. The Government had guaranteed the company's bank account and financial assistance had been provided through the Development Finance Corporation; but the Government subsidies expected by Matai had not been forthcoming. The Government was adamant that there should be no retrenchment and appointed a receiver on 19 February 1974. But on 24 September 1974 a decision was made to sell the assets of the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shareholders brought an action against the Government claiming damages of $1 million on the grounds, inter alia, (1) that the Government was in breach of a contract made on 12 April 1973 for the supply of services and the provision of regional development assistance to the company; (2) that the plaintiffs had been induced by negligent statements or advice from the Prime Minister and other Ministers to establish the company to assist the Government with its regional development programme; and (3) that once the company got into financial difficulties the Minister of Trade and Industry had assured the plaintiffs that if they acceded to the appointment of a receiver their interests would be safeguarded and they would be indemnified; relying on these assurances, they had not taken normal commercial steps to safeguard their own position and consequently had lost the whole of the shareholders' funds.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plaintiff's allegation in item (3) above relied in large measure on a press statement issued jointly by the company and the government on the appointment of the receiver/manager: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Government's prime objective on the West Coast is to secure the establishment of viable industries which provide employment for the people of the region.] Both the Government and the directors re-affirmed their confidence in the continuation of this industry on the West Coast in order to ensure the continued employment of staff and the growth of the region. They assured employees, creditors and shareholders that their interests would be safeguarded and that with the full support of both the Government and the directors every effort would be made to successfully reconstruct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majority in the Court of Appeal said this in concluding that a duty of care was owed the plaintiffs by the government (after referring to the statement of principle of Lord Wilberforce in Anns (at 334-335)):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And when it is applied in the present case we are left in no doubt that the correspondence of purpose of the parties in developing the new Matai venture on the West Coast and the kind of practical alliance in which they joined to promote it resulted in such a "relationship of proximity or neighbourhood" that a clear duty on the Government to be careful in its predictions of official help or the advice given or the statements made to the shareholders was amply indicated.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it be accepted for the present purpose of analysing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 of action that the negotiations for Government assistance in the form of grants or subsidies had not reached the stage of placing contractual responsibilities upon the Government in all the areas alleged by the appellants there had still been some areas of agreement. The guarantee of bank accommodation had been executed, for example. In addition the loan had been arranged in respect of the resin purchase. And, even assuming the absence of any contractual commitment in the area of freight charges, there was at least an understanding in principle that help would be given. Furthermore the parties had been attempting to pull together and were closely engaged in all these discussions for more than a year. In the Junior Books case Lord Fraser was much influenced by a relationship between the parties which he said fell "only just short of a direct contractual relationship": at p 204. Lord Brandon delivered a speech in which he disagreed on the second question as to whether there were considerations that would negative a duty of care; but at the first stage of inquiry defined by Lord Wilberforce in the Anns case he considered like Lord Fraser and by reason of the same contractual environment that it was "difficult to imagine a greater degree of proximity": at p 217. The general background and the facts of the Junior Books case are quite different from the facts of the present case but in our opinion the degree of proximity and the common interest of the parties in the Matai venture was equally close and for the same kind of reasons. It was intended to be and put forward as a united effort with a shared purpose. In addition the reliance and even dependence of the Meates group on the information it was getting from the Government was self-evident.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majority then considered whether there were any circumstances negativing the duty of care and, in particular, whether the political interest of the government was relevant (at 335):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the present case the stake of each of the parties in supporting industrial development on the West Coast and the other matters mentioned are certainly sufficient to give rise to the duty of care. So the rather artificial point raised is whether the political or socio-economic interest of the Government in stimulating the Matai venture should be regarded as something which diminished or negated its responsibility to handle with due care its side of the association and in particular the inquiries that were made. There can be only one answer to that proposition. The Government interest in the project was clearly no less powerful, being a political commitment, than the conventional implications of money for business people in a purely commercial setting. At the same time it was pursuing important social objectives for the region. Furthermore it was both a situation where the likelihood of the translation of policy into action was peculiarly within Government knowledge and entirely under Government control and also one where it was essential for the shareholders to know whether they could responsibly embark upon and later continue with the mission. On both sides it was always realised that it was not commercially viable except on the basis of the assistance held out in the policy statements generally and in direct discussions with the Ministers concerned. And as matters progressed it became even more obvious and important for the Meates group to know exactly where they stood in that matter of Government support, something that could be resolved only by the Government. In this situation the absence of some financial or professional interest in the transaction could not possibly negate or diminish the duty of care which arose for the reasons mentioned in the preceding part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That reference to the cases provides, I think, sufficient context within which to analyze the plaintiff's claim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turn to discuss its alternative theories of liability in contract and breach of fiduciary duty.</w:t>
      </w:r>
      <w:r>
        <w:rPr>
          <w:rFonts w:ascii="arial" w:eastAsia="arial" w:hAnsi="arial" w:cs="arial"/>
          <w:sz w:val="20"/>
          <w:lang w:val="en-US" w:eastAsia="en-US" w:bidi="ar-SA"/>
        </w:rPr>
        <w:cr/>
      </w:r>
    </w:p>
    <w:p>
      <w:pPr>
        <w:numPr>
          <w:numId w:val="3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plaintiff's claim in contract has two alternative bases. The first claims the existence of an express contractual duty on the part of the crown to correct the legal deficiencies in the Green Mountain Road alignment so as to assure public access to the resort appropriate to the use and development of the resort in accordance with the master plan, and in that context "assured appropriate access" means a public highway from both Highway 97 and Highway 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Here the plaintiff relies on clauses 18.01 and 19.01 of the First and Second Development Agreements,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Those sections state that the province will "perform such further acts and execute all further documents as may be required from time to time to give effect to the intent of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plaintiff cites the discussion on further assurance clauses found in Behind and Beyond Boilerplate: Drafting Commercial Agreements, Elderkin &amp; Doi (Toronto: Carswell, 1998) where the authors observe (at 233):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Interestingly, no cases actually provide a clear definition of the term "further assurances." What that term will require depends largely on the wording of the relevant further assurances clause and the facts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Earlier the authors state (at 226):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basic intent and purpose of the further assurances provision is to obligate one or more of the contracting parties to do such things and execute such documents as are necessary to ensure the purpose of their agreement is carried out and fulfilled, and to cure, if necessary, any defect in the transaction contemplated by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Alternatively, the plaintiff submits that such an obligation on the part of the province should be implied into the development agreement to give it commercial efficacy.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Here the plaintiff relies upon (amongst others):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M.J.B. Enterprises Ltd. v. Defence Construction (1951) Ltd., </w:t>
      </w:r>
      <w:hyperlink r:id="rId672" w:history="1">
        <w:r>
          <w:rPr>
            <w:rFonts w:ascii="arial" w:eastAsia="arial" w:hAnsi="arial" w:cs="arial"/>
            <w:i/>
            <w:color w:val="0077CC"/>
            <w:sz w:val="20"/>
            <w:u w:val="single"/>
            <w:shd w:val="clear" w:color="auto" w:fill="FFFFFF"/>
            <w:lang w:val="en-US" w:eastAsia="en-US" w:bidi="ar-SA"/>
          </w:rPr>
          <w:t>[1999] 1 S.C.R. 619</w:t>
        </w:r>
      </w:hyperlink>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170 D.L.R. (4th) 577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Canadian Pacific Hotels Ltd. v. Bank of Montreal, </w:t>
      </w:r>
      <w:hyperlink r:id="rId673" w:history="1">
        <w:r>
          <w:rPr>
            <w:rFonts w:ascii="arial" w:eastAsia="arial" w:hAnsi="arial" w:cs="arial"/>
            <w:i/>
            <w:color w:val="0077CC"/>
            <w:sz w:val="20"/>
            <w:u w:val="single"/>
            <w:shd w:val="clear" w:color="auto" w:fill="FFFFFF"/>
            <w:lang w:val="en-US" w:eastAsia="en-US" w:bidi="ar-SA"/>
          </w:rPr>
          <w:t>[1987] 1 S.C.R. 711</w:t>
        </w:r>
      </w:hyperlink>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40 D.L.R. (4th) 385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Moorcock (1889), 14 P.D. 64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Shirlaw v. Southern Foundries (1926), Limited, [1939] 2 K.B. 206 (C.A.), aff'd [1940] A.C. 701 (H.L.);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Head v. Scott-Bathgate Ltd. </w:t>
      </w:r>
      <w:hyperlink r:id="rId674" w:history="1">
        <w:r>
          <w:rPr>
            <w:rFonts w:ascii="arial" w:eastAsia="arial" w:hAnsi="arial" w:cs="arial"/>
            <w:i/>
            <w:color w:val="0077CC"/>
            <w:sz w:val="20"/>
            <w:u w:val="single"/>
            <w:shd w:val="clear" w:color="auto" w:fill="FFFFFF"/>
            <w:lang w:val="en-US" w:eastAsia="en-US" w:bidi="ar-SA"/>
          </w:rPr>
          <w:t>(1994), 99 B.C.L.R. (2d) 319</w:t>
        </w:r>
      </w:hyperlink>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54 B.C.A.C. 237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The plaintiff concludes its contract submission by maintaining that the crown is liable in damages for breach of its contract with the plaintiff even though that breach - the failure to provide assured access by invoking the power to resume the disputed portions of Green Mountain Road - was motivated by legitimate policy concerns: Wells v. Newfoundland, </w:t>
      </w:r>
      <w:hyperlink r:id="rId675" w:history="1">
        <w:r>
          <w:rPr>
            <w:rFonts w:ascii="arial" w:eastAsia="arial" w:hAnsi="arial" w:cs="arial"/>
            <w:i/>
            <w:color w:val="0077CC"/>
            <w:sz w:val="20"/>
            <w:u w:val="single"/>
            <w:shd w:val="clear" w:color="auto" w:fill="FFFFFF"/>
            <w:lang w:val="en-US" w:eastAsia="en-US" w:bidi="ar-SA"/>
          </w:rPr>
          <w:t>[1999] 3 S.C.R. 199</w:t>
        </w:r>
      </w:hyperlink>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177 D.L.R. (4th) 73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Duty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Finally, and in the second alternative, the plaintiff founds its claim in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plaintiff summarizes its fiduciary duty argument so:</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To summarize, this obligation arose from the relationship created between the Plaintiffs and the Province by the Development Agreement, a relationship characterized as "almost like a joint venture" between the ski resort owner and the Province. The developer had the money and the Province had the land; the developer could not operate and develop the ski resort without the Province's "significant assistance". It was intended to be put forward as a united effort with a shared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The plaintiff argues that there remains room, on the cases, for a fiduciary duty to arise in a commercial context. Cadbury Schweppes Inc. v. FBI Foods Ltd., </w:t>
      </w:r>
      <w:hyperlink r:id="rId676" w:history="1">
        <w:r>
          <w:rPr>
            <w:rFonts w:ascii="arial" w:eastAsia="arial" w:hAnsi="arial" w:cs="arial"/>
            <w:i/>
            <w:color w:val="0077CC"/>
            <w:sz w:val="20"/>
            <w:u w:val="single"/>
            <w:shd w:val="clear" w:color="auto" w:fill="FFFFFF"/>
            <w:lang w:val="en-US" w:eastAsia="en-US" w:bidi="ar-SA"/>
          </w:rPr>
          <w:t>[1999] 1 S.C.R. 142</w:t>
        </w:r>
      </w:hyperlink>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167 D.L.R. (4th) 577</w:t>
        </w:r>
      </w:hyperlink>
      <w:r>
        <w:rPr>
          <w:rFonts w:ascii="arial" w:eastAsia="arial" w:hAnsi="arial" w:cs="arial"/>
          <w:color w:val="000000"/>
          <w:sz w:val="20"/>
          <w:lang w:val="en-US" w:eastAsia="en-US" w:bidi="ar-SA"/>
        </w:rPr>
        <w:t xml:space="preserve"> (at S.C.R. 163-164) is, in particular, cited.</w:t>
      </w:r>
      <w:r>
        <w:rPr>
          <w:rFonts w:ascii="arial" w:eastAsia="arial" w:hAnsi="arial" w:cs="arial"/>
          <w:sz w:val="20"/>
          <w:lang w:val="en-US" w:eastAsia="en-US" w:bidi="ar-SA"/>
        </w:rPr>
        <w:cr/>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 repeat the ingredients to the tort as set out in Cognos, supra:</w:t>
      </w:r>
      <w:r>
        <w:rPr>
          <w:rFonts w:ascii="arial" w:eastAsia="arial" w:hAnsi="arial" w:cs="arial"/>
          <w:sz w:val="20"/>
          <w:lang w:val="en-US" w:eastAsia="en-US" w:bidi="ar-SA"/>
        </w:rPr>
        <w:cr/>
      </w:r>
    </w:p>
    <w:p>
      <w:pPr>
        <w:numPr>
          <w:numId w:val="3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3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3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misrepresentation;</w:t>
      </w:r>
    </w:p>
    <w:p>
      <w:pPr>
        <w:numPr>
          <w:numId w:val="3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misrepresentation; and</w:t>
      </w:r>
    </w:p>
    <w:p>
      <w:pPr>
        <w:numPr>
          <w:numId w:val="3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defendant (properly in my view) does not disagree that in the circumstances of the development agreements and the enquiries by the plaintiff as to the status of and plans for Green Mountain Road as a public road, there was a special relationship between the crown and the plaintiff sufficient to found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defendant, however, argues that the plaintiff's case seeks to impose on the crown a duty to disclose confidential cabinet discussions on a matter of high level policy, that such disclosure ought not to be required and that this concern should properly negative the duty of care in applying the second branch of the Anns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The defendant cites Carey v. Ontario, </w:t>
      </w:r>
      <w:hyperlink r:id="rId677" w:history="1">
        <w:r>
          <w:rPr>
            <w:rFonts w:ascii="arial" w:eastAsia="arial" w:hAnsi="arial" w:cs="arial"/>
            <w:i/>
            <w:color w:val="0077CC"/>
            <w:sz w:val="20"/>
            <w:u w:val="single"/>
            <w:shd w:val="clear" w:color="auto" w:fill="FFFFFF"/>
            <w:lang w:val="en-US" w:eastAsia="en-US" w:bidi="ar-SA"/>
          </w:rPr>
          <w:t>[1986] 2 S.C.R. 637</w:t>
        </w:r>
      </w:hyperlink>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35 D.L.R. (4th) 161</w:t>
        </w:r>
      </w:hyperlink>
      <w:r>
        <w:rPr>
          <w:rFonts w:ascii="arial" w:eastAsia="arial" w:hAnsi="arial" w:cs="arial"/>
          <w:color w:val="000000"/>
          <w:sz w:val="20"/>
          <w:lang w:val="en-US" w:eastAsia="en-US" w:bidi="ar-SA"/>
        </w:rPr>
        <w:t>,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In the case at bar, however, the plaintiff is not arguing for some untrammelled right of access to confidential cabinet discussions. Its case is simply that when crown ministers and others are asked questions by a citizen who has a vital commercial interest in the answer, and when the crown deigns to respond to those enquiries, it has a duty to take care to neither negligently mislead nor misrepresent in its answer and to update the citizen when subsequent events make a previous answer untrue or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In my view, the circumstances here do not properly negative the duty of care which is otherwise owed to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Untrue, Inaccurate or Misleading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This requirement and that of "reasonable reliance" are at the heart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 summarize again the essential theory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(and its predecessors) were concerned about assured access to the resort via Green Mountain Road. Through Morten (then of its predecessor) it sought assurances from Premier Vander Zalm. He effectively told them that the government would stop at nothing in maintaining access and that it had a tool (the power of "appropriation") to ensure that result. Minister Messmer encouraged the plaintiff's belief (again through Morten) that government would resume at or shortly after the first sign of trouble. Minister Charbonneau, during a period when government policy was evolving away from the use of the resumptive power, was less than candid with the plaintiff in 1992 (again through Morten and its predecessor).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"sea change" in government policy on dealing with road blockades by aboriginals was completed by July 1993 and in that context, the Harcourt Letter was very inaccurate and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plaintiff submits that the evidence supports a finding that the crown made expressly or implicitly four essentially untrue, inaccurate or misleading representations. They are cast so in counsel's written submission: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Representation No.1: "Green Mountain Road was a public highway to which the public was entitled to continuous access"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Representation No.2: "There is a dispute (or issue) with the Penticton Indian Band concerning the alignment of the road as it crossed the Band's Reserve No.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Representation No.3: "The Government intended to resolve the right-of-way problem on the green [sic] Mountain Road, by negotiation if possible and by exercising its right of resumption if necessary"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Representation No.4: "The Government fully intended to use all legal rights available to it to remove any blockades of the Road, and no policy existed that would constrain the use of the Government's legal powers to rectify any deficiency in its legal position relative to the Road, or to remove any blockades that impeded access along the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[Bolding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It will be seen that representations 3 and 4 arise only inferentially (at the plaintiff's urging) from the course of discussions and correspondence between the parties between 1991 and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Does the record bear out the plaintiff's theory? In my view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 begin by parsing the Vander Zalm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premier writes on 4 February 1991: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Green Mountain Road issue is one of the last in a long series of complex and difficult negotiations on highway related issues, between the Ministry of Transportation and Highways and the Penticton Indian Band. I am advised by my colleague, the Honourable Rita Johnston, Minister of Transportation and Highways, that appraisals are underway which, when completed, will permit negotiations to commence this winter to acquire an acceptable right-of-way for this road. Should these negotiations fail, the Province has the right to use certain rights reserved in the transfer of the Indian Reserve lands to Canada. I wish to emphasize, however, that there is every reason at this time to think these negotiations will prove fruitful and no effort will be spared by the Province to settle this matter amicably.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first sentence identifies Green Mountain Road as one of the "complex and difficult negotiations on highway related issues" between the MoTH and the Penticton Indian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second sentence notes the preparation of materials necessary to permit the commencement of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third sentence simply says that the province has certain "rights" which it might exercise in the event that negotiations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The fourth sentence stresses that it is expected that the negotiations will "prove fruitful". It is telling that the only assurance of provincial action is that "no effort will be spared by the Province to settle this matter </w:t>
      </w:r>
      <w:r>
        <w:rPr>
          <w:rFonts w:ascii="arial" w:eastAsia="arial" w:hAnsi="arial" w:cs="arial"/>
          <w:color w:val="000000"/>
          <w:sz w:val="20"/>
          <w:u w:val="single"/>
          <w:lang w:val="en-US" w:eastAsia="en-US" w:bidi="ar-SA"/>
        </w:rPr>
        <w:t>amicably</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"Amicably" only reasonably suggests a negotiated solution. It does not include a promise of unilateral action by the province by the exercise of "certain rights reserved in the transfer of the Indian Reserve lands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One must recall that the Vander Zalm Letter was in response to Morten's letter of 11 December 1990 wherein he, in part, asked: ... "What is the Government action plan and timeline if the road is closed without notice by a Native blockade?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Vander Zalm Letter hardly provides the detailed, unequivocal response which Morten was seeking. In my view, it does not bear an interpretation to the effect that the province would in all events exercise its power to resume the disputed portions of Green Mountain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Looking at Morten's conversations with Ivan Messmer, and setting aside the consideration that most of these appear to have taken place on social occasions or otherwise casually, thus precluding a duty of care, they too are general and equivocal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Morten says simply that he and his colleagues were "very encouraged" by Messmer's quoted statement that government "will make every effort to secure a proper right-of-way if the existing right-of-way is found to be in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"Encouraged" does not connote very heavy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Interestingly, it was Morten's apparent understanding as a result of these discussions that if the road or a portion of it was found to be in trespass "the road would simply be relocated so that the road alignment would follow its original path." This is to be contrasted with the plaintiff's assertion that it had a continuing commitment from government that government would exercise its resumptive power under OIC 1036. It is true that Morten's evidence recalled Messmer talking of the right to "appropriate", but Morten does not say that Messmer committed to use that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 turn to Minister Charbonneau's letter of 23 September 1992 to Morten (actually signed on behalf of the minister on 15 October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In his second paragraph, the minister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that the legal status of Green Mountain Road has been an issue between the Ministry and the Penticton Indian Band for many years. The Province and the Band are presently negotiating on several outstanding matters and we are hopeful the Green Mountain Road issue will be included in these negotiations. We are very aware as to the sensitivity of this issue and will endeavour to resolve the matter as quickly as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plaintiff complains that the first sentence is misleading; that the legal status of Green Mountain Road was hardly an "issue" when fully 40 acres of it was in trespass. The first point, in response, is that the 40 acre trespass allegation was soon in the public forum via the article in the Penticton Herald of 9 November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second point is that notwithstanding the apparent facts surrounding the 40 acres in "trespass", the province has maintained, as its legal position, that the road is in its entirety a public road open to the travelling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province has commenced a lawsuit in this court taking that position, and an injunction has issued protecting the status quo of Green Mountain Road pending the trial of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The province cannot be criticized at law for maintaining its legal position and for not publicly "falling on its sword" and conceding the trespass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This particular Charbonneau correspondence simply speaks of negotiations with the Penticton Indian Band and a hoped-for resolution of the access issue. In my view, there is nothing misleading, untrue or inaccurate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In his letter of 18 December 1992, Minister Charbonneau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negotiations that I had mentioned in my previous letter to you are ongoing. Please be assured that my colleagues and I recognize the importance of resolving the issue of the road status. The fact is that some portions of the road on the Penticton Reserve are in dispute.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discussed this situation at length with my colleague, the Honourable Andrew Petter, and my staff and his are working toward a resolution to this outstanding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It is said that the sentence "The negotiations that I had mentioned in my previous letter to you are ongoing." is misleading because, at this time, the Penticton Indian Band had yet to agree to discuss the Green Mountain Road issue. It was in negotiations on an unrelated matter involving the Channel Parkway.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That appears to be so, but the minister is referring to the negotiations discussed in his previous letter and that letter simply indicates that the government hoped that the Green Mountain Road issue would be included in the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 do not conclude that the minister was misleading Mr. Morten in this regard in the December 1992 correspondence. The fact is that the government consistently pressed the Penticton Indian Band at all material times to negotiate the Green Mountain Road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 plaintiff again complains that the suggestion that "portions of the road on the Penticton Reserve are in dispute" is an extreme understatement and that, accordingly, it is misleading. I have already dealt with this submission in the context of Charbonneau's earlier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This brings me to a central submission in the plaintiff's case: that there was a "sea change" in the government's policy on responding to road blockades by First Nations and the use of the resumptive power after the election of the NDP in late 1991 and culminating in the cabinet policy of July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 have concluded that that submission overstates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There is no doubt that the government's taste for resumption under OIC 1036 soured somewhat as its aboriginal policies evolved after 1992, but it is not the case that the Social Credit administration was committed to resumption if necessary and the NDP government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 fact is that in the face of an 80 day blockade in 1990 of Green Mountain Road the government did not resume whereas it did in the cases of the Mount Currie Indian and Boothroyd blockades.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As noted above, in May 1991, during the Social Credit administration, the Deputy Minister of Native Affairs asked the MoTH that "resumption action ... not take place until negotiations have been concluded" with the Penticton Indian Band. And earlier, in November 1990, the Chief Property Agent for the MoTH was "very reluctant" to recommend resumption of Green Mountain Road "... because of the detrimental effect such action will have ..." on other highway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It is true that the Perfection of Title Program was pursued by the ministry under Social Credit and that its priority was apparently greatly reduced under the NDP.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Two points arise on this aspect. First, there is no evidence that the plaintiff had any knowledge of the program or that its existence fed the plaintiff's reliance on the perceived commitment to resume. Second, to the extent that the program is evidence of the Vander Zalm government's commitment to "resumption if necessary", the evidence at trial, through Vince Collins, suggests that the program was driven by ministry staff and no evidence was led suggesting that cabinet had adopted a policy of definite resumption as part of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To the extent that the NDP's enthusiasm for resumption arguably did not match that of Social Credit, that became a matter of discussion in the Penticton Herald article of 9 November 1992, which quotes the MoTH spokesperson as referring to the power of resumption and stating: "But that's a very archaic way of doing things .... That's not the way we do business today. We try to negotiate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And Morten recalled seeing that article at the time that it was published.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The fact is that resumption remains an option, albeit one of last resort, in the policy adopted by cabinet on 14 July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It remains an option today. The plaintiff complains that its invocation is so unlikely that it verges on a certainty that it will never be exercised. I do not conclude that that is so. The government in 1993 made it clear that it had no intention of giving up the power to resume unless it was replaced by a protocol which ensured the binding settlement of disputed road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 fact is that the province was able to negotiate an end to the 1994 blockade and the plaintiff rightly takes no legal issue with the government's conduct in handling that blockade without resort to a resumption. And the road has remained open since then with the benefit of an injunction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Whether the province, if pushed, would or would not resume the disputed portions of Green Mountain Road has never been definitively 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A "sea change" is an apparently magical change, as though brought about by the 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According to Brewer's, the phrase comes from Ariel's song in The Tempest: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Full fathom five thy father lies;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Of his bones are coral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Those are pearls that were his eyes: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Nothing of him that doth fade,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But doth suffer a sea-change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Into something rich and strange.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 evolution of the policy on responding to aboriginal road blockades was gradual and subtle. In my view, the policy as adopted in July 1993 is not categorically different from that which prevailed with Premier Vander Zalm's administration. He too, like the later government, stressed negotiation and "amicable" settlements. No "magical change" in policy is made out on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This leaves for resolution one of the most troubling aspects of this case. I referred to it earlier when I described it as the juxtaposition of government's concern for the garnet mine proponents with its communication with the plaintiff, especially through the Harcourt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I have concluded that in the circumstances there was nothing legally inappropriate in the government's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Cabinet, as the evidence of Minister Cashore makes plain, was reticent to issue a certification for the garnet mine in light of the band's threat to blockade Green Mountain Road in opposition to the mine. But it was so motivated because of the specific threat by the band in specific opposition to the mine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It is necessary to analyze the province's position in respect of the Apex resort at this time by reference again to the Harcourt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In that letter, the premier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that over the past months Apex Resort and the Penticton Indian Band have had several meetings in an attempt to resolve issues that the Band has raised in regard to the resort development. I also understand that at the request of the Penticton Indian Band, Apex agreed to a three week delay in construction to allow the two parties to consider how best to resolve their respective differences. I know that Apex and the Penticton Indian Band have devoted time and effort to resolving these matters, and it is regrettable that no resolution has been reached at this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want to assure you that the provincial government remains committed to assisting the Resort and the Band in working towards a resolution of the issues surrounding the proposed expansion. I know that provincial government staff have been in contact with you, the local government in Penticton, and with other interested parties to encourage continued discussion of issues and work towards a resolution of this dispute. I understand staff have also offered to meet with the Band, the resort and the local government in order to exchange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In the case of the plaintiff, the government was not about to issue a permit authorizing it to proceed with a new development. That development was already contemplated by the Second Development Agreement and the plaintiff had already announced the expansion in April,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In the case of the plaintiff, the government was dealing with a party which already knew of the band's opposition to its expansion plans and which was then engaged in ongoing discussions with the band in an effort to resolve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It is said that Premier Harcourt did not make clear that the likelihood of the province exercising the power of resumption was at that time virtually nil. On Minister Cashore's evidence (extracted above) that might have been so. But Premier Harcourt did not represent that the province would resume. He undertook (putting the plaintiff's case at its highest) to take "appropriate steps ... to remedy the situation" "if groups or individuals persist in blocking road traffic ...". And, again, the plaintiff takes no issue with the steps the province actually took in resolving the 1994 blockade.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To conclude on this aspect, I have determined that the Vander Zalm Letter did not amount to an assurance that the province would resume the disputed portions of Green Mountain Road if necessary, and the Harcourt Letter did not mislead by failing to disclose a dramatic shift in government policy. Rather than a "sea change" in government policy, I conclude that there had been a modest change in the ship of state's tack.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Reasonable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The plaintiff's case in negligent misrepresentation suffers further upon a consideration of the reliance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It is here that the evidence of what the plaintiff, through its officers and employees, knew, and when it knew it, is of most 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I have recited that evidence and it is not necessary to repeat it. In my view, the generality and imprecision of the so-called assurances and representations found in the Vander Zalm Letter, the Messmer comments, the Charbonneau correspondence and the Harcourt Letter provide scant support for the heavy reliance which the plaintiff alleges it placed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While I do not go so far as to say that these letters and statements serve up a bit of placatory pabulum, I do say that they are thin gruel indeed with which to nurture the plaintiff's critical reliance in the expenditure of millions of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The fact is, and I so find, that the plaintiff, at all material times, was aware of the seriousness of the Green Mountain Road issue and the strong opposition of the Penticton Indian Band to its planned expansion.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I find that it appreciated the access risks it faced before it acquired control of the resort and again immediately after it initially announced its expansion plans. I find that nothing the government did or said misled the plaintiff or caused it to make an investment which it would not otherwise have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The plaintiff was alive to the risk and voluntarily assumed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It rightly expected government to eventually solve the problem, but in that regard it is simply like all other British Columbians - it may reasonably expect government to solve problems which make commerce untenable, but its remedy, in the event that government does not, is at the ballot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I conclude this aspect of the case by recalling Betts' letter to Premier Harcourt of 2 May 1994 which I have reproduced above. One may ask why, if the Vander Zalm and Harcourt Letters were so clear in the promise of assured access, would the plaintiff have found it necessary to write that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In it, Betts wants to discuss with government "long term resort access ...." He says "If we are unable to satisfactorily secure the foregoing at an early date, it is expected that we may be forced to reconsider any further operation of Apex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The evidence discloses no response from Premier Harcourt, yet the plaintiff continued to press its expansion of the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In light of my conclusions on requirements (2) and (4) from Cognos, it is not necessary to discuss requirement (5), that of the requirement of detrimental reliance and the difficult question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xml:space="preserve">  Before I leave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 should note that the plaintiff's reliance on the Charbonneau correspondence as an important focus arose late in the day after the trial was well under way. This led to the plaintiff's application during argument to amend its statement of claim to particularize the Charbonneau correspondence as part of the claim in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The crown vigorously opposed that amendment and I reserved my decision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In the context of the late disclosure of essential documents by the defendant - I attach no blame for that as the case developed for both parties a "bit on the fly" - I am satisfied that the plaintiff has adequately explained the lateness for the amendment. In the circumstances, I have noted no real prejudice to the defendant and, accordingly, I allow the amendment.</w:t>
      </w:r>
      <w:r>
        <w:rPr>
          <w:rFonts w:ascii="arial" w:eastAsia="arial" w:hAnsi="arial" w:cs="arial"/>
          <w:sz w:val="20"/>
          <w:lang w:val="en-US" w:eastAsia="en-US" w:bidi="ar-SA"/>
        </w:rPr>
        <w:cr/>
      </w:r>
    </w:p>
    <w:p>
      <w:pPr>
        <w:numPr>
          <w:numId w:val="4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As I have indicated, the plaintiff's primary submission is that the further assurances clause in the Second Development Agreement imposes an express obligation on the province to take such steps as are necessary to ensure public access via Green Mountain Road to the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Clause 19.01 requires the province to "perform such further acts and execute all further documents as may be required from time to time to give effect to the intent of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That of course prompts the enquiry: What is the intent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As a preliminary point, I note, as did the defendant, that the Second Development Agreement is between the province and Apex 1988, which in turn has been succeeded by Apex Mountain Resort Ltd. The plaintiff, Apex Resorts Corporation, is not a party to the agreement and cannot therefore complain of a breach of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However, in light of the conclusion which I have reached on this aspect of the matter, it is not necessary to distinguish any further between the claims of the two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Recitals A and B of the agreement describe the essential transaction between the parties:</w:t>
      </w:r>
      <w:r>
        <w:rPr>
          <w:rFonts w:ascii="arial" w:eastAsia="arial" w:hAnsi="arial" w:cs="arial"/>
          <w:sz w:val="20"/>
          <w:lang w:val="en-US" w:eastAsia="en-US" w:bidi="ar-SA"/>
        </w:rPr>
        <w:cr/>
      </w:r>
    </w:p>
    <w:p>
      <w:pPr>
        <w:numPr>
          <w:numId w:val="4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Apex operates a recreational ski development on land that is owned by the Province, a part of which is designated as a recreation area under the Park Act, and has submitted a detailed proposal to the Province for the future expansion of the development;</w:t>
      </w:r>
    </w:p>
    <w:p>
      <w:pPr>
        <w:numPr>
          <w:numId w:val="4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has agreed to permit Apex to continue to carry on its operations and to carry out the expansion of its development on the terms and conditions herein contained.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Clause 2.01 outlines that it is the policy of the province "to encourage the economic development of ski facilities and related resort development ... and to allocate lands owned by it to this use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Clause 2.02 describes the general framework of the agreement whereby the province permits "Apex" to develop the resort by constructing "Recreation Improvements" (i.e. the lifts, day skier facilities, parking, ski trails and the like) and by developing the "Base Area" to provide commercial and residential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As "Recreation Improvements" are developed, the province is obligated to grant various forms of tenure to "Apex" to secure the latter's interest in the lands associated with any particular recreation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Article V of the agreement contemplates three forms of tenure: a lease, a right of way and a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Each form of tenure document is attached as a schedule to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The express terms of the tenure agreements are critical. In each, it is made clear that the province is "under no obligation to provide access to the Land (covered by the tenure) or to maintain or improve existing or future access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"Recreation Improvements" in existence at the time of execution of the Second Development Agreement are covered by Article X, and it is there provided that tenures in the form of the prescribed lease, right of way or license will be issued by the province in respect of those improvements.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In my view, it is telling that the various forms of tenure designed to secure the necessary interests in land for Apex, in respect of the improvements it was required to construct and operate under the agreement, all place the risk of access on Apex.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They expressly negative any obligation on the part of the province to provide or maintain access to the improvements. And I take that to mean and include general highway access like that along Highway 3A or Green Mountain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These express provisions, in my view, preclude one from interpreting clause 19.01 as including the positive access obligation urged by the plaintiff as part of the further assurances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xml:space="preserve">  As to fee simple crown grants, these are contemplated as being issued by the province under Article XV to facilitate base development for commercial and residential accommodation. The form of crown grant is not attached, but reference is made to the necessity for an application by Apex for a grant under the Land Act, </w:t>
      </w:r>
      <w:r>
        <w:rPr>
          <w:rFonts w:ascii="arial" w:eastAsia="arial" w:hAnsi="arial" w:cs="arial"/>
          <w:i/>
          <w:color w:val="000000"/>
          <w:sz w:val="20"/>
          <w:lang w:val="en-US" w:eastAsia="en-US" w:bidi="ar-SA"/>
        </w:rPr>
        <w:t>R.S.B.C. 1996, c. 245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That then places Apex on the same footing as any other crown grant applicant in British Columbia, and a perusal of the Land Act discloses (not surprisingly) no express obligation on the crown to provide access to lands which are the subject of a crown grant and it would be extraordinary to seek to imply any such general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I accept the submission of the province that clause 19.01 does not extend to require the provision of the assurances which the plaintiff seeks. It much more readily contemplates, for example, that the province will take such steps as are necessary to perfect the granting of tenures under the agreement which is really the crown's primary obligation under the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Other provisions in the Second Development Agreement, in particular clause 19.06, suggest that one should not construe the agreement so as to impose on the province onerous monetary obligations (like an assured access obligation). That clause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19.06</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Nothing in this agreement constitutes an obligation, express or implied, of the Province to use public funds for the construction or maintenance of any part of the development contemplated herein.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Clause 19.09 suggests that the province, as represented by the Ministry of Lands, is not undertaking any positive obligation to ensure that all aspects of the development can proceed. In other words, it militates against an interpretation that the agreement guarantees that the crown, in all of her ministerial manifestations, is bound to advance the development. That clause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19.09 The obligation of the Province to grant a Tenure or to sell Crown Land located within a provincial forest to Apex is subject to the Crown Land being removed from the provincial forest pursuant to the Forest Act. The Ministry of Crown Lands will assist Apex in making the necessary application for removal of the Crown Land from the provincial forest.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In the alternative, the plaintiff urges that a term requiring the province to provide assured access is to be implied into the Second Development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xml:space="preserve">  Having found that the agreement expressly negatives such an obligation, at least with respect to road access to "Recreation Improvements", obviously one cannot imply such an obligation: see Salmon Arm Pharmacy Ltd. v. R.P. Johnson Construction Ltd, </w:t>
      </w:r>
      <w:hyperlink r:id="rId678" w:history="1">
        <w:r>
          <w:rPr>
            <w:rFonts w:ascii="arial" w:eastAsia="arial" w:hAnsi="arial" w:cs="arial"/>
            <w:i/>
            <w:color w:val="0077CC"/>
            <w:sz w:val="20"/>
            <w:u w:val="single"/>
            <w:shd w:val="clear" w:color="auto" w:fill="FFFFFF"/>
            <w:lang w:val="en-US" w:eastAsia="en-US" w:bidi="ar-SA"/>
          </w:rPr>
          <w:t>[1994] 9 W.W.R. 214</w:t>
        </w:r>
      </w:hyperlink>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94 B.C.L.R. (2d) 169</w:t>
        </w:r>
      </w:hyperlink>
      <w:r>
        <w:rPr>
          <w:rFonts w:ascii="arial" w:eastAsia="arial" w:hAnsi="arial" w:cs="arial"/>
          <w:color w:val="000000"/>
          <w:sz w:val="20"/>
          <w:lang w:val="en-US" w:eastAsia="en-US" w:bidi="ar-SA"/>
        </w:rPr>
        <w:t xml:space="preserve"> (C.A.),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But apart from my finding of an express denial of such an obligation in the agreement, I do not believe it to be appropriate to imply such a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M.J.B. Enterprises Ltd., supra, is a recent decision of the Supreme Court of Canada which discusses this aspect of contract law. Justice Iacobucci for the court dealt with implied terms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mentioned, LeDain J. stated in Canadian Pacific Hotels Ltd., supra, that a contractual term may be implied on the basis of presumed intentions of the parties where necessary to give business efficacy to the contract or where it meets the "officious bystander" test. It is unclear whether these are to be understood as two separate tests but I need not determine that here. What is important in both formulations is a focus on the intentions of the </w:t>
      </w:r>
      <w:r>
        <w:rPr>
          <w:rFonts w:ascii="arial" w:eastAsia="arial" w:hAnsi="arial" w:cs="arial"/>
          <w:color w:val="000000"/>
          <w:sz w:val="20"/>
          <w:u w:val="single"/>
          <w:lang w:val="en-US" w:eastAsia="en-US" w:bidi="ar-SA"/>
        </w:rPr>
        <w:t>actual</w:t>
      </w:r>
      <w:r>
        <w:rPr>
          <w:rFonts w:ascii="arial" w:eastAsia="arial" w:hAnsi="arial" w:cs="arial"/>
          <w:color w:val="000000"/>
          <w:sz w:val="20"/>
          <w:lang w:val="en-US" w:eastAsia="en-US" w:bidi="ar-SA"/>
        </w:rPr>
        <w:t xml:space="preserve"> parties. A court, when dealing with terms implied in fact, must be careful not to slide into determining the intentions of </w:t>
      </w:r>
      <w:r>
        <w:rPr>
          <w:rFonts w:ascii="arial" w:eastAsia="arial" w:hAnsi="arial" w:cs="arial"/>
          <w:color w:val="000000"/>
          <w:sz w:val="20"/>
          <w:u w:val="single"/>
          <w:lang w:val="en-US" w:eastAsia="en-US" w:bidi="ar-SA"/>
        </w:rPr>
        <w:t>reasonable</w:t>
      </w:r>
      <w:r>
        <w:rPr>
          <w:rFonts w:ascii="arial" w:eastAsia="arial" w:hAnsi="arial" w:cs="arial"/>
          <w:color w:val="000000"/>
          <w:sz w:val="20"/>
          <w:lang w:val="en-US" w:eastAsia="en-US" w:bidi="ar-SA"/>
        </w:rPr>
        <w:t xml:space="preserve"> parties. This is why the implication of the term must have a certain degree of obviousness to it, and why, if there is evidence of a contrary intention, on the part of either party, an implied term may not be found on this basis. As G.H.L. Fridman states in The Law of Contract in Canada (3d ed. 1994), at p. 476: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determining the intention of the parties, attention must be paid to the express terms of the contract in order to see whether the suggested implication is necessary and fits in with what has clearly been agreed upon, and the precise nature of what, if anything, should be implied.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An assured access provision, lasting in perpetuity, requiring the province to take legislative or regulatory action and subjecting it to a monetary obligation of uncertain magnitude, has no "obviousness" to it in the context of any realistic view of the relationship between government and a commercial operation. Indeed, I would say that a term expressly denying such an obligation would be a much more obvious request if one had asked, at least the province, at the time of the preparation of the Second Development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Having reached this conclusion, it is not necessary to discuss the defendant's alternative submission concerning the policy constraints against implying terms which require a government to undertake future legislative action.</w:t>
      </w:r>
      <w:r>
        <w:rPr>
          <w:rFonts w:ascii="arial" w:eastAsia="arial" w:hAnsi="arial" w:cs="arial"/>
          <w:sz w:val="20"/>
          <w:lang w:val="en-US" w:eastAsia="en-US" w:bidi="ar-SA"/>
        </w:rPr>
        <w:cr/>
      </w:r>
    </w:p>
    <w:p>
      <w:pPr>
        <w:numPr>
          <w:numId w:val="4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Duty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I have earlier quoted from the plaintiff's submission its essential argument under this head. The fiduciary duty obligation owed is characterized as an obligation to correct the legal deficiencies to title over Green Mountain Road through Indian Reserve No. 1 so as to ensure public access to the resort as developed under the master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The duty is said to arise out of the relationship between the plaintiff and the province under the Second Development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The plaintiff characterizes this relationship as "almost like a joint venture" and so invokes the law of fiduciary duty developed in the context of joint venture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I observe, sub limine, that the Second Development Agreement expressly provides, in clause 19.03, that nothing in it constitutes Apex the agent, joint venturer or partner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xml:space="preserve">  That aside, the modern scope of fiduciary relationships was the subject of comment by the Court of Appeal in A.(C.) v. C. (J.W.) </w:t>
      </w:r>
      <w:hyperlink r:id="rId679" w:history="1">
        <w:r>
          <w:rPr>
            <w:rFonts w:ascii="arial" w:eastAsia="arial" w:hAnsi="arial" w:cs="arial"/>
            <w:i/>
            <w:color w:val="0077CC"/>
            <w:sz w:val="20"/>
            <w:u w:val="single"/>
            <w:shd w:val="clear" w:color="auto" w:fill="FFFFFF"/>
            <w:lang w:val="en-US" w:eastAsia="en-US" w:bidi="ar-SA"/>
          </w:rPr>
          <w:t>(1998), 60 B.C.L.R. (3d) 92</w:t>
        </w:r>
      </w:hyperlink>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113 B.C.A.C. 248</w:t>
        </w:r>
      </w:hyperlink>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166 D.L.R. (4th) 475</w:t>
        </w:r>
      </w:hyperlink>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42 R.F.L. (4th) 427</w:t>
        </w:r>
      </w:hyperlink>
      <w:r>
        <w:rPr>
          <w:rFonts w:ascii="arial" w:eastAsia="arial" w:hAnsi="arial" w:cs="arial"/>
          <w:color w:val="000000"/>
          <w:sz w:val="20"/>
          <w:lang w:val="en-US" w:eastAsia="en-US" w:bidi="ar-SA"/>
        </w:rPr>
        <w:t>, 43 C.C.L.T. (2d) 233, 184 W.A.C. 248.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Chief Justice McEachern observed at paragraph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relating to fiduciary duty arose out of the responsibility assumed by everyone who undertakes to act for another to act honestly and loyally, and not to profit personally from that responsibility except, of course, for proper remuneration. Until recently, this remedy was used for the purpose of requiring disloyal agents to disgorge secret or unlawful profits. Quite recently, fiduciary law has been extended to cover a myriad of circumstances usually but not always related to the law of trusts. In a speech delivered in 1988 to a Canadian - Australian legal-judicial exchange in Canberra, Mason C.J.A. commented humorously, but with considerable accuracy, that: "All Canada is divided into three parts: those who owe fiduciary duties, those to whom fiduciary duties are owed, and judges who keep creating new fiduciary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The Chief Justice reviewed the fiduciary duty cases from the Supreme Court of Canada and concluded (at para. 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Applying this approach, I conclude that it would be a principled approach to confine recovery based upon fiduciary duties to cases of the kind where, in addition to other usual requirements such as vulnerability and the exercise of a discretion, the defendant personally takes advantage of a relationship of trust or confidence for his or her direct or indirect personal advantage. This excludes from the reach of fiduciary duties many cases that can be resolved upon a tort or contract analysis, has the advantage of greater certainty, and also protects honest persons doing their best in difficult circumstances from the shame and stigma of disloyalty or dishonesty. In effect, this redirects fiduciary law back towards where it was before this experiment began but with much broader remedies, such as damages, when fiduciary duties are actually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In my view, this case should be resolved upon a tort or contract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I think it is particularly inapt to analyze the province's duty to its citizens (I exclude of course the extraordinary situation of the federal government's relationship with First Nations) in terms of the latter being peculiarly vulnerable or at the mercy of the former which holds both discretion and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The more so because, in the circumstances of this case, there is a commercial, arms-length relationship between the parties and one can expect that if the plaintiff wanted the broad obligation it asserts imposed on the province, it could have bargained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I have concluded that the claim in fiduciary duty must fail.</w:t>
      </w:r>
      <w:r>
        <w:rPr>
          <w:rFonts w:ascii="arial" w:eastAsia="arial" w:hAnsi="arial" w:cs="arial"/>
          <w:sz w:val="20"/>
          <w:lang w:val="en-US" w:eastAsia="en-US" w:bidi="ar-SA"/>
        </w:rPr>
        <w:cr/>
      </w:r>
    </w:p>
    <w:p>
      <w:pPr>
        <w:numPr>
          <w:numId w:val="4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It follows that the plaintiff's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I have considered whether, notwithstanding my conclusion on liability, I should advance to assess damages in the event that I am found to be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The damages phase of this proceeding was very complex. Extremely difficult issues of causation arise. As well, there will be a different measure of damages if the claim succeeds in tort, but not in contract, or vice-versa.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In all of the circumstances, I do not believe that justice will be served by a provisional assessment of damages. If any appeal from this decision directs that I assess damages, I have all of the evidence at hand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It is appropriate that the matter of costs be the subject of submissions from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BAUMAN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I</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Harcourt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September 2,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Rich Morten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President and Director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Apex Alpine Ski Resort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Box 1060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Penticton, British Columbia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V2A 7N7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Dear Mr. Morten: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writing in response to your letter of August 6, 1993 regarding recent events involving Apex Alpine's resort development and an information blockade at the intersection of Green Mountain Road and Apex Mountain Road erected by the Penticton Indian Band and other groups.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understand that over the past months Apex Resort and the Penticton Indian Band have had several meetings in an attempt to resolve issues that the Band has raised in regard to the resort development. I also understand that at the request of the Penticton Indian Band, Apex agreed to a three week delay in construction to allow the two parties to consider how best to resolve their respective differences. I know that Apex and the Penticton Indian Band have devoted time and effort to resolving these matters, and it is regrettable that no resolution has been reached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Regarding roadblocks, I want to assure you that blocking or obstructing an established public highway, such as Highway 3A, is not acceptable to my government. A number of remedial measures may be available if this happens. If groups or individuals persist in blocking road traffic, appropriate steps will be taken to remedy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also want to assure you that the provincial government remains committed to assisting the Resort and the Band in working towards a resolution of the issues surrounding the proposed expansion. I know that provincial government staff have been in contact with you, the local government in Penticton, and with other interested parties to encourage continued discussion of issues and work towards a resolution of this dispute. I understand staff have also offered to meet with the Band, the resort and the local government in order to exchange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was pleased to note that in your press release dated July 9, 1993, you stated "The Company's intentions are to continue addressing topics from financial to environmental perspectives and hope that continued discussions with members of the Penticton Indian Band will result in the reaching of a constructive and mutually beneficial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encourage you to maintain this commitment, despite the difficulties you have recently encountered, and I recommit my government staff to assisting both Apex and the Band in this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Sincerely,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"Mike Harcourt"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Mike Harcourt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Premier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pc</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Honourable Moe Sihota, Minister of Labour and Consumer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Services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Honourable John Cashore, Minister of Environment, Lands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Parks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Honourable Andrew Petter, Minister of Aboriginal Affairs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Honourable Darlene Marzari, Minister of Tourism</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Honourable David Zirnhelt, Minister of Economic</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Development, Small Business and Trade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Honourable Art Charbonneau, Minister of Transportation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Highways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Honourable Bill Barlee, Minister of Agriculture,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Fisheries and Food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Jim Beattie, M.L.A. - Okanagan - Penticton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Jimmie Spencer, Canada West Ski Areas Association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2"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Atco Lumber Ltd. v. Leech, [2006] B.C.J. No. 707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15 - 16,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S050260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707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524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52 C.C.P.B. 131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 E.T.R. (3d) 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149 A.C.W.S. (3d) 920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800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Atco Lumber Ltd., plaintiff, and Keith Leech, Dwayne Leskewitch, Mike Bryce, Tom Getzie, Wade Fisher, Vern McGregor, Dave Tones, and Darrell Wong,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3"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1" w:name="Keywords_42"/>
      <w:bookmarkEnd w:id="281"/>
      <w:r>
        <w:rPr>
          <w:rFonts w:ascii="arial" w:eastAsia="arial" w:hAnsi="arial" w:cs="arial"/>
          <w:b/>
          <w:color w:val="000000"/>
          <w:sz w:val="20"/>
          <w:lang w:val="en-US" w:eastAsia="en-US" w:bidi="ar-SA"/>
        </w:rPr>
        <w:t>Civil procedure — Judgments and orders — Summary judgments — To dismiss action — Whether genuine issue for trial — The plaintiff's action was dismissed as there was no bona fide triable issue.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Wills, estates &amp; trusts law — Trusts — The settlor — The plaintiff's action was dismissed as there was no bona fide triable issue — No such duty of the type alleged by the plaintiff was owed to it by the trustees — The negotiated trust agreement was not one where there was a fiduciary relationship between the trustees and the participating employers.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2" w:name="Case Summary_38"/>
            <w:bookmarkEnd w:id="2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action was dismissed as there was no bona fide triable issue -- The plaintiff lumber company alleged that the defendant trustees had breached duties owed to it concerning contributions to a long-term disability plan for its employees held in trust -- The defendants applied to strike out the claim, alleging it was plain and obvious on the pleadings that there was no duty owed to the plaintiff as a participating employer -- The defendants claimed to owe no duties to a settlor under the trust, but only to the beneficiaries -- HELD: The plaintiff's action was dismissed as there was no bona fide triable issue -- No such duty of the type alleged by the plaintiff was owed to it by the trustees -- The negotiated trust agreement was not one where there was a fiduciary relationship between the trustees and the participating employers -- The plaintiff sought to impose additional fiduciary obligations including a duty of care and skill in its favour even though it was not a party to the arrangement.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3" w:name="Legislation Cited_25"/>
      <w:bookmarkEnd w:id="28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4"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Labour Relations Code,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4" w:name="Counsel_44"/>
      <w:bookmarkEnd w:id="28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5"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J.J. McIntyre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 Ferris M. Vesely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5" w:name="Judgment_43"/>
      <w:bookmarkEnd w:id="285"/>
      <w:r>
        <w:pict>
          <v:line id="_x0000_s1236" style="position:absolute;z-index:2518548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6" w:name="SIGURDSON J."/>
            <w:bookmarkEnd w:id="286"/>
            <w:r>
              <w:rPr>
                <w:rFonts w:ascii="arial" w:eastAsia="arial" w:hAnsi="arial" w:cs="arial"/>
                <w:b/>
                <w:color w:val="000000"/>
                <w:sz w:val="30"/>
                <w:lang w:val="en-US" w:eastAsia="en-US" w:bidi="ar-SA"/>
              </w:rPr>
              <w:t>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subject matter at the core of this application is a long term disability plan ("LTD Plan") and an accompanying trust fund (the "Trust") established by the Interior Forest Labour Relations Association, the North Caribou Forest Labour Relations Association and Forest Industrial Relations Ltd. (collectively, "the Employer Associations") and the International Woodworkers of America, Western Canadian Regional Council No. 1 ("the Union") for the benefit of Union employees (the "Employees"). The funds collected and disbursed under the LTD Plan are respectively held in and drawn from the Trust. Both the LTD Plan and the Trust are administered by the defendant trustees (the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Atco Lumber Ltd. ("Atco") is one of the employers that contributes to and whose employees are covered by the LTD Plan (a "Participating Employer"). In the underlying action, the plaintiff alleges that the defendants have breached duties owed to it. On this application, the defendants apply under Rules 19(24) and 18(6) to strike out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dispute is whether, pursuant to Rule 19(24)(a), it is plain and obvious on the pleadings that there is no duty owed to the plaintiff as a Participating Employer, or whether, under Rule 18, there is a triable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 Trustees also assert that the plaintiff's complaint, if any, lies with its employer organization, the Interior Forest Labour Relations Association, and the claim should be brought to the Labour Relations Board under the </w:t>
      </w:r>
      <w:r>
        <w:rPr>
          <w:rFonts w:ascii="arial" w:eastAsia="arial" w:hAnsi="arial" w:cs="arial"/>
          <w:b/>
          <w:i/>
          <w:color w:val="000000"/>
          <w:sz w:val="20"/>
          <w:lang w:val="en-US" w:eastAsia="en-US" w:bidi="ar-SA"/>
        </w:rPr>
        <w:t>Labour Relations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For the reasons that follow, I find that there is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and the action must be dismissed under Rule 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ALLEGATIONS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statement of claim, the plaintiff is said to be a company based in Fruitvale, British Columbia. The defendants are identified as trustees of the LTD Plan who have accepted appointments to operate, maintain and administer the Trust. The purpose of the LTD Plan is said to be to provide long term disability benefits to the Employees. It is alleged and not disputed that the Trust and LTD Plan were established by an agreement and declaration of trust entered into on June 15, 1982 among the Employer Associations, the Union, and the original Trustees of the Trust and the LTD plan (the "Trust Agreement"). It is asserted that there are four Trustees elected or appointed by the Union, and four among the Employer Associations.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Pursuant to the terms of the LTD Plan and the Trust, the plaintiff, Atco became a Participating Employer in February 1985 by signing an agreement with the then Trustees of the Trust and LTD Plan (the "Participation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statement of claim makes the key allegations in paragraph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Trustees were under certain express or implied duties owed to the trust as well as to the participating employers, and which duties included:</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act honestly and with that level of skill and prudence which would be expected of the reasonable person of business administrating his/her own affairs;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institute measures to weed out fraudulent and/or dubious claims by union members of injury or disability;</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avoid any conflict of interest in the adjudication of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Paragraph 10 acknowledges that only members of the Union are beneficiaries of the Trust and the LTD plan, but asserts that "the Participating Employers are affected by decisions by the Trustees that add to the amount of the financial costs to the Participating Employees of their contributions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Paragraph 11 asserts that there is an administrative cost to Participating Employers for every Union member whose claim is accepted as being entitled to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Paragraph 12 alleges that the Trustees committed the following breaches of their trustee duties starting in 2002:</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terminating the contract of an independent third party adjudicator of claims;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setting up an "in-house" adjudicator of claims known as the Forest Industry Disability Adjudication Service ("FIDAS") with an inherent bias to accepting claims by union members;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establish any or any adequate procedures to weed out fraudulent and dubious claims by union members;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establish guidelines or any adequate guidelines for the hire by FIDAS of adjudicators;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absence of an independent third party adjudicator of claims, failing to establish processes for the disclosure to Participating Employers of information relating to the acceptance of specific claims;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absence of an independent third party adjudicator of claims, failing to provide for procedures to allow Participating Employers to challenge the adequacy or completeness of information leading to the acceptance of specific claims, including rights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paragraph 14 of the statement of claim, it is alleged that by reason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duties by the Trustees, the number of new LTD claims that have been accepted are at an all-time high, and the Participating Employers have suffered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Although Mr. Seminiuk for the plaintiff, Atco and Mr. Dyer, the general manager of FIDAS, have exchanged affidavits that set out facts that go to whether there is any merit to Atco's complaint about the adjudication of claims, it is not, nor was it suggested to be, an issue I could resolve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This application proceeds on a more fundamental level. The plaintiff, Atco alleges that it is owed a fiduciary duty by the Trustees in their administration of the Trust. The plaintiff acknowledges that the only beneficiaries to the Trust are the Union employees. As a contributor to the Trust, the plaintiff stands in the position similar to that of a settlor. Nevertheless, the plaintiff asserts there is a fiduciary relationship between the Trustees and the Participating Employers. The plaintiff argues that the fundamental duty of this relationship, apart from not delegating their office to others or personally profiting, is the third duty described in D.M.W. Waters, </w:t>
      </w:r>
      <w:r>
        <w:rPr>
          <w:rFonts w:ascii="arial" w:eastAsia="arial" w:hAnsi="arial" w:cs="arial"/>
          <w:i/>
          <w:color w:val="000000"/>
          <w:sz w:val="20"/>
          <w:lang w:val="en-US" w:eastAsia="en-US" w:bidi="ar-SA"/>
        </w:rPr>
        <w:t>The Law of Trusts in Canada</w:t>
      </w:r>
      <w:r>
        <w:rPr>
          <w:rFonts w:ascii="arial" w:eastAsia="arial" w:hAnsi="arial" w:cs="arial"/>
          <w:color w:val="000000"/>
          <w:sz w:val="20"/>
          <w:lang w:val="en-US" w:eastAsia="en-US" w:bidi="ar-SA"/>
        </w:rPr>
        <w:t>, 2nd Ed. (Toronto: Carswell, 1984) at p. 690: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trustee must act honestly and with that level of skill and prudence which would be expected of a reasonable man of business administering his own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asserts that it has suffered financially by the failure of the Trustees to exercise "that level of skill and prudence which would be expected of a reasonable man of business administering his own affairs". The plaintiff also asserts that the Labour Relations Board is not the body with jurisdiction to address this matter. Rather, the plaintiff argues, it is the Supreme Court as a court of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counter that the only obligation they owe is to the Trust beneficiaries, not to a settlor under the Trust. In this regard, the defendants assert that a fiduciary duty to Atco in connection with the adjudication of claims or related conduct would conflict with the clear fiduciary duty owed as trustees to the beneficiaries of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Before reviewing the law, I will first review some of the documents in more detail. They are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STRUCTURE OF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Both Participating Employers and Employees contribute to the LTD Plan through the Trust. The relative contributions are established by the collective agreement in force between the Interior Forest Labour Relations Association and Locals 1-405, 1-417 and 1-423 of the Union (the "Collective Agreement"). Article XIX of the Collective Agreement, entitled "Long Term Disability",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Effective October 1, 2000 contributions would be $0.55 per hour per employee, per hour worked, or which the Industry will contribute $0.275 and the Employee will contribute $0.275.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Trust Agreement was made as of June 15, 1982 between the Employer Associations, the Union and the then eight Trustees. The Trust Agreement provides at paragraph 3 of the preamble: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trustees are willing to operate, maintain and administer the said IWA - FORESTRY INDUSTRY LTD. TRUST FUND and the said IWA - FOREST INDUSTRY LTD. PLAN and for such purposes are willing to accept, receive, hold, invest, disperse and otherwise deal with all monies and other property which shall from time to time comprise the said Trust Fund, on the trusts and upon the several terms and conditions hereinafter set forth;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following clauses of the Trust Agreement then set out the terms of the Trust: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1.02 Employer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 "Employer" as used herein shall mean Forest Industrial Relations Limited, Interior Forest Labour Relations Association and North Cariboo Forest Labour Relations Association, collectively, and shall include any and all successors thereof.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1.07 Participating Employer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 "Participating Employer" as used herein shall mean any person, firm or corporation which is required by Collective Agreement [which includes the master agreement covering the plaintiff] to pay to the Trustees monies for the purpose of funding benefits under the Plan and who enters a participation agreement with the Trustees in such form as the Trustees may, from time to time, approve.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[Clause 1.08 defines participating employees]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1.10 Contributions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 "Contributions" ... shall mean those sums of money which are required to be paid to the Trustees from time to time by Participating Employers and by Participating Employees, pursuant to Collective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2.08 Acceptance of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Trustee ..., upon signing this Trust Agreement, or in the case of a Successor Trustee, upon filing of his written acceptance with the Board, shall be deemed to have accepted the trust created and established by this Trust Agreement, to have consented to act as Trustee and to administer the Trust Fund and Plan as provided herein, and shall be vested with all property, rights, powers and duties of a Trustee.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2.10 Resignation, Removal and Replacement of Trustees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Union and the Employer [described as the IFLRA and the other two associations] may each remove from office any Trustee or Trustees respectively appointed by them, and shall each, respectively, appoint a successor Trustee or successor Trustees.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3.02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Trust Fund is created, established and shall be maintained, and the Trustees agree to receive, hold, and administer the same to provide long term disability benefits (hereinafter referred to as the "LTD Benefits") as are set out in the Plan for eligible Participating Employees to provide for eligible Participating Employees such other health and welfare benefits (excluding pension benefits) as the Trustees may, from time to time, decide upon, and to provide for payment of such sums of money, costs, charges and other items of expense as are referred to or set forth in the trust agreement, or which are otherwise proper administration expenses, but for no other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3.03 The Plan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Trustees are hereby authorized, empowered and directed to establish the plan, which shall be consistent with the Trust Agreement, defining LTD benefits to be provided, the conditions of eligibility for such benefits and containing such other terms as the Trustees shall deem necessary to include. The Trustees, may, at any time, and from time to time, change, modify or amend the amount of LTD benefits provided under the Plan and the eligibility rule or rules, as the case may be, provided any such change, modification or amendment shall be consistent with the terms of the Trust Agreement and any such change, modification or amendment may take effect retroactively or otherwise, as the Trustees may consistent with the Trust Agreement, direct...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Clause 3.04 gives the Trustees the power to use and apply the Trust to pay all necessary expenses and costs in connection with the operation of the Trust and the LTD Plan, as well as other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Clause 3.05 speaks of rights in the Trust: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limitations shall apply to the rights to or interests in or use of the trust fund:</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the Employer [defined as the Interior Forest Labour Relations Association, North Caribou Forest Relations Association, and the Forest Industrial Relations Limited] nor the Union, nor any Participating Employer, nor any Participating Employee, nor any other person, firm, association, organization, or corporation shall have any right, title or interest in or to the Trust Fund, save by this agreement expressly provided and save by law provided, PROVIDED HOWEVER, that nothing herein contained shall impair or derogate from the rights of eligible Participating Employees to benefit under the plan;</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part of the corpus or income of the Trust Fund shall be used for or diverted to purposes other than for the exclusive benefits of the Participating Employees, except as otherwise authorized and provided in the Trust Agreement for the payment of necessary expenses in connection with the establishment of the Trust Fund and Plan in Section 3.04 (a), for the compensation of Trustees in Section 2.13, for necessary administration and operating expenses and for such other purposes as are authorized in the Trust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Clause 6.01 deals with the obligation of each Participating Employer to make prompt payment of contributions. It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shall be the duty and obligation of each Participating Employer to pay promptly to the Trustees, or to such person or persons, firm or corporations as the Trustees may, from time to time, direct all Contributions which the Participating Employer is required by the Trustees to pay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1985, the plaintiff Atco Lumber Ltd. was approved for participation on behalf of the Board of Trustees and signed what was called a Participation Agreement. The introduction of this agreement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is made by the undersigned (hereinafter called the "Employer") with the Trustees of the I.W.A. - Forest Industry Ltd. Trust and Plan (hereinafter called the "Trustees") in order to qualify as a Participating Employer as defined in [the] trust document (hereinafter called a "Trust Agreement") pursuant to which the I.W.A. - Forest Industry Ltd. Plan (hereinafter called the "Plan") has been established, and IN CONSIDERATION of the Trustees approving the Employer for participation in the Plan the Employer hereby covenants and agrees with the Trustees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Employer (referring to the Participating Employer) hereby agrees to fully comply with the terms and provisions of s. 6.01 of the Trust Agreement (a copy of which is attached and forms part of this Agreement), and agrees that the Trustees shall have a right of action against the Employer and the right to prosecute legal action against the Employer as provided therein.</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Employer (the Participating Employer) hereby agrees that the Employer is subject to and bound by all the terms and conditions of the said Trust Agreement, as the same may be amended from time to time, and understands that a copy of same is available at the Plan Administrator's office for perusal by the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facts that underlie any possible relationship between the plaintiff, Atco and the defendant Trustees are not in dispute. The issue on this application is whether, under Rule 18, there is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that the Trustees under the Trust Agreement of 1982, as amended from time to time, owe a fiduciary duty to Atco of the type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According to Waters, Gillen, Smith, </w:t>
      </w:r>
      <w:r>
        <w:rPr>
          <w:rFonts w:ascii="arial" w:eastAsia="arial" w:hAnsi="arial" w:cs="arial"/>
          <w:i/>
          <w:color w:val="000000"/>
          <w:sz w:val="20"/>
          <w:lang w:val="en-US" w:eastAsia="en-US" w:bidi="ar-SA"/>
        </w:rPr>
        <w:t>Waters' Law of Trusts in Canada</w:t>
      </w:r>
      <w:r>
        <w:rPr>
          <w:rFonts w:ascii="arial" w:eastAsia="arial" w:hAnsi="arial" w:cs="arial"/>
          <w:color w:val="000000"/>
          <w:sz w:val="20"/>
          <w:lang w:val="en-US" w:eastAsia="en-US" w:bidi="ar-SA"/>
        </w:rPr>
        <w:t>, 3rd ed. (Toronto: Thomson Canada Ltd., 2005) at p. 852, there are three duties that a trustee must fulfill: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obligation which lies at the base of trusteeship has resulted in there being three fundamental duties applicable to all trustees. First, no trustee may delegate his office to others; secondly, no trustee may profit personally from his dealings with the trust property with the beneficiaries or as trustee; thirdly, a trustee must act honestly, and with the skill and prudence which would be expected of the reasonable man of business administering his own affairs. These might be called the "substratum" duties, to which the duties associated with the particular trust are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With respect to the third duty, the Supreme Court of Canada stated in </w:t>
      </w:r>
      <w:r>
        <w:rPr>
          <w:rFonts w:ascii="arial" w:eastAsia="arial" w:hAnsi="arial" w:cs="arial"/>
          <w:b/>
          <w:i/>
          <w:color w:val="000000"/>
          <w:sz w:val="20"/>
          <w:lang w:val="en-US" w:eastAsia="en-US" w:bidi="ar-SA"/>
        </w:rPr>
        <w:t>Fales v. Wohlleben Estate</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[1977] 2 S.C.R. 302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Fales</w:t>
      </w:r>
      <w:r>
        <w:rPr>
          <w:rFonts w:ascii="arial" w:eastAsia="arial" w:hAnsi="arial" w:cs="arial"/>
          <w:color w:val="000000"/>
          <w:sz w:val="20"/>
          <w:lang w:val="en-US" w:eastAsia="en-US" w:bidi="ar-SA"/>
        </w:rPr>
        <w:t>" at 315: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Traditionally, the standard of care and diligence required of a trustee in administering a trust is that of a man of ordinary prudence in managing his own affairs ... and traditionally the standard has applied equally to professional and non-professional trustees. The standard has been of general application and objective though, at times, rigorous.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Atco's counsel argues that the Trustees owe a duty to Atco corresponding to the third duty set out by Waters and discussed in </w:t>
      </w:r>
      <w:r>
        <w:rPr>
          <w:rFonts w:ascii="arial" w:eastAsia="arial" w:hAnsi="arial" w:cs="arial"/>
          <w:b/>
          <w:i/>
          <w:color w:val="000000"/>
          <w:sz w:val="20"/>
          <w:lang w:val="en-US" w:eastAsia="en-US" w:bidi="ar-SA"/>
        </w:rPr>
        <w:t>Fales</w:t>
      </w:r>
      <w:r>
        <w:rPr>
          <w:rFonts w:ascii="arial" w:eastAsia="arial" w:hAnsi="arial" w:cs="arial"/>
          <w:color w:val="000000"/>
          <w:sz w:val="20"/>
          <w:lang w:val="en-US" w:eastAsia="en-US" w:bidi="ar-SA"/>
        </w:rPr>
        <w:t>: to act honestly, and with the skill and prudence which would be expected of the reasonable man of business administering his own affairs. Mr. McIntyre, Atco's counsel, further argues that the duty to preserve the Trust assets does not relieve the Trustees of the obligation of ordinary skill and prudence, which he argues was breached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There is no dispute that the quoted passages of Waters and </w:t>
      </w:r>
      <w:r>
        <w:rPr>
          <w:rFonts w:ascii="arial" w:eastAsia="arial" w:hAnsi="arial" w:cs="arial"/>
          <w:b/>
          <w:i/>
          <w:color w:val="000000"/>
          <w:sz w:val="20"/>
          <w:lang w:val="en-US" w:eastAsia="en-US" w:bidi="ar-SA"/>
        </w:rPr>
        <w:t>Fales</w:t>
      </w:r>
      <w:r>
        <w:rPr>
          <w:rFonts w:ascii="arial" w:eastAsia="arial" w:hAnsi="arial" w:cs="arial"/>
          <w:color w:val="000000"/>
          <w:sz w:val="20"/>
          <w:lang w:val="en-US" w:eastAsia="en-US" w:bidi="ar-SA"/>
        </w:rPr>
        <w:t xml:space="preserve"> accurately set out the duty of trustees. The question in this case is to whom the duty is owed, and in particular, whether it is owed to a Participating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There can be no doubt that a fiduciary duty is owed from the trustees to the beneficiaries of a trust. In this regard, Waters et al. in </w:t>
      </w:r>
      <w:r>
        <w:rPr>
          <w:rFonts w:ascii="arial" w:eastAsia="arial" w:hAnsi="arial" w:cs="arial"/>
          <w:i/>
          <w:color w:val="000000"/>
          <w:sz w:val="20"/>
          <w:lang w:val="en-US" w:eastAsia="en-US" w:bidi="ar-SA"/>
        </w:rPr>
        <w:t>Waters' Law of Trusts in Canada</w:t>
      </w:r>
      <w:r>
        <w:rPr>
          <w:rFonts w:ascii="arial" w:eastAsia="arial" w:hAnsi="arial" w:cs="arial"/>
          <w:color w:val="000000"/>
          <w:sz w:val="20"/>
          <w:lang w:val="en-US" w:eastAsia="en-US" w:bidi="ar-SA"/>
        </w:rPr>
        <w:t>, 3rd ed. states at p.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hallmark of a trust is the fiduciary relationship which the trust creates between the trustee and the beneficiary. The whole purpose of a trustee's existence is to administer property on behalf of another, to hold it exclusively for the other's enjoyment. The express trustee is expected to put the interests of trust and the beneficiaries first in his thinking whenever he is exercising the powers, or performing the duties of, his office. His duty is one of selfless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present case, there is no dispute that the only beneficiaries of the Trust and the LTD Plan are the Employees. It is specifically acknowledged by Mr. McIntyre that the plaintiff is not a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Atco's allegation is rather that the Trustees owe a fiduciary duty to the plaintiff as a Participating Employer or a settlor, including the duty to act honestly and with reasonable skill and 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Apart from the law of trust, the obligations of trustees may arise from the document or the agreement that establishes the trust. Here, there was a contract between the Trustees, the Employer Associations and the Union that established the Trust and the LTD Plan. It was open for the parties to create obligations owed by the Trustees to the plaintiff as a so-called settlor or Participating Employer through the Trust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Froese v. Montreal Trust Co. of Canada</w:t>
      </w:r>
      <w:hyperlink r:id="rId688" w:history="1">
        <w:r>
          <w:rPr>
            <w:rFonts w:ascii="arial" w:eastAsia="arial" w:hAnsi="arial" w:cs="arial"/>
            <w:i/>
            <w:color w:val="0077CC"/>
            <w:sz w:val="20"/>
            <w:u w:val="single"/>
            <w:shd w:val="clear" w:color="auto" w:fill="FFFFFF"/>
            <w:lang w:val="en-US" w:eastAsia="en-US" w:bidi="ar-SA"/>
          </w:rPr>
          <w:t>(1996), 20 B.C.L.R. (3d) 193</w:t>
        </w:r>
      </w:hyperlink>
      <w:r>
        <w:rPr>
          <w:rFonts w:ascii="arial" w:eastAsia="arial" w:hAnsi="arial" w:cs="arial"/>
          <w:color w:val="000000"/>
          <w:sz w:val="20"/>
          <w:lang w:val="en-US" w:eastAsia="en-US" w:bidi="ar-SA"/>
        </w:rPr>
        <w:t xml:space="preserve"> (C.A.), Chief Justice McEachern referred at paragraph 35 to </w:t>
      </w:r>
      <w:r>
        <w:rPr>
          <w:rFonts w:ascii="arial" w:eastAsia="arial" w:hAnsi="arial" w:cs="arial"/>
          <w:b/>
          <w:i/>
          <w:color w:val="000000"/>
          <w:sz w:val="20"/>
          <w:lang w:val="en-US" w:eastAsia="en-US" w:bidi="ar-SA"/>
        </w:rPr>
        <w:t>Schmidt v. Air Products Canada Ltd.</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[1994] 2 S.C.R. 611</w:t>
        </w:r>
      </w:hyperlink>
      <w:r>
        <w:rPr>
          <w:rFonts w:ascii="arial" w:eastAsia="arial" w:hAnsi="arial" w:cs="arial"/>
          <w:color w:val="000000"/>
          <w:sz w:val="20"/>
          <w:lang w:val="en-US" w:eastAsia="en-US" w:bidi="ar-SA"/>
        </w:rPr>
        <w:t>, where Cory J. stated at p. 643: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pension fund is impressed with a trust, that trust is subject to all applicable trust law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Chief Justice McEachern also referred to Dr. Water's work at paragraph 32 and noted that "the indenture is of key importance because it determines the role and duties of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have reviewed the Trust Agreement made in 1982, as amended, and find that there are some contractual obligations on the part of the Trustees. In the preamble of the Trust Agreement, the Trustees are said to be willing to operate, maintain and administer the Trust and the LTD Plan and to conduct affairs on a majority vote basis. Additionally, by signing the Trust Agreement the Trustees consented to act as trustees and administer the Trust and the LTD Plan and to be vested with all property rights, powers and duties of a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recall that the parties to the Trust Agreement were the Unions, the Employer Associations, and the Trustees. The Participating Employers, including Atco, are not parties to this main contract. It was not suggested by Mr. McIntyre that they were entitled to enforce the contract against the Trustees, even assuming there were contractual obligations breached by 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duty under the Trust Agreement owed by the Trustees is a duty that is clearly owed to the beneficiaries. It is not a duty that is owed to the settlor. Although a settlor can reserve rights in a document establishing the trust, that has not occurred here. As noted in </w:t>
      </w:r>
      <w:r>
        <w:rPr>
          <w:rFonts w:ascii="arial" w:eastAsia="arial" w:hAnsi="arial" w:cs="arial"/>
          <w:b/>
          <w:i/>
          <w:color w:val="000000"/>
          <w:sz w:val="20"/>
          <w:lang w:val="en-US" w:eastAsia="en-US" w:bidi="ar-SA"/>
        </w:rPr>
        <w:t>Schmidt</w:t>
      </w:r>
      <w:r>
        <w:rPr>
          <w:rFonts w:ascii="arial" w:eastAsia="arial" w:hAnsi="arial" w:cs="arial"/>
          <w:color w:val="000000"/>
          <w:sz w:val="20"/>
          <w:lang w:val="en-US" w:eastAsia="en-US" w:bidi="ar-SA"/>
        </w:rPr>
        <w:t xml:space="preserve"> and as well in </w:t>
      </w:r>
      <w:r>
        <w:rPr>
          <w:rFonts w:ascii="arial" w:eastAsia="arial" w:hAnsi="arial" w:cs="arial"/>
          <w:b/>
          <w:i/>
          <w:color w:val="000000"/>
          <w:sz w:val="20"/>
          <w:lang w:val="en-US" w:eastAsia="en-US" w:bidi="ar-SA"/>
        </w:rPr>
        <w:t>Buschau v. Rogers Communications Inc.</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(2004), 236 D.L.R. (4th) 18</w:t>
        </w:r>
      </w:hyperlink>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2004 BCCA 80</w:t>
        </w:r>
      </w:hyperlink>
      <w:r>
        <w:rPr>
          <w:rFonts w:ascii="arial" w:eastAsia="arial" w:hAnsi="arial" w:cs="arial"/>
          <w:color w:val="000000"/>
          <w:sz w:val="20"/>
          <w:lang w:val="en-US" w:eastAsia="en-US" w:bidi="ar-SA"/>
        </w:rPr>
        <w:t>, pension plans, which have similarities to this Trust and LTD plan, are subject to all applicable trust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Unless there has been a reservation of rights in favour of the settlor, and none was suggested here, the Trustees' fiduciary duty is owed to the beneficiaries, not to the settlor. Therefore, even assuming that the Participating Employers, because of their continuing contribution, might be considered settlors, in the absence of a reservation of rights, the law does not support the contention that there is an ongoing obligation owed to them by the Trustees. No authority to the contrary was cited to me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 National Trust Co. and Sulpetro Ltd. et al.</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(1990), 66 D.L.R. (4th) 271</w:t>
        </w:r>
      </w:hyperlink>
      <w:r>
        <w:rPr>
          <w:rFonts w:ascii="arial" w:eastAsia="arial" w:hAnsi="arial" w:cs="arial"/>
          <w:color w:val="000000"/>
          <w:sz w:val="20"/>
          <w:lang w:val="en-US" w:eastAsia="en-US" w:bidi="ar-SA"/>
        </w:rPr>
        <w:t xml:space="preserve"> (Alta. C.A.), the court considered a claim by a receiver for the surplus in a pension plan. The court ruled that the original entitlement to the surplus in favour of the employees of the pre-amalgamated company continued. In considering the nature of the documents, the court stated at p. 277-278: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what is the nature of the documents before us? ... The fund established pursuant to the plan was then entrusted to a trustee, whose terms of reference were set out in the trust deed. The character and legal implications of the pension plan and the trust agreement are different and distinct from one another. They are related in purpose since each incorporates and is bound by the 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pension plan regarding the establishment and management of the pension fund and its disposition could be amended as set out in the plan. The trust deed, notwithstanding the incorporation of the provisions of the pension plan, is </w:t>
      </w:r>
      <w:r>
        <w:rPr>
          <w:rFonts w:ascii="arial" w:eastAsia="arial" w:hAnsi="arial" w:cs="arial"/>
          <w:color w:val="000000"/>
          <w:sz w:val="20"/>
          <w:u w:val="single"/>
          <w:lang w:val="en-US" w:eastAsia="en-US" w:bidi="ar-SA"/>
        </w:rPr>
        <w:t>bound by the law of trusts. The trustee is not the agent of the employer, nor of the employees as contributors to the fund, but is the trustee of the fund and answerable to the beneficiaries pursuant to the terms of the trust deed. That is a crucial distinction that must govern the interpretation of each</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[Zuber J.A. in </w:t>
      </w:r>
      <w:r>
        <w:rPr>
          <w:rFonts w:ascii="arial" w:eastAsia="arial" w:hAnsi="arial" w:cs="arial"/>
          <w:b/>
          <w:i/>
          <w:color w:val="000000"/>
          <w:sz w:val="20"/>
          <w:lang w:val="en-US" w:eastAsia="en-US" w:bidi="ar-SA"/>
        </w:rPr>
        <w:t>Re Reevie and Montreal Trust Co. of Canada</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(1986), 25 D.L.R. (4th) 312</w:t>
        </w:r>
      </w:hyperlink>
      <w:r>
        <w:rPr>
          <w:rFonts w:ascii="arial" w:eastAsia="arial" w:hAnsi="arial" w:cs="arial"/>
          <w:color w:val="000000"/>
          <w:sz w:val="20"/>
          <w:lang w:val="en-US" w:eastAsia="en-US" w:bidi="ar-SA"/>
        </w:rPr>
        <w:t xml:space="preserve"> (O.C.A.)] then adopted with approval Professor Waters' statement in his book </w:t>
      </w:r>
      <w:r>
        <w:rPr>
          <w:rFonts w:ascii="arial" w:eastAsia="arial" w:hAnsi="arial" w:cs="arial"/>
          <w:i/>
          <w:color w:val="000000"/>
          <w:sz w:val="20"/>
          <w:lang w:val="en-US" w:eastAsia="en-US" w:bidi="ar-SA"/>
        </w:rPr>
        <w:t>Law of Trusts in Canada</w:t>
      </w:r>
      <w:r>
        <w:rPr>
          <w:rFonts w:ascii="arial" w:eastAsia="arial" w:hAnsi="arial" w:cs="arial"/>
          <w:color w:val="000000"/>
          <w:sz w:val="20"/>
          <w:lang w:val="en-US" w:eastAsia="en-US" w:bidi="ar-SA"/>
        </w:rPr>
        <w:t>, 2nd ed. (1984), at p. 291: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settlor cannot revoke his trust unless he has expressly reserved the power to do so. This is a cardinal rule, and it involves two important concepts. The first is that the trust is a mode of disposition, and once the instrument of creation of the trust has taken effect or a verbal declaration had been made of immediate disposition on trust, the settlor has alienated the property as much as if he had given it to the beneficiaries by an out-and-out gift. This almost self-evident proposition has to be reiterated because it is sometimes said that the trust is a mode of "restricted transfer." So indeed it is, but the restriction does not mean that by employing the trust the settlor inherently retains a right or power to intervene once the trust has taken effect, whether to set the trust aside, change the beneficiaries, name other beneficiaries, take back part of the trust property, or do anything else to amend or change the trust. By restriction is meant that he has transferred the property but subject to restrictions upon who is to enjoy and to what degree. The mode of future enjoyment is regulated in the act of transferring, but the transfer remains a true transfer.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Justice Zuber then stated at p. 317: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appellant does not take issue with these general principles but asserts that it has reserved a power of amendment which is wide enough to entitle him to recover surplus funds. In my opinion, this proposition is simply untenable. The language of the trust agreement and the pension plan do not support such an argument. The section in the pension plan (prior to the 1981 amendment) dealing with the powers of amendment specifically affirms the irrevocability of the contributions and the fact that the members of the plan are the sole beneficiaries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This passage supports my conclusion that in these circumstances, where there is not a reservation of rights or a similar provision in favour of the plaintiff, there is no continuing duty owed to the plaintiff as a settlor.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Although Atco, as a Participating Employer, signed a Participation Agreement with the Trustees to make contributions, it was not suggested that the obligation that the plaintiff was suing to enforce in this action was contractual or that the plaintiff could enforce it as a matter of contract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find that the obligation that the plaintiff alleges did not arise under the Trust Agreement or as a matter of trust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argument of the plaintiff really comes down to this. Assuming that the alleged duty is part of the Trustees' general fiduciary duty, which I think is debatable given that Atco is really asserting a breach of a duty of care, does that fiduciary duty extend to the plaintiff in this case? Put simply, is there a fiduciary obligation owed by the trustees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argues that the fiduciary duty arises in this case from the discretion that the Trustees exercise over the management of the funds, their influence over the operation of the LTD plan and the vulnerability of the plaintiff to the decisions of the Trustees. Those are the elements, they say, that establish a fiduciary obligation to the settlors. The argument is that it is the same duty that is owed to the beneficiaries and that the substratum duty is the same - skill and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 says that the categories of fiduciary obligations are not closed and that the three-step analysis in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Frame</w:t>
      </w:r>
      <w:r>
        <w:rPr>
          <w:rFonts w:ascii="arial" w:eastAsia="arial" w:hAnsi="arial" w:cs="arial"/>
          <w:color w:val="000000"/>
          <w:sz w:val="20"/>
          <w:lang w:val="en-US" w:eastAsia="en-US" w:bidi="ar-SA"/>
        </w:rPr>
        <w:t>") is useful in identifying new fiduciary relationships. In this regard, the plaintiff submits that fiduciary obligations arise when a first party could reasonably expect that a second party would act in the first party's best interests with respect to the subject matter in issue. In the plaintiff's submission, such a relationship exists between the plaintiff and 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there are no facts in dispute that pertain to the issue of whether there is a fiduciary duty, I find that I am able to determine this application under Rule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 is really asserting that it is owed the duty of care and skill that is part of a trustee's normal duty to a beneficiary. Even assuming that such a duty is part of a fiduciary obligation where one exists, I find that there is not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in these circumstances whether there is a fiduciary obligation owed by the Trustees to the plaintiff. It is appropriate to dismiss the action under Rule 18. My reasons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relationship of the plaintiff and the Trustees is certainly not one of the usual categories of fiduciaries such as trustee and beneficiary, principal and agent and solicitor and client. It has been said, however, that the categories of fiduciary relationships are not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As to how a fiduciary relationship may arise, guidance can be gained from Chief Justice Dickson's comments in </w:t>
      </w:r>
      <w:r>
        <w:rPr>
          <w:rFonts w:ascii="arial" w:eastAsia="arial" w:hAnsi="arial" w:cs="arial"/>
          <w:b/>
          <w:i/>
          <w:color w:val="000000"/>
          <w:sz w:val="20"/>
          <w:lang w:val="en-US" w:eastAsia="en-US" w:bidi="ar-SA"/>
        </w:rPr>
        <w:t>Guerin v. Canada</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xml:space="preserve"> at 384: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Professor Ernest Weinrib maintains in his article </w:t>
      </w:r>
      <w:r>
        <w:rPr>
          <w:rFonts w:ascii="arial" w:eastAsia="arial" w:hAnsi="arial" w:cs="arial"/>
          <w:i/>
          <w:color w:val="000000"/>
          <w:sz w:val="20"/>
          <w:lang w:val="en-US" w:eastAsia="en-US" w:bidi="ar-SA"/>
        </w:rPr>
        <w:t>The Fiduciary Obligation</w:t>
      </w:r>
      <w:r>
        <w:rPr>
          <w:rFonts w:ascii="arial" w:eastAsia="arial" w:hAnsi="arial" w:cs="arial"/>
          <w:color w:val="000000"/>
          <w:sz w:val="20"/>
          <w:lang w:val="en-US" w:eastAsia="en-US" w:bidi="ar-SA"/>
        </w:rPr>
        <w:t xml:space="preserve"> (1975), 25 U.T.L.J. 1, at p. 7, that "the hallmark of a fiduciary relation is that the relative legal positions are such that one party is at the mercy of the other's discretion." Earlier, at p. 4, he puts the point in the following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there is a fiduciary obligation] there is a relation in which the principal's interests can be affected by, and are therefore dependent on, the manner in which the fiduciary uses the discretion which has been delegated to him. The fiduciary obligation is the law's blunt tool for the control of this discretion.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make no comment upon whether this description is broad enough to embrace all fiduciary obligations. I do agree, however, that </w:t>
      </w:r>
      <w:r>
        <w:rPr>
          <w:rFonts w:ascii="arial" w:eastAsia="arial" w:hAnsi="arial" w:cs="arial"/>
          <w:color w:val="000000"/>
          <w:sz w:val="20"/>
          <w:u w:val="single"/>
          <w:lang w:val="en-US" w:eastAsia="en-US" w:bidi="ar-SA"/>
        </w:rPr>
        <w:t>where by</w:t>
      </w:r>
      <w:r>
        <w:rPr>
          <w:rFonts w:ascii="arial" w:eastAsia="arial" w:hAnsi="arial" w:cs="arial"/>
          <w:color w:val="000000"/>
          <w:sz w:val="20"/>
          <w:lang w:val="en-US" w:eastAsia="en-US" w:bidi="ar-SA"/>
        </w:rPr>
        <w:t xml:space="preserve"> statute, </w:t>
      </w:r>
      <w:r>
        <w:rPr>
          <w:rFonts w:ascii="arial" w:eastAsia="arial" w:hAnsi="arial" w:cs="arial"/>
          <w:color w:val="000000"/>
          <w:sz w:val="20"/>
          <w:u w:val="single"/>
          <w:lang w:val="en-US" w:eastAsia="en-US" w:bidi="ar-SA"/>
        </w:rPr>
        <w:t>agreemen</w:t>
      </w:r>
      <w:r>
        <w:rPr>
          <w:rFonts w:ascii="arial" w:eastAsia="arial" w:hAnsi="arial" w:cs="arial"/>
          <w:color w:val="000000"/>
          <w:sz w:val="20"/>
          <w:lang w:val="en-US" w:eastAsia="en-US" w:bidi="ar-SA"/>
        </w:rPr>
        <w:t xml:space="preserve">t, or perhaps by unilateral undertaking, </w:t>
      </w:r>
      <w:r>
        <w:rPr>
          <w:rFonts w:ascii="arial" w:eastAsia="arial" w:hAnsi="arial" w:cs="arial"/>
          <w:color w:val="000000"/>
          <w:sz w:val="20"/>
          <w:u w:val="single"/>
          <w:lang w:val="en-US" w:eastAsia="en-US" w:bidi="ar-SA"/>
        </w:rPr>
        <w:t>one party has an obligation to act for the benefit of another, and that obligation carries with it a discretionary power, the party thus empowered becomes a fiduciary</w:t>
      </w:r>
      <w:r>
        <w:rPr>
          <w:rFonts w:ascii="arial" w:eastAsia="arial" w:hAnsi="arial" w:cs="arial"/>
          <w:color w:val="000000"/>
          <w:sz w:val="20"/>
          <w:lang w:val="en-US" w:eastAsia="en-US" w:bidi="ar-SA"/>
        </w:rPr>
        <w:t>. Equity will then supervise the relationship by holding him to the fiduciary's strict standard of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sometimes said that the nature of fiduciary relationships is both established and exhausted by the standard categories of agent, trustee, partner, director, and the like. I do not agree. It is the nature of the relationship, not the specific category of actor involved that gives rise to the fiduciary duty. The categories of fiduciary, like those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should not be considered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Frame</w:t>
      </w:r>
      <w:r>
        <w:rPr>
          <w:rFonts w:ascii="arial" w:eastAsia="arial" w:hAnsi="arial" w:cs="arial"/>
          <w:color w:val="000000"/>
          <w:sz w:val="20"/>
          <w:lang w:val="en-US" w:eastAsia="en-US" w:bidi="ar-SA"/>
        </w:rPr>
        <w:t xml:space="preserve"> contains the classic passage from Justice Wilson's judgment that has been followed in later cases at p. 136: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Relationships in which a fiduciary obligation have been imposed seem to possess three general characteristics: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power or discretion so as to affect the beneficiary's legal or practical interests.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peculiarly vulnerable to or at the mercy of the fiduciary holding the discretion or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At p. 137, Justice Wilson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third characteristic of relationships in which a fiduciary duty has been imposed is the element of vulnerability. </w:t>
      </w:r>
      <w:r>
        <w:rPr>
          <w:rFonts w:ascii="arial" w:eastAsia="arial" w:hAnsi="arial" w:cs="arial"/>
          <w:color w:val="000000"/>
          <w:sz w:val="20"/>
          <w:u w:val="single"/>
          <w:lang w:val="en-US" w:eastAsia="en-US" w:bidi="ar-SA"/>
        </w:rPr>
        <w:t>This vulnerability arises from the inability of the beneficiary (despite his or her best efforts) to prevent the injurious exercise of the power or discretion combined with the grave inadequacy or absence of other legal or practical remedies to redress the wrongful exercise of the discretion or power.</w:t>
      </w:r>
      <w:r>
        <w:rPr>
          <w:rFonts w:ascii="arial" w:eastAsia="arial" w:hAnsi="arial" w:cs="arial"/>
          <w:color w:val="000000"/>
          <w:sz w:val="20"/>
          <w:lang w:val="en-US" w:eastAsia="en-US" w:bidi="ar-SA"/>
        </w:rPr>
        <w:t xml:space="preserve"> Because of the requirement of vulnerability of the beneficiary at the hands of the fiduciary, </w:t>
      </w:r>
      <w:r>
        <w:rPr>
          <w:rFonts w:ascii="arial" w:eastAsia="arial" w:hAnsi="arial" w:cs="arial"/>
          <w:color w:val="000000"/>
          <w:sz w:val="20"/>
          <w:u w:val="single"/>
          <w:lang w:val="en-US" w:eastAsia="en-US" w:bidi="ar-SA"/>
        </w:rPr>
        <w:t>fiduciary obligations are seldom present in the dealings of experienced businessmen of similar bargaining strength acting at arm's length:</w:t>
      </w:r>
      <w:r>
        <w:rPr>
          <w:rFonts w:ascii="arial" w:eastAsia="arial" w:hAnsi="arial" w:cs="arial"/>
          <w:color w:val="000000"/>
          <w:sz w:val="20"/>
          <w:lang w:val="en-US" w:eastAsia="en-US" w:bidi="ar-SA"/>
        </w:rPr>
        <w:t xml:space="preserve"> see, for example, </w:t>
      </w:r>
      <w:r>
        <w:rPr>
          <w:rFonts w:ascii="arial" w:eastAsia="arial" w:hAnsi="arial" w:cs="arial"/>
          <w:b/>
          <w:i/>
          <w:color w:val="000000"/>
          <w:sz w:val="20"/>
          <w:lang w:val="en-US" w:eastAsia="en-US" w:bidi="ar-SA"/>
        </w:rPr>
        <w:t>Jirna Ltd. v. Mister Donut of Canada Ltd.</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(1971), 22 D.L.R. (3d) 639</w:t>
        </w:r>
      </w:hyperlink>
      <w:r>
        <w:rPr>
          <w:rFonts w:ascii="arial" w:eastAsia="arial" w:hAnsi="arial" w:cs="arial"/>
          <w:color w:val="000000"/>
          <w:sz w:val="20"/>
          <w:lang w:val="en-US" w:eastAsia="en-US" w:bidi="ar-SA"/>
        </w:rPr>
        <w:t xml:space="preserve"> (Ont. C.A.), aff'd </w:t>
      </w:r>
      <w:hyperlink r:id="rId696" w:history="1">
        <w:r>
          <w:rPr>
            <w:rFonts w:ascii="arial" w:eastAsia="arial" w:hAnsi="arial" w:cs="arial"/>
            <w:i/>
            <w:color w:val="0077CC"/>
            <w:sz w:val="20"/>
            <w:u w:val="single"/>
            <w:shd w:val="clear" w:color="auto" w:fill="FFFFFF"/>
            <w:lang w:val="en-US" w:eastAsia="en-US" w:bidi="ar-SA"/>
          </w:rPr>
          <w:t>[1975] 1 S.C.R. 2</w:t>
        </w:r>
      </w:hyperlink>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La Forest J. commented that Wilson J.'s indicia help recognize a fiduciary relationship rather than being the ingredients that define it. He said at p. 409: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Lac Minerals</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I elaborated further on the approach proposed by Wilson J. in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xml:space="preserve">. I there identified three uses of the term fiduciary, only two of which I thought were truly fiduciary. The first is in describing certain relationships that have as their essence discretion, influence over interests, and an </w:t>
      </w:r>
      <w:r>
        <w:rPr>
          <w:rFonts w:ascii="arial" w:eastAsia="arial" w:hAnsi="arial" w:cs="arial"/>
          <w:color w:val="000000"/>
          <w:sz w:val="20"/>
          <w:u w:val="single"/>
          <w:lang w:val="en-US" w:eastAsia="en-US" w:bidi="ar-SA"/>
        </w:rPr>
        <w:t>inherent</w:t>
      </w:r>
      <w:r>
        <w:rPr>
          <w:rFonts w:ascii="arial" w:eastAsia="arial" w:hAnsi="arial" w:cs="arial"/>
          <w:color w:val="000000"/>
          <w:sz w:val="20"/>
          <w:lang w:val="en-US" w:eastAsia="en-US" w:bidi="ar-SA"/>
        </w:rPr>
        <w:t xml:space="preserve"> vulnerability. In these types of relationships, there is a rebuttable presumption, arising out of the inherent purpose of the relationship, that one party has a duty to act in the best interests of the other party. Two obvious examples of this type of fiduciary relationship are trustee-beneficiary and agent-principal. In seeking to determine whether new classes of relationships are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fiduciary, Wilson J.'s three-step analysis is a useful guide.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noted in </w:t>
      </w:r>
      <w:r>
        <w:rPr>
          <w:rFonts w:ascii="arial" w:eastAsia="arial" w:hAnsi="arial" w:cs="arial"/>
          <w:b/>
          <w:i/>
          <w:color w:val="000000"/>
          <w:sz w:val="20"/>
          <w:lang w:val="en-US" w:eastAsia="en-US" w:bidi="ar-SA"/>
        </w:rPr>
        <w:t>Lac Minerals</w:t>
      </w:r>
      <w:r>
        <w:rPr>
          <w:rFonts w:ascii="arial" w:eastAsia="arial" w:hAnsi="arial" w:cs="arial"/>
          <w:color w:val="000000"/>
          <w:sz w:val="20"/>
          <w:lang w:val="en-US" w:eastAsia="en-US" w:bidi="ar-SA"/>
        </w:rPr>
        <w:t>, however, the three-step analysis proposed by Wilson J. encounters difficulties in identifying relationships described by a slightly different use of the term "fiduciary", viz., situations in which fiduciary obligations, though not innate to a given relationship, arise as a matter of fact out of the specific circumstances of that particular relationship; see at p. 648. In these cases, the question to ask is whether, given all the surrounding circumstances, one party could reasonably have expected that the other party would act in the former's best interests with respect to the subject matter at issue. Discretion, influence, vulnerability and trust were mentioned as non-exhaustive examples of evidential factors to be considered in making this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La Forest J. mentioned the need for a careful examination of the facts to determine if a fiduciary relationship exists at p. 413-414: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the precise legal or equitable duties the law will enforce in any given relationship are tailored to the legal and practical incidents of a particular relationship. To repeat a phrase used by Lord Scarman, "[t]here is no substitute in this branch of the law for a meticulous examination of the facts"; see </w:t>
      </w:r>
      <w:r>
        <w:rPr>
          <w:rFonts w:ascii="arial" w:eastAsia="arial" w:hAnsi="arial" w:cs="arial"/>
          <w:b/>
          <w:i/>
          <w:color w:val="000000"/>
          <w:sz w:val="20"/>
          <w:lang w:val="en-US" w:eastAsia="en-US" w:bidi="ar-SA"/>
        </w:rPr>
        <w:t>National Westminster Bank plc v. Morgan</w:t>
      </w:r>
      <w:r>
        <w:rPr>
          <w:rFonts w:ascii="arial" w:eastAsia="arial" w:hAnsi="arial" w:cs="arial"/>
          <w:color w:val="000000"/>
          <w:sz w:val="20"/>
          <w:lang w:val="en-US" w:eastAsia="en-US" w:bidi="ar-SA"/>
        </w:rPr>
        <w:t>, [1985] 1 All E.R. 821 (H.L.), at p. 831.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Most recently in </w:t>
      </w:r>
      <w:r>
        <w:rPr>
          <w:rFonts w:ascii="arial" w:eastAsia="arial" w:hAnsi="arial" w:cs="arial"/>
          <w:b/>
          <w:i/>
          <w:color w:val="000000"/>
          <w:sz w:val="20"/>
          <w:lang w:val="en-US" w:eastAsia="en-US" w:bidi="ar-SA"/>
        </w:rPr>
        <w:t>Gladstone v. Attorney General of Canada</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[2005] 1 S.C.R. 325</w:t>
        </w:r>
      </w:hyperlink>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2005 SCC 21</w:t>
        </w:r>
      </w:hyperlink>
      <w:r>
        <w:rPr>
          <w:rFonts w:ascii="arial" w:eastAsia="arial" w:hAnsi="arial" w:cs="arial"/>
          <w:color w:val="000000"/>
          <w:sz w:val="20"/>
          <w:lang w:val="en-US" w:eastAsia="en-US" w:bidi="ar-SA"/>
        </w:rPr>
        <w:t>, the Court made clear, at paragraph 24, that the determination of whether there was a fiduciary relationship was a principled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concept of fiduciary duty is not an invitation to engage in "results oriented" reasoning. It is a principled analysis. At its core is the obligation of one party to act for the benefit of another. This obligation may derive from various sources such as statute, agreement, or unilateral undertaking. In </w:t>
      </w:r>
      <w:r>
        <w:rPr>
          <w:rFonts w:ascii="arial" w:eastAsia="arial" w:hAnsi="arial" w:cs="arial"/>
          <w:b/>
          <w:i/>
          <w:color w:val="000000"/>
          <w:sz w:val="20"/>
          <w:lang w:val="en-US" w:eastAsia="en-US" w:bidi="ar-SA"/>
        </w:rPr>
        <w:t>Guerin v. The Queen</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Dickson J. (as he then was) stated at p. 384: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agree, however, that where by statute, agreement, or perhaps by unilateral undertaking, one party has an obligation to act for the benefit of another, and that obligation carries with it a discretionary power, the party thus empowered becomes a fiduciary. Equity will then supervise the relationship by holding him to the fiduciary's strict standard of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facts do not establish or raise a triable issue that there was by agreement an obligation on the part of the Trustees to act for the benefit of the plaintiff. Moreover, there is not the degree of vulnerability that is required to exist to find a fiduciary relationship. The appointment of the Trustees to manage the Trust and LTD Plan was established by a contract entered into by both the Employer Associations and the Union. The arrangement was not negotiated by the plaintiff but was negotiated by the proper representative of the plaintiff in bargaining with the Union. The plaintiff is not without a remedy if it is unhappy with the administration of the plan. It can withdraw from the plan, it can ask its bargaining agent to seek to remove the Trustees or it can bring proceedings for improper representation against its Employer Association. Presumably the plaintiff is at liberty in the collective bargaining process to seek to amend the agreement to include rights for the Participating Employers such as those enjoyed by the Employer Associations.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am unable to find that the question of whether the Trustees owe a duty to act in the plaintiff's best interests in administering the Trust and the LTD Plan is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Even though the plaintiff's assertion may be the usual result of the Trustees discharging their trust and contractual obligations, I do not think that the plaintiff could reasonably have that expectation. There is a strong argument that a fiduciary duty cannot be owed to a person when it conflicts with the obligation owed to the beneficiaries. Although Mr. McIntyre argues that the duty he asserts is not inconsistent with the Trustees' duty to the beneficiaries, and I think that there are times when such an alleged duty of care aspect of the fiduciary duty would parallel the duty owed to the beneficiaries, I agree with Mr. Ferris that the duty the plaintiff seeks to impose may well be inconsistent with the duty of undivided loyalty owed to the beneficiaries of the trust. A potentially conflicting duty cannot exist in the face of the well established and clear obligation of the Trustees to the beneficiaries. See </w:t>
      </w:r>
      <w:r>
        <w:rPr>
          <w:rFonts w:ascii="arial" w:eastAsia="arial" w:hAnsi="arial" w:cs="arial"/>
          <w:b/>
          <w:i/>
          <w:color w:val="000000"/>
          <w:sz w:val="20"/>
          <w:lang w:val="en-US" w:eastAsia="en-US" w:bidi="ar-SA"/>
        </w:rPr>
        <w:t>Kamahap Enterprises Ltd. v. Chu's Central Market Ltd.</w:t>
      </w:r>
      <w:hyperlink r:id="rId699" w:history="1">
        <w:r>
          <w:rPr>
            <w:rFonts w:ascii="arial" w:eastAsia="arial" w:hAnsi="arial" w:cs="arial"/>
            <w:i/>
            <w:color w:val="0077CC"/>
            <w:sz w:val="20"/>
            <w:u w:val="single"/>
            <w:shd w:val="clear" w:color="auto" w:fill="FFFFFF"/>
            <w:lang w:val="en-US" w:eastAsia="en-US" w:bidi="ar-SA"/>
          </w:rPr>
          <w:t>(1989), 40 B.C.L.R. (2d) 288</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McPhail's Equipment Co. v. "Roxanne III" (The)</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(1994) 93 B.C.L.R. (2d) 73</w:t>
        </w:r>
      </w:hyperlink>
      <w:r>
        <w:rPr>
          <w:rFonts w:ascii="arial" w:eastAsia="arial" w:hAnsi="arial" w:cs="arial"/>
          <w:color w:val="000000"/>
          <w:sz w:val="20"/>
          <w:lang w:val="en-US" w:eastAsia="en-US" w:bidi="ar-SA"/>
        </w:rPr>
        <w:t xml:space="preserve"> (S.C.), appeal dismissed </w:t>
      </w:r>
      <w:hyperlink r:id="rId701" w:history="1">
        <w:r>
          <w:rPr>
            <w:rFonts w:ascii="arial" w:eastAsia="arial" w:hAnsi="arial" w:cs="arial"/>
            <w:i/>
            <w:color w:val="0077CC"/>
            <w:sz w:val="20"/>
            <w:u w:val="single"/>
            <w:shd w:val="clear" w:color="auto" w:fill="FFFFFF"/>
            <w:lang w:val="en-US" w:eastAsia="en-US" w:bidi="ar-SA"/>
          </w:rPr>
          <w:t>(1995), 2 B.C.L.R. (3d) 393</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Smolinski v. Mitchell</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(1995), 10 B.C.L.R. (3d) 366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commercial relationships where the parties have agreed to regulate their affairs pursuant to a contract, fiduciary obligations are rare. Here there was a negotiated trust and contractual arrangement that includes well recognized fiduciary obligations to the beneficiaries. The plaintiff seeks to impose additional fiduciary obligations including a duty of care and skill in its favour even though it is not a party to the arrangement. By that I mean the agreement was negotiated between the Employer Associations and the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find that this negotiated Trust Agreement was not one where there was a fiduciary relationship between the Trustees and one of the Participating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No duty of the type alleged by the plaintiff is owed to it by the Trustees, and accordingly the action must be dismissed under Rule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this proceeding is dismissed, it is not necessary for me to consider the defendants' alternate point that only the Labour Relations Board has jurisdiction to deal with this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7"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Barreiro v. Arana, [2002] B.C.J. No. 363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and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Garson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Nos. S052018,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S052017, S052016, S055682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B991209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363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288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35 C.C.L.I. (3d) 285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 M.V.R. (4th) 174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111 A.C.W.S. (3d) 997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288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Jorge Barreiro, plaintiff, and Guillermo Arana, Tourocan Development Ltd., doing business as Lo-Cost Rent-A-Car Ltd., Lo-Cost Rent-A-Car Ltd. and Ana Maria Arana, defendants, and Insurance Corporation of British Columbia, third party (New Westminster Registry No. S052018) And between Juan Rolando Villeda, plaintiff, and Guillermo Arana, Tourocan Development Ltd., doing business as Lo-Cost Rent-A-Car Ltd., Lo-Cost Rent-A-Car Ltd. and Ana Maria Arana, defendants, and Insurance Corporation of British Columbia, third party (New Westminster Registry No. S052017) And between Aaron Alonso Acosta, plaintiff, and Guillermo Arana, Tourocan Development Ltd., doing business as Lo-Cost Rent-A-Car Ltd., Lo-Cost Rent-A-Car Ltd. and Ana Maria Arana, defendants, and Insurance Corporation of British Columbia, third party (New Westminster Registry No. S052016) And between Jorge Vargas, plaintiff, and Guillermo Rene Arana and Tourocan Development Ltd. doing business as Lo-Cost Rent-A-Car Ltd., defendants, and Insurance Corporation of British Columbia, third party (Vancouver Registry No. B991209) And between Mohamed Warsame, plaintiff, and Guillermo Arana, Tourocan Development Ltd., doing business as Lo-Cost Rent-A-Car Ltd., Lo-Cost Rent-A-Car Ltd. and Ana Maria Arana, defendants, and Insurance Corporation of British Columbia, third party (New Westminster Registry No. S055682)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8"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7" w:name="Keywords_43"/>
      <w:bookmarkEnd w:id="287"/>
      <w:r>
        <w:rPr>
          <w:rFonts w:ascii="arial" w:eastAsia="arial" w:hAnsi="arial" w:cs="arial"/>
          <w:b/>
          <w:color w:val="000000"/>
          <w:sz w:val="20"/>
          <w:lang w:val="en-US" w:eastAsia="en-US" w:bidi="ar-SA"/>
        </w:rPr>
        <w:t>Insurance — Automobile insurance — Liability policy, risk — Consent by insured to use of insured vehicle.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8" w:name="Case Summary_39"/>
            <w:bookmarkEnd w:id="2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whether the defendant was driving a vehicle with consent. The plaintiffs were injured in a motor vehicle accident when they were passengers in the defendant's motor vehicle, which was owned by a rental company. The defendant did not meet the rental company's age restriction. The rental company argued that it was not liable for the unauthorized acts of its agents, claiming that its agent knowingly breached the rental company's policies. The company's agent was a customer service representative employed by the rental company. The agent was the only person at the rental company's premises when the lease was made. He indicated on the rental form that the defendant was 24 years old, but he knew that the defendant was 20 years old. The agent made other errors in completing the defendant's rental form, but was aware of the defendant's misrepresentations.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9" w:name="Holdings of Court_34"/>
            <w:bookmarkEnd w:id="289"/>
            <w:r>
              <w:rPr>
                <w:rFonts w:ascii="arial" w:eastAsia="arial" w:hAnsi="arial" w:cs="arial"/>
                <w:color w:val="000000"/>
                <w:sz w:val="20"/>
                <w:lang w:val="en-US" w:eastAsia="en-US" w:bidi="ar-SA"/>
              </w:rPr>
              <w:t>HELD: Defendant had the express consent of the rental company to operate the vehicle.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agent's knowledge was imputed to the rental company. The rental company was vicariously liable for the conduct of its agent. The agent's wrongful act was closely connected to the employment relationship. The rental company gave the agent the opportunity to rent vehicles in breach of the company policies. The rental company did not have a manager present to check or authorize the lease and had no procedure in place to check the lease.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0" w:name="Legislation Cited_26"/>
      <w:bookmarkEnd w:id="2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9"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Motor Vehicle Act, 1996, s.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Vehicle Act, s. 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1" w:name="Counsel_45"/>
      <w:bookmarkEnd w:id="29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0"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Stephen Herman, for the plaintiffs in Action Nos. S052018, S052017, S052016 and S055682. David Stuart, for the plaintiff in Action No. B991209. J. Derek James, for the defendant, Tourocan Development Ltd., doing Business as Lo-Cost Rent-A-Car Ltd. and Lo-Cost Rent-A-Car Ltd. in all actions. Michael Murphy, for the third party in all actions.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2" w:name="Judgment_44"/>
      <w:bookmarkEnd w:id="292"/>
      <w:r>
        <w:pict>
          <v:line id="_x0000_s1241" style="position:absolute;z-index:2518558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3" w:name="GARSON J."/>
            <w:bookmarkEnd w:id="293"/>
            <w:r>
              <w:rPr>
                <w:rFonts w:ascii="arial" w:eastAsia="arial" w:hAnsi="arial" w:cs="arial"/>
                <w:b/>
                <w:color w:val="000000"/>
                <w:sz w:val="30"/>
                <w:lang w:val="en-US" w:eastAsia="en-US" w:bidi="ar-SA"/>
              </w:rPr>
              <w:t>GARSON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Jorge Vargas, Jorge Barreiro, Aaron Acosta, Juan Villeda, and Mohamed Warsame, were injured in a single vehicle motor vehicle accident on April 5, 1998. The vehicle involved in the accident ("the Vehicle") was a rental vehicle owned by the defendant Tourcan Development Ltd., doing business as Lo-Cost Rent-A-Car Ltd., ("Lo-Cost") and driven by the defendant, Guillermo Rene Arana ("Arana"). Master Doolan ordered a trial, which took place before me, of whether Arana had acquired possession of the Vehicle with the express or implied consent of the owner, Lo-Cost, pursuant to s. 86 of the Insurance Motor Vehicle Act, R.C.S.C. 1996, c. 318 ("s.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Lo-Cost says that its rental agent, one Williams English, knowingly breached several of Lo-Cost's own policies, most notably the age restriction policy, by renting the Vehicle to Arana. Lo-Cost denies that as owner of the Vehicle it is liable for the damages suffered by the five plaintiffs because it says it did not consent, as that term is used in s. 86, to the use of the Vehicle by Arana. Lo-Cost argues that it cannot be bound by, or liable for, the unauthorized acts of its rental agent,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Agreed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pertinent facts from the Agreed Statement of Facts, upon which I am to determine the question of consent, are as follows:</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5, 1998, the defendant Guillermo Arana came into the Granville Street location of Lo-Cost to rent a vehicle. The issue of whether the defendant Ana Arana was there at the same time must be resolved based upon inferences from the Agreed Facts.</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5, 1998, the defendant Guillermo Arana obtained possession of a 1998 Toyota Corolla, vehicle licence plate number KES 206, (the "Toyota") which vehicle was owned by the defendants Tourocan Ltd. and Lo-Cost Ltd., from the Granville Street Location.</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5, 1998, Williams English was employed by Lo-Cost as a customer service representative at the Granville Street location and was at the material time the only customer service representative present at that location. Mr. English assisted Mr. Arana in obtaining possession of the Toyota from Lo-Cost.</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English was employed with Lo-Cost from September 23, 1997 until March 8, 1998. Mr. English was trained by Al Shafin Lalani, the General Manager of Lo-Cost. There was a training program for new employees. Mr. English worked exclusively out of Lo-Cost's locations. Mr. English was supervised by Mr. Lalani. Mr. English worked exclusively for Lo-Cost and only rented vehicles owned by Lo-Cost.</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customer service representative employed by Lo-Cost, Mr. English was authorized by Lo-Cost to rent out its vehicles to members of the public, to execute rental agreements on behalf of Lo-Cost, to explicitly consent to the operation of its vehicles by persons other than the vehicle owner in accordance with the policies and procedures of Lo-Cost.</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hereto, Lo-Cost had the written policies and procedures set out in a Summary of Procedures and the written rental agreements.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Rental Agreement states "IMPORTANT THIS VEHICLE MAY NOT BE USED OR DRIVEN BY ANYONE UNDER 21"</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hereto, Lo-Cost had the following relevant unwritten policies and procedures: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vehicle will not be rented unless the renter or authorized other driver has a valid British Columbia Class 5 or comparable driver's license.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Lo-Cost will not approve an authorized other driver without the request and consent of the renter.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Lo-Cost will only give possession of the vehicle to the renter unless the renter consents to possession being given to an authorized other driver.</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the renter takes possession of the vehicle a Customer Inspection Report is prepared concerning the condition of the vehicle.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policies and procedures of Lo-Cost are not on display or disclosed to the customers except those set out in the written rental agreement.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that the defendant Guillermo Arana obtained possession of the Toyota:</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Guillermo Arana was 20 years of age with a date of birth of March 10, 1978.</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Ana Maria Arana, who was the defendant Guillermo Arana's mother, was 40 years of age with a date of birth of July 19, 1957, and had a valid driver's license.</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Ana Maria Arana held a valid C.I.B.C. VISA Gold Card number 4500 082 730 487.</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Guillermo Arana did not have a valid credit card.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March 5, 1998, Mr. English knew the defendant Guillermo Arana and had been introduced to him by mutual friends, the plaintiffs Villeda and Acosta.</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May 5, 1998, Mr. English had spoken with the defendant Guillermo Arana about renting a vehicle from Lo-Cost.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English understood the defendant Guillermo Arana needed a vehicle as his mother's vehicle had been involved in an accident.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5, 1998, when the defendant Guillermo Arana came into the Granville Street location to rent a vehicle, Mr. English completed a rental agreement form by hand and obtained a VISA authorization in the amount of $2,500 and a VISA imprint.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Guillermo Arana produced his driver's license to Mr. English at the time the rental agreement form was filled in by Mr. English.</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English wrote on the rental agreement form that the defendant Guillermo Arana was 24 years of age. Mr. English knew that at that time the defendant Guillermo Arana was not yet 21 years of age.</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Mr. English's practice to advise customers they must be 21 years of age or older with a valid credit card to rent a vehicle from Lo-Cost, but cannot recall if in fact he did advise the defendant Guillermo Arana of same.</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rental agreement form contains other errors. The driver's license number attributed to the defendant Ana Maria Arana is not in fact her driver's license number. The expiry date is not 16 06 2000, the defendant Ana Maria Arana's date of birth is not 16 06 1957. The defendant Guillermo Arana did not have a valid B.C. class 5 driver's license as of March 5, 1998, but he did have a valid learner's driver's license. He obtained a B.C. class 5 driver's license on March 26, 1998.</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Toyota was due back on March 12, 1998. The due date was extended from time to time. Lo-Cost did not become aware of the errors until after the accident.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3:35 a.m. on April 5, 1998, the defendant Guillermo Arana was driving the Toyota on Pacific Boulevard in the vicinity of Quebec Street in Vancouver, B.C., when he lost control of it and it collided with the skytrain abutment near Pacific Boulevard.</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collision the plaintiffs were passengers in the Toyota.</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plaintiffs were aware the defendant Guillermo Arana was operating a rental vehicle but were otherwise unaware of any of the circumstances surrounding the defendant Guillermo Arana's obtaining of possession of the vehicle, the terms of the rental relationship between Lo-Cost and the defendant Guillermo Arana, if any, or any policy restrictions that Lo-Cost may have placed on the rental of its vehicles to the public or, in particular, the defendant Guillermo Arana.</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believed the defendant Guillermo Arana had a valid driver's license at the time of the subject accident.</w:t>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the plaintiffs were present when the defendant Guillermo Arana obtained possession of the subject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Statutory Provisions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Section 86(1) of the Insurance Motor Vehicle Act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action to recover loss or damage sustained by a person by reason of a motor vehicle on a highway, every person driving or operating the motor vehicle who is living with and as a member of the family of the owner of the motor vehicle, and every person driving or operating the motor vehicle who acquired possession of it with the consent, express or implied, of the owner of the motor vehicle, is deemed to be the agent or servant of that owner and employed as such, and is deemed to be driving and operating the motor vehicle in the course of his or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Lo-Cost argues that there cannot be consent, express or implied, in circumstances where the agent of Lo-Cost with the knowledge of the driver Arana leased the vehicle in contravention of Lo-Cost's policies. Lo-Cost says "A corporation is not bound by the act of its employee where the employee acts outside of his or her authority with the knowledge of the third party. If the agent is privy to an act of deceit or fraud against the principal, the agent's knowledge is not imputed to the principal." It submits further that "vicarious liability is not relevant when considering whether a corporation has entered into a contract or has consented to transfer of possession of corporate property." As to the issue of consent under s. 86, Lo-Cost argues that "...express consent is given, within the meaning of the enactment, only when possession was acquired as the result of the free exercise of the owner's will." The argument advanced by Lo-Cost is that because it would not have freely exercised its will to rent the Vehicle to Arana had it known the facts its agent knew, no consent was actually or impliedly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Lo-Cost relies on the judgment of this court in Prasad v. Bell, </w:t>
      </w:r>
      <w:hyperlink r:id="rId710" w:history="1">
        <w:r>
          <w:rPr>
            <w:rFonts w:ascii="arial" w:eastAsia="arial" w:hAnsi="arial" w:cs="arial"/>
            <w:i/>
            <w:color w:val="0077CC"/>
            <w:sz w:val="20"/>
            <w:u w:val="single"/>
            <w:shd w:val="clear" w:color="auto" w:fill="FFFFFF"/>
            <w:lang w:val="en-US" w:eastAsia="en-US" w:bidi="ar-SA"/>
          </w:rPr>
          <w:t>[2001] B.C.J. No. 969</w:t>
        </w:r>
      </w:hyperlink>
      <w:r>
        <w:rPr>
          <w:rFonts w:ascii="arial" w:eastAsia="arial" w:hAnsi="arial" w:cs="arial"/>
          <w:color w:val="000000"/>
          <w:sz w:val="20"/>
          <w:lang w:val="en-US" w:eastAsia="en-US" w:bidi="ar-SA"/>
        </w:rPr>
        <w:t>. Ralph J. summarized the facts at paras.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Prasad planned to rent the vehicle but Budget would not permit him to do so because he did not have a credit card. Mr. Bell then sought to rent the vehicle. Budget declined to do so because Mr. Bell was 20 years old at the time and it was Budget's policy not to rent vehicles to customers under the age of 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that point Mr. Prasad and Mr. Bell left the Budget office but returned shortly after accompanied by Mr. Bell's girlfriend, Ms. Wragge. Ms. Wragge was 21 years old and had a credit card and, although she did not intend to use the vehicle herself, Budget agreed to rent the vehicle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Prasad, the vehicle was involved in an accident while Bell was driving and the injured victim sued Bell and Budget. Ralph J. found that there was "no evidence that Budget permitted Mr. Bell to drive the vehicle under any circumstances." He found that "the plaintiff had not met the burden of proving that Mr. Bell had Budget's implied consent to drive the vehicle" and he dismissed the action against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Prasad case is distinguishable from the case at bar. In Prasad, the Budget agent had no knowledge of the breach or intended breach of the rental policy. Ralph J. therefore found that it was an issue of implied rather than express consent. Here Lo-Cost's rental agent expressly consented to Mr. Arana's renting and driving the Vehicle knowing that Mr. Arana was not 21 years of age. This feature of the case at bar distinguishes it from the Prasad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Lo-Cost adopts a contractual analysis and says its agent's knowledge of the intended unauthorized use cannot be attributed to it. Lo-Cost says the issue is whether it has entered into a contract or has consented to transfer possession of the vehicle, and further that, "to hold otherwise would create a new category in the law of agency when an agent may bind a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my view, a consideration of the liability imposed by s. 86 on an owner to an individual injured by the use of the owner's car is not a contractual analysis. First, the plaintiffs in this case are not parties to the car rental contract or purported contract between Lo-Cost and Arana. In this case the driver, Arana, owed a duty of care to his five passengers and other users of the roads. It is alleged he was negligent and breached that duty of care. By virtue of s. 86, and subject to the requirements of that section, the driver is deemed to be operating the motor vehicle in the course of his or her employment as agent or servant of the owner. The owner is then vicariously liable for the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Second, the relevant issue is not whether the rental contract is valid or binding upon Lo-Cost, but whether English's express consent to Arana's possession of the vehicle is the consent of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the facts of this case English, the employee and agent of Lo-Cost consented to Arana's use of the car. The question of whether English's consent can be construed as the consent of Lo-Cost is a question of vicarious liability. I emphasize that this is not an analysis of whether Lo-Cost consented within the meaning of s. 86 but whether Lo-Cost is vicariously liable at common law for the conduct of English. If I find that Lo-Cost is vicariously liable for the conduct of English, then the second part of the analysis is to determine whether Lo-Cost through its agent, English, consented to Arana's use of the vehicle as defined by s.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Vicarious liability has been the subject of much recent judicial analysis in the context of liability of not-for- profit administrators of foster homes and schools for children for the criminal misconduct of their employees. In the case of Bazley v. Curry, </w:t>
      </w:r>
      <w:hyperlink r:id="rId711"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McLachlin J. (as she then was) said at p. 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policy grounds supporting the imposition of vicarious liability - fair compensation and deterrence - are related. The policy consideration of deterrence is linked to the policy consideration of fair compensation based on the employer's introduction or enhancement of a risk. The introduction of the enterprise into the community with its attendant risk, in turn, implies the possibility of managing the risk to minimize the costs of the harm that may flow from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Policy considerations relating to the fair allocation of loss to risk-creating enterprises and the deterrence of harms tend to support the imposition of vicarious liability on employers. But, as Fleming notes, there often exists a countervailing concern. At one time the law held masters responsible for all wrongs committed by servants. Later, that policy was abandoned as too harsh in a complex commercial society where masters might not be in a position to supervise their servants closely. Servants may commit acts, even on working premises and during working hours, which are so unconnected with the employment that it would seem unreasonable to fix an employer with responsibility for them. For example, if a man assaults his wife's lover (who coincidentally happens to be a co-worker) in the employees' lounge at work, few would argue that the employer should be held responsible. Similarly, an employer would not be liable for the harm caused by a security guard who decides to commit arson for his or her own amusement: see e.g., Plains Engineering Ltd. v. Barnes Security Services Ltd. </w:t>
      </w:r>
      <w:hyperlink r:id="rId712" w:history="1">
        <w:r>
          <w:rPr>
            <w:rFonts w:ascii="arial" w:eastAsia="arial" w:hAnsi="arial" w:cs="arial"/>
            <w:i/>
            <w:color w:val="0077CC"/>
            <w:sz w:val="20"/>
            <w:u w:val="single"/>
            <w:shd w:val="clear" w:color="auto" w:fill="FFFFFF"/>
            <w:lang w:val="en-US" w:eastAsia="en-US" w:bidi="ar-SA"/>
          </w:rPr>
          <w:t>(1987), 43 C.C.L.T. 129</w:t>
        </w:r>
      </w:hyperlink>
      <w:r>
        <w:rPr>
          <w:rFonts w:ascii="arial" w:eastAsia="arial" w:hAnsi="arial" w:cs="arial"/>
          <w:color w:val="000000"/>
          <w:sz w:val="20"/>
          <w:lang w:val="en-US" w:eastAsia="en-US" w:bidi="ar-SA"/>
        </w:rPr>
        <w:t xml:space="preserve"> (Alta.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page 567,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appropriate inquiry in a case such as this is whether the employee's wrongful act was so closely connected to the employment relationship that the imposition of vicarious liability is justified in policy and principle. From the point of view of principle, a prime indicator is whether the employer, by carrying on its operations, created or materially enhanced the risk of the wrong that occurred, such that the policy considerations of fair recovery and deterrence are engaged. In answering this question, the court must have regard to how the employer's enterprise increased opportunity to commit the wrong, and how it fostered power-dependency relationships that materially enhanced the risk of the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case of Ross v. Vayda </w:t>
      </w:r>
      <w:hyperlink r:id="rId713" w:history="1">
        <w:r>
          <w:rPr>
            <w:rFonts w:ascii="arial" w:eastAsia="arial" w:hAnsi="arial" w:cs="arial"/>
            <w:i/>
            <w:color w:val="0077CC"/>
            <w:sz w:val="20"/>
            <w:u w:val="single"/>
            <w:shd w:val="clear" w:color="auto" w:fill="FFFFFF"/>
            <w:lang w:val="en-US" w:eastAsia="en-US" w:bidi="ar-SA"/>
          </w:rPr>
          <w:t>(1990), 72 D.L.R. (4th) 700</w:t>
        </w:r>
      </w:hyperlink>
      <w:r>
        <w:rPr>
          <w:rFonts w:ascii="arial" w:eastAsia="arial" w:hAnsi="arial" w:cs="arial"/>
          <w:color w:val="000000"/>
          <w:sz w:val="20"/>
          <w:lang w:val="en-US" w:eastAsia="en-US" w:bidi="ar-SA"/>
        </w:rPr>
        <w:t xml:space="preserve"> (Ont. C.A.) suggests that the burden of the agent's misdeeds should fall on the rental company, not on the innocent plaintiffs. Vayda leased a vehicle from Florida Auto Rental. The term of the lease was one week. Vayda did not return the vehicle at the end of the week and in fact the vehicle was never recovered. Vayda negligently caused an accident and injuries to the plaintiff Ross. Ross' insurer sued Vayda and the car rental company. In finding the car rental company liable to Ross, under a section quite similar to s. 86, the Ontario Court of Appeal held, per Lacourciere, J.A. at p. 704: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Fisher v. Harvey Krotz Ltd. </w:t>
      </w:r>
      <w:hyperlink r:id="rId714" w:history="1">
        <w:r>
          <w:rPr>
            <w:rFonts w:ascii="arial" w:eastAsia="arial" w:hAnsi="arial" w:cs="arial"/>
            <w:i/>
            <w:color w:val="0077CC"/>
            <w:sz w:val="20"/>
            <w:u w:val="single"/>
            <w:shd w:val="clear" w:color="auto" w:fill="FFFFFF"/>
            <w:lang w:val="en-US" w:eastAsia="en-US" w:bidi="ar-SA"/>
          </w:rPr>
          <w:t>(1984), 26 M.V.R. 32</w:t>
        </w:r>
      </w:hyperlink>
      <w:r>
        <w:rPr>
          <w:rFonts w:ascii="arial" w:eastAsia="arial" w:hAnsi="arial" w:cs="arial"/>
          <w:color w:val="000000"/>
          <w:sz w:val="20"/>
          <w:lang w:val="en-US" w:eastAsia="en-US" w:bidi="ar-SA"/>
        </w:rPr>
        <w:t xml:space="preserve"> (Ont. C.A.) at pp. 33-4, this court dealt with restrictions a lessor had placed on persons authorized to drive the leased vehicle. In that case, the rental agreement stipulated that the vehicle was not to be operated by persons under 25 years of age or persons without a valid driver's licence. The vehicle was involved in an accident at which time it was being driven, with the lessee's consent, by a 16-year old unlicensed driver. The court found the owner liable, notwithstanding its contractual stipulations. The case stands for the proposition that the owner's statutory liability was enacted for the protection of the public and cannot be ousted by the terms of the leasing agreement. In other words, the leasing agreement determines only the rights between the lessor and lessee.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reasons of public policy the Legislature has determined that the consent of the lessee to the operation of a leased vehicle is determined to be the consent of the owner. </w:t>
      </w:r>
      <w:r>
        <w:rPr>
          <w:rFonts w:ascii="arial" w:eastAsia="arial" w:hAnsi="arial" w:cs="arial"/>
          <w:b/>
          <w:color w:val="000000"/>
          <w:sz w:val="20"/>
          <w:lang w:val="en-US" w:eastAsia="en-US" w:bidi="ar-SA"/>
        </w:rPr>
        <w:t>The restrictions in the rental agreement limiting the use of the vehicle to licensed drivers over 25 may well be invoked in a determination of rights between lessor and lessee. However, the respondent's rights arise by virtue of s. 166 of the Highway Traffic Act. The owner's statutory liability, enacted for the protection of the public, cannot be ousted by the terms of an agreement to which the respondent is not a party</w:t>
      </w:r>
      <w:r>
        <w:rPr>
          <w:rFonts w:ascii="arial" w:eastAsia="arial" w:hAnsi="arial" w:cs="arial"/>
          <w:color w:val="000000"/>
          <w:sz w:val="20"/>
          <w:lang w:val="en-US" w:eastAsia="en-US" w:bidi="ar-SA"/>
        </w:rPr>
        <w:t>. [at pp. 33-34]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Applying the principles set out by Mclachlin J. in Bazley and by Lacourciere J.A. in Vayda to the facts of this case leads me to conclude that Lo-Cost is vicariously liable for the conduct of English. Lo-Cost held itself out to the public as a rental agency. It employed, trained, and delegated responsibility to its agent, English. As a commercial enterprise, it undertook the risk of allowing its front-line employees to have control over the use and possession of its motor vehicles. The wrongful act of English was closely connected to the employment relationship, as rental agent employed by Lo-Cost for the purpose of renting cars. Lo-Cost afforded English the opportunity to lease vehicles in breach of its internal policies. There was no manager present to check or authorize the vehicle lease. Mr. English was the only rental agent at the premises when Arana rented the Vehicle. There were apparently no procedures in place to enable the company to verify that its contracts were made in compliance with its internal procedures, such as photocopying drivers' licenses. These circumstances do in my view provide what McLachlin J. called, in Bazley, "broad general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also find as a matter of policy that the burden of the misdeeds of Lo-Costs's agent should not fall on the innocent plaintiffs. The purpose of the the legislation is to protect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noted by Lacourciere J.A. in Vayda, the restrictions as to use in the rental agreement, and the internal policies of Lo-Cost "may well be invoked in determination of rights between lessor and lessee," but cannot be used to oust the protective provisions of s. 86 of the Act. I therefore find that Lo-Cost is vicariously liable for the acts of its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second stage of the analysis is to determine whether Arana obtained possession of the Vehicle with the consent of Lo-Cost within the meaning of that term in s. 86. As already stated this is not a contractual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the case of Vancouver Motors U-Drive Limited v. Walker, </w:t>
      </w:r>
      <w:hyperlink r:id="rId715" w:history="1">
        <w:r>
          <w:rPr>
            <w:rFonts w:ascii="arial" w:eastAsia="arial" w:hAnsi="arial" w:cs="arial"/>
            <w:i/>
            <w:color w:val="0077CC"/>
            <w:sz w:val="20"/>
            <w:u w:val="single"/>
            <w:shd w:val="clear" w:color="auto" w:fill="FFFFFF"/>
            <w:lang w:val="en-US" w:eastAsia="en-US" w:bidi="ar-SA"/>
          </w:rPr>
          <w:t>[1942] S.C.R. 391</w:t>
        </w:r>
      </w:hyperlink>
      <w:r>
        <w:rPr>
          <w:rFonts w:ascii="arial" w:eastAsia="arial" w:hAnsi="arial" w:cs="arial"/>
          <w:color w:val="000000"/>
          <w:sz w:val="20"/>
          <w:lang w:val="en-US" w:eastAsia="en-US" w:bidi="ar-SA"/>
        </w:rPr>
        <w:t xml:space="preserve"> the driver obtained possession of the vehicle by providing a false name and driver's license. The plaintiff was injured in an accident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 The rental car company was found liable to the injured plaintiff. The court considered the predecessor of s. 86, s. 74 of the Motor Vehicle Act. Kerwin J. held at p. 394: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the appellant physically transferred the possession of the motor vehicle to Walker. Does the fact of Walker's false statement that he was Hindle and the holder of a subsisting driver's licence, accompanied by the forgery of Hindle's name, vitiate the consent that was in fact given? There may be no difficulty in two of the hypothetical cases put in argument, (1) where a motor vehicle is stolen from a garage, and (2) where possession is obtained from the owner by duress. In the first there would be no consent in fact and in the second the owner would not have been at liberty to exercise his free will. ... in my view an express consent is given, within the meaning of the enactment, when possession was acquired as the result of the free exercise of the owner's will.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 "consent" may have different meanings in different statutes. In the present case it has, in my opinion, the meaning already indicated and, on that construction, express consent was given by the employees of the appellant to Walker's possession of the motor vehicle even though the action of the employees was induced by Walker's false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Morrison (Committee of) v. Cormier Vegetation Control Ltd. </w:t>
      </w:r>
      <w:hyperlink r:id="rId577" w:history="1">
        <w:r>
          <w:rPr>
            <w:rFonts w:ascii="arial" w:eastAsia="arial" w:hAnsi="arial" w:cs="arial"/>
            <w:i/>
            <w:color w:val="0077CC"/>
            <w:sz w:val="20"/>
            <w:u w:val="single"/>
            <w:shd w:val="clear" w:color="auto" w:fill="FFFFFF"/>
            <w:lang w:val="en-US" w:eastAsia="en-US" w:bidi="ar-SA"/>
          </w:rPr>
          <w:t>(1996), 28 B.C.L.R. (3d) 280</w:t>
        </w:r>
      </w:hyperlink>
      <w:r>
        <w:rPr>
          <w:rFonts w:ascii="arial" w:eastAsia="arial" w:hAnsi="arial" w:cs="arial"/>
          <w:color w:val="000000"/>
          <w:sz w:val="20"/>
          <w:lang w:val="en-US" w:eastAsia="en-US" w:bidi="ar-SA"/>
        </w:rPr>
        <w:t xml:space="preserve"> our Court of Appeal restated with approval the principles of express consent as outlined in Vancouver Motors. In Morrison, an employee of a car dealership took a vehicle in violation of the internal policy of the dealership and was involved in an accident in which the plaintiff was injured. The employee, like other salespersons, had access to the dealership's cars at all times as they were provided with unlimited access to keys and licence plates. The court found that possession of an automobile is acquired with the transfer of the means of control, and access to the means of control of a vehicle - keys and plates - amounted to express consent of the owner. Goldie J.A. held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apparent the legislature has imposed a heavy burden on those who have in their power the control of motor vehicles. ... The reason for legislative intervention may be traced, in part at least, to the appalling consequences of reckless use of motor vehicles. Irresponsibility on the part of those who may deny or confer possession of motor vehicles may be seen as the reason for the legislative initiative. The legislation in question must be regarded as remedial.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If one applies the reasoning in Vancouver Motors to the argument of Lo-Cost, Lo-Cost would be liable where its agent did not know of the misrepresentation or fraud of the driver or renter, but where its agent knew of the misrepresentation, it would not be liable. This seems to me to be an illogical proposition. In this case, I find English knew of Arana's misrepresentation as to his age and the status of his driver's license. That knowledge is imputed to Lo-Cost.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find that Arana obtained possession of the Vehicle with the consent of Lo-Cost through the exercise of its free will. Therefore Arana acquired possession of the Vehicle with the consent of Lo-Cost within the meaning of s.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find on the basis of the agreed statement of facts that, at the time of the motor vehicle accident which is the subject of these actions, Arana was operating the vehicle with the express consent of Lo-Cost.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2"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Beazer East, Inc. v. British Columbia (Environmental Appeal Board), [2000] B.C.J. No. 2358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Tysoe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10, 11, 16, 17, 19, 20, 24 - 27,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L001638 and L001898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2358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1698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84 B.C.L.R. (3d) 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36 C.E.L.R. (N.S.) 195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101 A.C.W.S. (3d) 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B.C.T.C. 893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Beazer East, Inc., petitioner, and Environmental Appeal Board and Douglas T. Pope in his capacity as Assistant Regional Waste Manager, respondents (Vancouver Registry No. L001638) And between Atlantic Industries Limited, petitioner, and Douglas Pope in his capacity as Assistant Regional Waste Manager and Environmental Appeal Board, respondents (Vancouver Registry No. L001898)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3"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4" w:name="Keywords_44"/>
      <w:bookmarkEnd w:id="294"/>
      <w:r>
        <w:rPr>
          <w:rFonts w:ascii="arial" w:eastAsia="arial" w:hAnsi="arial" w:cs="arial"/>
          <w:b/>
          <w:color w:val="000000"/>
          <w:sz w:val="20"/>
          <w:lang w:val="en-US" w:eastAsia="en-US" w:bidi="ar-SA"/>
        </w:rPr>
        <w:t>Pollution control — Environmental legislation, interpretation — Land — Enforcement — Clean-up, cost of, liability for — Liability for, owner or person controlling pollutant — Orders — Stay of execution.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5" w:name="Case Summary_40"/>
            <w:bookmarkEnd w:id="29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Beazer East and Atlantic Industries for judicial review of the decision of the Environmental Appeal Board which upheld the decision of the Assistant Regional Waste Manager to name Beazer and Atlantic as responsible persons in a remediation order. The contaminated property was owned by Canadian National Railway and had been leased to the operator of a wood treatment business. The operator of the business later became known as Atlantic through an amalgamation of companies. Beazer was the parent corporation of the operator. Beazer had financial control over the operator, was involved in the environmental affairs of the business, and had control over the lease for the site. Previous remedial work had been conducted on the site and completed to the satisfaction of the Ministry of Environment. The Ministry later discovered additional problems with the site. The Minister issued a further remediation order naming the Railway, Beazer, and Atlantic as the responsible persons. Beazer argued that it was not an owner or operator merely by being the parent corporation of the operator. It further argued that it was entitled to an exemption as a result of its remediation work already done on the site. Atlantic argued that it became the operator after the contamination had already occurred and was improperly named as a responsible person. It also argued that it was an abuse of process to name Atlantic in the order as it was led to believe that the site had been properly remediated. The Board concluded that Beazer and Atlantic were correctly named as responsible persons by virtue of being previous owners and operators under the Waste Management Act. It found that Beazer had the right of control of the use of the property by virtue of the control it exerted over the business of the operator and that Atlantic became the operator following the amalgamation and took on the liabilities of the amalgamating companies. The Board also refused to grant Atlantic its request for a stay of the remediation order pending the resolution of cost recovery and allocation proceedings between the parties.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6" w:name="Holdings of Court_35"/>
            <w:bookmarkEnd w:id="296"/>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definition of owner and operator in the Act did not require actual control of the day to day operations. It was sufficient that Beazer was in control of any operation on the site. Beazer was not solely involved in the site providing remediation assistance and was therefore not exempt from being named as a responsible person. The Manager was not required to consider equitable factors in determining whether to name Atlantic as a responsible person. Based on the effect of the amalgamation, Atlantic became the operator of the site. There was no abuse of process, as the Ministry did not advise the operator at any time that no further remedial work was required. The Board did not have jurisdiction to stay the remediation order pending the outcome of other litigation.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7" w:name="Legislation Cited_27"/>
      <w:bookmarkEnd w:id="2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4"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Commercial River Rafting Safety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Competition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Comprehensive Environmental Response, Compensation and Liability Act, 42 U.S.C. 9601-9657.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Contaminated Sites Regulation, ss. 34, 35, 35(5).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Environment Management Act, </w:t>
      </w:r>
      <w:hyperlink r:id="rId723" w:history="1">
        <w:r>
          <w:rPr>
            <w:rFonts w:ascii="arial" w:eastAsia="arial" w:hAnsi="arial" w:cs="arial"/>
            <w:i/>
            <w:color w:val="0077CC"/>
            <w:sz w:val="20"/>
            <w:u w:val="single"/>
            <w:shd w:val="clear" w:color="auto" w:fill="FFFFFF"/>
            <w:lang w:val="en-US" w:eastAsia="en-US" w:bidi="ar-SA"/>
          </w:rPr>
          <w:t>R.S.B.C. 1996, c. 118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Health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Interpretation Act,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Pesticide Control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Pollution Control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Waste Management Act, R.S.B.C. 1996, c. 482, ss. 26(1), 26.2, 26.4, 26.5, 26.5(1), 26.5(1)(b), 26.5(1)(c), 26.5(3), 26.6(1), 26.6(1)(d), 26.6(1)(h), 27(1), 27(4), 27.1, 27.1(1), 27.1(2), 27.1(3), 27.1(4), 27.1(4)(b), 27.1(4)(b)(i), 27.1(4)(b)(ii), 27.2, 27.2(1), 27.3, 28.7, 43, 44, 45, 46, 47, 48, 54(20).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Waste Management Amendment Act,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Water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Wildlife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8" w:name="Counsel_46"/>
      <w:bookmarkEnd w:id="29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5"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Leonard T. Doust, Q.C., and Nicholas R. Hughes, for Beazer East, Inc. James M. Sullivan and Michelle B. Pockey, for Atlantic Industries Limited. Joyce Thayer and G. Morley, for Douglas T. Pope, in his capacity as Assistant Regional Waste Manager. Richard E. Bereti and S. Lesiuk, for Canadian National Railway Company. T. Murray Rankin, Q.C., and Matt D. Pollard, for the Environmental Appeal Board.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9" w:name="Judgment_45"/>
      <w:bookmarkEnd w:id="299"/>
      <w:r>
        <w:pict>
          <v:line id="_x0000_s1246" style="position:absolute;z-index:25185689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January 29, 2001.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0" w:name="TYSOE J."/>
            <w:bookmarkEnd w:id="300"/>
            <w:r>
              <w:rPr>
                <w:rFonts w:ascii="arial" w:eastAsia="arial" w:hAnsi="arial" w:cs="arial"/>
                <w:b/>
                <w:color w:val="000000"/>
                <w:sz w:val="30"/>
                <w:lang w:val="en-US" w:eastAsia="en-US" w:bidi="ar-SA"/>
              </w:rPr>
              <w:t>TYSOE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TABLE OF CONTENTS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Underlying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Decision of Environmental Appeal Board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Legislative Scheme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Legislative History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Standard of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Privative Clauses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Expertise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Purposes of the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Nature of the Problem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 Conclusion on Standard of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Principles of Statutory Interpretation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Summary of Beazer's Petition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Was Beazer a Previous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The Board's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Standard of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Discussion of Question of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Was Beazer a Previous Operator?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The Board's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Standard of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Discussion of Question of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Discussion of Question of Mixed Law and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Remediation Exemption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The Board's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Standard of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Discussion of Question of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Should Beazer have been named?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The Board's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Standard of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Discussion of Question of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Discussion of Question of Mixed Law and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 Discussion of Exercise of Discretion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Conclusions on Beazer's Petition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Summary of Atlantic's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Equitable Grounds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The Board's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Standard of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Discussion of Question of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Discussion of Questions of Mixed Law and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 Discussion of Exercise of Discretion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Private Agreements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The Board's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Standard of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Discussion of Question of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Abuse of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The Board's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Standard of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Discussion of Question of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Discussion of Question of Mixed Law and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Jurisdiction to Stay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The Board's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Standard of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Discussion of Question of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Conclusions on Atlantic's Petition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Beazer East, Inc. ("Beazer") and Atlantic Industries Limited ("Atlantic") both challenge, by way of judicial review, the decision of the Environmental Appeal Board (the "Board") dated March 29, 2000. The Board upheld the decision of the Assistant Regional Waste Manager (the "Manager") to name Beazer and Atlantic as responsible persons in a remediation order (the "Remediation Order") issued under s. 27.1 of the Waste Management Act </w:t>
      </w:r>
      <w:hyperlink r:id="rId724" w:history="1">
        <w:r>
          <w:rPr>
            <w:rFonts w:ascii="arial" w:eastAsia="arial" w:hAnsi="arial" w:cs="arial"/>
            <w:i/>
            <w:color w:val="0077CC"/>
            <w:sz w:val="20"/>
            <w:u w:val="single"/>
            <w:shd w:val="clear" w:color="auto" w:fill="FFFFFF"/>
            <w:lang w:val="en-US" w:eastAsia="en-US" w:bidi="ar-SA"/>
          </w:rPr>
          <w:t>R.S.B.C. 1996, c. 482</w:t>
        </w:r>
      </w:hyperlink>
      <w:r>
        <w:rPr>
          <w:rFonts w:ascii="arial" w:eastAsia="arial" w:hAnsi="arial" w:cs="arial"/>
          <w:color w:val="000000"/>
          <w:sz w:val="20"/>
          <w:lang w:val="en-US" w:eastAsia="en-US" w:bidi="ar-SA"/>
        </w:rPr>
        <w:t>, as amended (the "Act"). Canadian National Railway Company ("CNR") was also named as a responsible person in the Remediation Order, but it did not appeal the Manager's decision and it has supported the Remediation Order, both before the Board and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Beazer and Atlantic have separately challenged the Remediation Order in two different proceedings. I am issuing one set of Reasons for Judgment for both proceedings because it is the same decision of the Board which is the subject matter of each proceeding and the Petitions in the two proceedings were heard together. Although the basis for attacking the Remediation Order is different in each proceeding, there is considerable overlap between the two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UNDERLYING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propose to set out the underlying facts which I do not believe are in dispute. As these are judicial review proceedings, it would be inappropriate for me to make any findings of fact (except, possibly, by way of negating a finding of fact unsupported by the evidence). It would be particularly inappropriate for me to appear to make any findings of fact in the circumstances of this matter because some of the issues dealt with by the Board may also be considered by this Court in pending actions pursuant to s. 27(4) of the Act. Hence, I wish to stress that although I may state certain things as facts, I am not making any findings of fact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property which is the subject matter of the Remediation Order is located at 8335 Meadow Avenue, Burnaby, along the Fraser River (the "Site"). It is contaminated as a result of a wood treatment operation which was carried on from 1931 to 1982. The Site was owned throughout this period by CNR and was leased to the operators of the wood treatment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operator of the business remained the same from 1931 until the last 6 or 7 months of operation in 1982 but it had different names and owners, both during and after this period. It was named Timber Preservers Ltd. at the beginning of the period and changed its name to (i) TPL Industries Ltd. in 1967, (ii) Koppers International (Canada) Ltd. in 1973 and (iii) Atlantic Industries (Canada) Limited in 1989. I will refer to this company as the "Principal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1948, Swanson Lumber Co. Ltd. ("Swanson") acquired a controlling interest in the Principal Operator. In 1969, Beazer purchased the shares of Swanson and thereby became the parent corporation of the Principal Operator (although Beazer was then named Koppers Company Inc. and subsequently had another name, I will refer to it throughout as Beazer). This structure continued until 1981 when Beazer decided to sell Swanson, but not the Principal Operator. In order to facilitate the transaction, Beazer caused Swanson to transfer its shares in the Principal Operator to a numbered company owned by Beazer and the shares in Swanson were then transferred to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April 1980, the Ministry of Environment issued an order under the Pollution Control Act, the predecessor of the Act, requiring the Principal Operator to clean up oily contaminants on the surface of the Fraser River and on the bottom sediments along the river-bank. In June 1980, the Principal Operator was charged with discharging oily wastes into the Fraser River and another order was issued under the Pollution Control Act requiring the Principal Operator to undertake a detailed assessment of the Site and to clean up the residual contaminants. The Principal Operator pleaded guilty to one charge and was fined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November 1981, there was a spill of pentachlorophenol into the Fraser River from the Site and charges were laid under the Fisheries Act (Canada). The Principal Operator pleaded guilty to one charge and was fined $6,000. In June 1982, a pollution abatement order was issued to the Principal Operator under the Pollution Control Act. The order required the submission of plans for the dredging of the foreshore and reclamation of the shore of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spring of 1982, the Principal Operator sold its wood treatment assets to Domtar Inc. ("Domtar") which carried on the operation for approximately 6 months until it was permanently closed in the fall of 1982. The Principal Operator continued to carry on its other operations, which involved the manufacture of culverts at other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Remedial work was carried out at the Site and, in June 1983, the Ministry of Environment advised the Principal Operator that the Site had been cleaned to its satisfaction. The Site was monitored following the completion of the remedial work and the monitoring continued until 1986, when the Ministry of Environment internally concluded that the requirements of the pollution abatement order had been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1988, the shares in the Principal Operator were sold by Beazer to Border Enterprises Limited ("Border"). The Principal Operator amalgamated with another Border subsidiary in 1993 under the name of Atlantic (the other Border subsidiary had the same name as the amalgamated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CNR sold the Site to another party in 1984 and it has been sold on two subsequent occasions. The current owners are a group of eight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1995, potential problems regarding the Site were brought to the attention of the Manager. In the summer of 1997, following the proclamation of the current Part 4 of the Act, the Manager invited submissions as to who should be required to remediate the Site. After receiving submissions, the Manager issued the Remediation Order on December 19, 1997 naming the following parties as persons responsible for remediation at the Site under s. 26.5(1) of the Act:</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Beazer, as a previous owner, operator and producer;</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Atlantic, as a previous operator; and</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CNR, as a previous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Beazer and Atlantic each appealed the Manager's decision to name them in the Remediation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 OF ENVIRONMENTAL APPEAL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appeals of Beazer and Atlantic were pursuant to s. 44 of the Act to the Board, which was established under the Environment Management Act, </w:t>
      </w:r>
      <w:hyperlink r:id="rId723" w:history="1">
        <w:r>
          <w:rPr>
            <w:rFonts w:ascii="arial" w:eastAsia="arial" w:hAnsi="arial" w:cs="arial"/>
            <w:i/>
            <w:color w:val="0077CC"/>
            <w:sz w:val="20"/>
            <w:u w:val="single"/>
            <w:shd w:val="clear" w:color="auto" w:fill="FFFFFF"/>
            <w:lang w:val="en-US" w:eastAsia="en-US" w:bidi="ar-SA"/>
          </w:rPr>
          <w:t>R.S.B.C. 1996, c. 118</w:t>
        </w:r>
      </w:hyperlink>
      <w:r>
        <w:rPr>
          <w:rFonts w:ascii="arial" w:eastAsia="arial" w:hAnsi="arial" w:cs="arial"/>
          <w:color w:val="000000"/>
          <w:sz w:val="20"/>
          <w:lang w:val="en-US" w:eastAsia="en-US" w:bidi="ar-SA"/>
        </w:rPr>
        <w:t>. Under s. 47 of the Act, the Board is authorized to confirm, reverse or vary the Manager's decision or to make any decision that the Manager could have made. The appeal was a hearing de novo and, after hearing evidence called by the parties, the Board made its own decisions with respect to the Remediation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will discuss the Board's decision in greater detail as I deal with the various challenges by Beazer and Atlantic. At this stage, I will simply set out a summary of the Board's conclusions: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Beazer was a responsible person by virtue of being a previous owner and operator under s. 26.5(1)(b) of the Act but the Manager was wrong in concluding that Beazer had been a producer under s. 26.5(1)(c);</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Beazer was not entitled to an exemption under s. 26.6(1)(h) as being a person who provided assistance or advice respecting remediation work;</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Manager had not improperly exercised his discretion in naming Beazer as a responsible person in the Remediation Order;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Atlantic was a responsible person by virtue of being a previous owner and operator under s. 26.5(1)(b);</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Atlantic was not entitled to an exemption under s. 26.6(1)(d) as being a person who became an owner of a contaminated site without knowledge of the contamination;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Manager had not improperly exercised his discretion in naming Atlantic as a responsible person in the Remediation Order;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Remediation Order should not be vacated against Atlantic on the basis of an abuse of process;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had no jurisdiction to stay the Remediation Order as against Atlantic pending the resolution of the outstanding legal action authorized by s. 27(4).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result, the Board dismissed the appeals of Beazer and Atlantic and upheld the Remediation Order, with the exception of the reference to Beazer being a producer under s. 26.5(1)(c).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these proceedings, Beazer challenges each of the Board's conclusions relating to it and Atlantic challenges the last three of the Board's conclusions. Atlantic does not challenge the conclusions that it is a responsible person as a previous owner and operator and that it is not entitled to an exemption under s. 26.6(1)(d).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LEGISLATIVE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Part 4 of the Act was brought into force on April 1, 1997. At the same time, the Cabinet enacted the Contaminated Sites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Section 26.2 of the Act authorizes a manager to order an investigation of a site which he or she suspects is contaminated. Section 26.4 allows a manager to make a determination that a site is contaminated.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Section 26.5 provides that certain listed categories of persons are responsible for remediation of a contaminated site. The categories include current and previous owners and operators of sites. Those terms are defined in s. 26(1)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"owner" means a person who is in possession of, has the right of control of, occupies or controls the use of real property, including, without limitation, a person who has any estate or interest, legal or equitable, in the real property, but does not include a secured creditor unless the secured creditor is described in section 26.5(3);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"operator" means, subject to subsection (2), a person who is or was in control of or responsible for any operation located at a contaminated site, but does not include a secured creditor unless the secured creditor is described in section 26.5(3);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Subsection (2), which is referred to in the definition of "operator", has no application to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Section 26.6(1) lists the exemptions for persons who are not responsible for remediating a contaminated site. The one which is relevant to this matter is clause (h), which reads as follows:</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provides assistance or advice respecting remediation work at a contaminated site in accordance with this Act, unless the assistance or advice was carried out in a negligent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Section 27(1) states that a responsible person is "absolutely, retroactively and jointly and severally liable" for reasonably incurred costs of remediation of the contaminated site. Section 27(4) provides that any person who incurs costs in carrying out remediation at a contaminated site may pursue legal action for costs of remediation from one or more responsible persons. This is the legal proceeding which has been called a "cost recovery action" or an "allocation proceeding". In addition to these terms, I will refer to it as a "cost recovery/allocation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Section 27.1 is very important in these proceedings. Subsection (1) reads as follows:</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manager may issue a remediation order to any responsible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Subsection (2) states that a remediation order may require the named persons to undertake remediation, make a financial contribution to another person who had incurred remediation costs or give security. Subsection (3) sets out factors for the manager to consider when deciding whether remediation should begin promptly. Subsection (4) reads as follows:</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considering who will be ordered to undertake or contribute to remediation under subsections (1) and (2), a manager must to the extent feasible without jeopardizing remediation requirements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take into account private agreements respecting liability for remediation between or among responsible persons, if those agreements are known to the manager, and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basis of information known to the manager, name one or more persons whose activities, directly or indirectly, contributed most substantially to the site becoming a contaminated site, taking into account factors such as</w:t>
      </w:r>
    </w:p>
    <w:p>
      <w:pPr>
        <w:numPr>
          <w:numId w:val="7"/>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involvement by the persons in the generation, transportation, treatment, storage or disposal of any substance that contributed, in whole or in part, to the site becoming a contaminated site, and</w:t>
      </w:r>
    </w:p>
    <w:p>
      <w:pPr>
        <w:numPr>
          <w:numId w:val="8"/>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diligence exercised by persons with respect to the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Section 27.2 provides that on request of a person, a manager may appoint an allocation panel to provide an opinion on, among other things, the contribution of a responsible person to the contamination. The section sets out the factors for the allocation panel to take into account. The opinion of the allocation panel is not binding on the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Section 27.3 allows a manager to determine a responsible person to be a minor contributor, in which case that person is not liable in a cost recovery/allocation proceeding for more than the amount or portion of the remediation costs specified by the manager. Section 27.4 contains provisions for the manager to enter into voluntary remediation agreements with responsible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Section 28.7 states that a manager may exercise any of the manager's powers even though they may have been previously exercised if one of 6 conditions exists. Those conditions include additional information becoming available, revised standards and the site posing a threat to human health or the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final provision of the Act relevant to these proceedings which I will mention at this stage is s. 54(20). It states that a person who fails to comply with a remediation order commits an offence and is liable to a fine up to the sum of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pertinent sections of the Contaminated Sites Regulation are ss. 34 and 35. Section 34 states that nothing in s. 27(1) of the Act shall be construed as prohibiting the apportionment of liability by a manager through the issuance of a remediation order or by the court in a cost recovery/allocation proceeding. Section 35 of the Regulation contains provisions governing certain aspects of cost recovery/allocation proceedings. Subsection (2) sets out the factors to be considered in determining the appropriate allocation between responsible persons. These factors are similar, but not identical, to the factors to be considered by an allocation panel under s. 27.2 of the Act. The wording of subsection (5) is relevant to one of the issues in these proceedings, and it reads as follows: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under section 27(4) of the Act, a corporation is not liable for the costs of remediation arising from the actions of a subsidiary corporation unless the plaintiff can prove that the corporation authorized, permitted or acquiesced in the activity of the subsidiary corporation which gave rise to the costs of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similar provision with respect to the liability of directors, officers and employees is contained in the preceding subsection.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LEGISLATIVE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view of the submissions made by the parties, it is also necessary to consider the history of the enactment of Part 4 of the Act and the Contaminated Sites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March 1993, a group called the Canadian Council of Ministers of the Environment (the "CCME") produced a report on contaminated site liability. The report was prepared by a core group of 10 organizations which included the environment ministries of 4 provinces and the federal government. The B.C. environment ministry was not part of the core group but it was one of the 38 organizations listed as workshop participants.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CCME report made 13 recommendations with a view of providing a model framework upon which individual governments in Canada could develop legislation. One of the stated objectives was to promote and facilitate a consistent approach to the issue of environmental liability across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CCME report recommended that the most effective way to cast a broad net of liability was to list specific classes of persons who may be identified as potential responsible persons and to have a "catch-all clause" to bring in other potentially responsible persons into the net. It suggested that the list could include, among others, parent corporations. The report noted that industry representatives had made the point that parent corporations should remain in the net only if the subsidiary corporation was established primarily to avoid responsibility. After pointing out the position of the industry representatives, the report stated that it was only recommending 2 other statutory exemptions (namely, exemptions in respect of lenders and receivers/trustees).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Part 4 of the Act was added by the Waste Management Amendment Act, 1993. It was passed by the Legislature on June 15, 1993 but it was not proclaimed until April 1, 1997. In the meantime, the Ministry of Environment, Lands and Parks retained a professor at the University of Victoria, Chris Tollefson, to conduct an external review of Part 4 and associated draft regulations. After holding stakeholder consultation meetings and analyzing the remediation scheme, Professor Tollefson issued a report dated July 31,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Professor Tollefson concluded that Part 4 would operate in a manner that is consistent with the Ministry's principle of "polluter pay" but that the regime could be overbroad in some limited respects by imposing liabilities on responsible persons that are disproportionate to their relative contribution to site contamination. One of the areas of concern was the imposition of liability on a parent corporation for the actions of its subsidiary.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his report Professor Tollefson said the following about the definition of "owner" in Part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Interpreted literally, the italicized phrase "has the right to control of" found in the definition of "owner" would appear to expand the potential liability of parent corporations considerably beyond the common law concepts of "sham" and "agency". Indeed the terminology "right of control" would seem to justify attributing liability directly to a parent where the parent had only an unexercised capacity to control the affairs of the subsidiary.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went on to express the concern that there was a very real prospect that parent corporations will be named in private cost recovery actions involving their subsidiaries even where there is no evidence to suggest that the parent exercised any control over the activities of the subsidiary. He concluded that cost recovery plaintiffs should be required to prove that the parent corporation "authorized, permitted or acquiesced" in the activity giving rise to the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interject to observe that Professor Tollefson did not explain the rational of why parent corporations which do not authorize, permit or acquiesce in the contaminating activity should be given a defence in cost recovery/allocation proceedings but should still be exposed to being named in remediation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Cabinet apparently accepted Professor Tollefson's recommendation in this regard because the wording recommended by him is found in s. 35(5) of the Contaminated Sites Regulation which was enacted on April 1, 1997, the same day on which the Waste Management Amendment Act, 1993 was proclaimed.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traditional approach in considering whether the court should interfere with the decision of an administrative tribunal was to determine whether the tribunal had made a jurisdictional error. The approach has been changed by a number of decisions of the Supreme Court of Canada in the past dozen years to what is called the "pragmatic and functional approach". The change began in U.E.S. Local 298 v. Bibeault, </w:t>
      </w:r>
      <w:hyperlink r:id="rId725" w:history="1">
        <w:r>
          <w:rPr>
            <w:rFonts w:ascii="arial" w:eastAsia="arial" w:hAnsi="arial" w:cs="arial"/>
            <w:i/>
            <w:color w:val="0077CC"/>
            <w:sz w:val="20"/>
            <w:u w:val="single"/>
            <w:shd w:val="clear" w:color="auto" w:fill="FFFFFF"/>
            <w:lang w:val="en-US" w:eastAsia="en-US" w:bidi="ar-SA"/>
          </w:rPr>
          <w:t>[1988] 2 S.C.R. 1048</w:t>
        </w:r>
      </w:hyperlink>
      <w:r>
        <w:rPr>
          <w:rFonts w:ascii="arial" w:eastAsia="arial" w:hAnsi="arial" w:cs="arial"/>
          <w:color w:val="000000"/>
          <w:sz w:val="20"/>
          <w:lang w:val="en-US" w:eastAsia="en-US" w:bidi="ar-SA"/>
        </w:rPr>
        <w:t xml:space="preserve"> and has continued with three decisions which all counsel agree are the leading authorities for the purposes of these proceedings, Pezim v. British Columbia (Superintendent of Brokers), </w:t>
      </w:r>
      <w:hyperlink r:id="rId726" w:history="1">
        <w:r>
          <w:rPr>
            <w:rFonts w:ascii="arial" w:eastAsia="arial" w:hAnsi="arial" w:cs="arial"/>
            <w:i/>
            <w:color w:val="0077CC"/>
            <w:sz w:val="20"/>
            <w:u w:val="single"/>
            <w:shd w:val="clear" w:color="auto" w:fill="FFFFFF"/>
            <w:lang w:val="en-US" w:eastAsia="en-US" w:bidi="ar-SA"/>
          </w:rPr>
          <w:t>[1994] 2 S.C.R. 557</w:t>
        </w:r>
      </w:hyperlink>
      <w:r>
        <w:rPr>
          <w:rFonts w:ascii="arial" w:eastAsia="arial" w:hAnsi="arial" w:cs="arial"/>
          <w:color w:val="000000"/>
          <w:sz w:val="20"/>
          <w:lang w:val="en-US" w:eastAsia="en-US" w:bidi="ar-SA"/>
        </w:rPr>
        <w:t xml:space="preserve">, Canada (Director of Investigation and Research) v. Southam Inc., </w:t>
      </w:r>
      <w:hyperlink r:id="rId727" w:history="1">
        <w:r>
          <w:rPr>
            <w:rFonts w:ascii="arial" w:eastAsia="arial" w:hAnsi="arial" w:cs="arial"/>
            <w:i/>
            <w:color w:val="0077CC"/>
            <w:sz w:val="20"/>
            <w:u w:val="single"/>
            <w:shd w:val="clear" w:color="auto" w:fill="FFFFFF"/>
            <w:lang w:val="en-US" w:eastAsia="en-US" w:bidi="ar-SA"/>
          </w:rPr>
          <w:t>[1997] 1 S.C.R. 748</w:t>
        </w:r>
      </w:hyperlink>
      <w:r>
        <w:rPr>
          <w:rFonts w:ascii="arial" w:eastAsia="arial" w:hAnsi="arial" w:cs="arial"/>
          <w:color w:val="000000"/>
          <w:sz w:val="20"/>
          <w:lang w:val="en-US" w:eastAsia="en-US" w:bidi="ar-SA"/>
        </w:rPr>
        <w:t xml:space="preserve"> and Pushpanathan v. Canada (Minister of Citizenship and Immigration), </w:t>
      </w:r>
      <w:hyperlink r:id="rId728" w:history="1">
        <w:r>
          <w:rPr>
            <w:rFonts w:ascii="arial" w:eastAsia="arial" w:hAnsi="arial" w:cs="arial"/>
            <w:i/>
            <w:color w:val="0077CC"/>
            <w:sz w:val="20"/>
            <w:u w:val="single"/>
            <w:shd w:val="clear" w:color="auto" w:fill="FFFFFF"/>
            <w:lang w:val="en-US" w:eastAsia="en-US" w:bidi="ar-SA"/>
          </w:rPr>
          <w:t>[1998] 1 S.C.R. 982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Pezim, the Court stressed that there is a spectrum for the applicable standard of review. It ranges from a standard of correctness to a standard of reasonableness. At the correctness end of the spectrum, the courts give the least amount of deference to the administrative tribunal and will interfere if the decision of the tribunal is incorrect. At the other end of the spectrum, the courts give the highest level of deference to the tribunal and will only interfere if the decision is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Although the standard of review can be located at any point along the spectrum, the Court in Southam gave recognition to a particular point on the spectrum between the two extremes. This point is a standard of reasonableness simpliciter. The Court explained this third standard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third standard should be whether the decision of the Tribunal is unreasonable. This test is to be distinguished from the most deferential standard of review, which requires courts to consider whether a tribunal's decision is patently unreasonable. An unreasonable decision is one that, in the main, is not supported by any reasons that can stand up to a somewhat probing examination. Accordingly, a court reviewing a conclusion on the reasonableness standard must look to see whether any reasons support it. The defect, if there is one, could presumably be in the evidentiary foundation itself or in the logical process by which conclusions are sought to be drawn from it. An example of the former kind of defect would be an assumption that had no basis in the evidence, or that was contrary to the overwhelming weight of the evidence. An example of the latter kind of defect would be a contradiction in the premises or an invalid inference.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difference between "unreasonable" and "patently unreasonable" lies in the immediacy or obviousness of the defect. If the defect is apparent on the face of the tribunal's reasons, then the tribunal's decision is patently unreasonable. But if it takes some significant searching or testing to find the defect, then the decision is unreasonable but not patently unreasonable. (pp. 776-7)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also stated the standard of reasonableness simpliciter was closely akin to the "clearly wrong" test utilized by appellate courts in reviewing findings of fact by trial judges. The Court concluded in this regard by stating that "the standard of reasonableness simply instructs reviewing courts to accord considerable weight to the views of tribunals about matters with respect to which they have significant expertise" (at p. 779).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difference between "unreasonableness" and "patent unreasonableness" is demonstrated in Kovach v. British Columbia (Workers' Compensation Board), </w:t>
      </w:r>
      <w:hyperlink r:id="rId729" w:history="1">
        <w:r>
          <w:rPr>
            <w:rFonts w:ascii="arial" w:eastAsia="arial" w:hAnsi="arial" w:cs="arial"/>
            <w:i/>
            <w:color w:val="0077CC"/>
            <w:sz w:val="20"/>
            <w:u w:val="single"/>
            <w:shd w:val="clear" w:color="auto" w:fill="FFFFFF"/>
            <w:lang w:val="en-US" w:eastAsia="en-US" w:bidi="ar-SA"/>
          </w:rPr>
          <w:t>[2000] 1 S.C.R. 55</w:t>
        </w:r>
      </w:hyperlink>
      <w:r>
        <w:rPr>
          <w:rFonts w:ascii="arial" w:eastAsia="arial" w:hAnsi="arial" w:cs="arial"/>
          <w:color w:val="000000"/>
          <w:sz w:val="20"/>
          <w:lang w:val="en-US" w:eastAsia="en-US" w:bidi="ar-SA"/>
        </w:rPr>
        <w:t xml:space="preserve">, a decision in which the Supreme Court of Canada allowed the appeal substantially for the dissenting reasons of Donald J.A. in the B.C. Court of Appeal (Re Kovach </w:t>
      </w:r>
      <w:hyperlink r:id="rId730" w:history="1">
        <w:r>
          <w:rPr>
            <w:rFonts w:ascii="arial" w:eastAsia="arial" w:hAnsi="arial" w:cs="arial"/>
            <w:i/>
            <w:color w:val="0077CC"/>
            <w:sz w:val="20"/>
            <w:u w:val="single"/>
            <w:shd w:val="clear" w:color="auto" w:fill="FFFFFF"/>
            <w:lang w:val="en-US" w:eastAsia="en-US" w:bidi="ar-SA"/>
          </w:rPr>
          <w:t>(1998), 52 B.C.L.R. (3d) 98</w:t>
        </w:r>
      </w:hyperlink>
      <w:r>
        <w:rPr>
          <w:rFonts w:ascii="arial" w:eastAsia="arial" w:hAnsi="arial" w:cs="arial"/>
          <w:color w:val="000000"/>
          <w:sz w:val="20"/>
          <w:lang w:val="en-US" w:eastAsia="en-US" w:bidi="ar-SA"/>
        </w:rPr>
        <w:t>. In contrast to the standard of reasonableness simpliciter, which involves a "somewhat probing examination", Donald J.A. stated that the review test for patent unreasonableness is whether the result is patently unreasonable, irrespective of whether there may be defects in the tribunal's reasoning (at p. 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Pushpanathan, the Court set out the following four factors to be taken into account when applying the pragmatic and functional approach to determine the standard of review:</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privative clauses;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expertise;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purpose of the Act as a whole, and the provision in particular;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will now review these factors within the context of this matter.</w:t>
      </w:r>
      <w:r>
        <w:rPr>
          <w:rFonts w:ascii="arial" w:eastAsia="arial" w:hAnsi="arial" w:cs="arial"/>
          <w:sz w:val="20"/>
          <w:lang w:val="en-US" w:eastAsia="en-US" w:bidi="ar-SA"/>
        </w:rPr>
        <w:cr/>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Privative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is neither a private clause nor a statutory right of appeal under the Act. In Pushpanathan, the Court stated that the absence of a privative clause does not imply a high standard of scrutiny where the other factors suggest a low standard and that a statutory right of appeal suggests a more searching standard of review. (at p. 773)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While the absence of a privative clause and a statutory right of appeal suggests that this factor does not point strongly to either extreme of the spectrum, there is another aspect of the legislation which I believe should be taken into account when considering this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While the Act empowers a manager to investigate and determine whether a site is contaminated and to order responsible persons to remediate the site, the Legislature decided that the courts should be authorized to determine the allocation of responsibility for the contamination. Section 27(4) of the Act provides that any person who incurs costs of remediation may commence legal action for contribution from one or more responsible persons and s. 35(5) of the Contaminated Sites Regulation sets out the factors to be considered by the court in such an action. Section 27.2(1) also provides for allocation of responsibility to be considered by an allocation panel but the opinions of allocation panels are not binding and it is more likely that a person who incurs remediation costs will resort to legal action unless there is a reasonable prospect of a voluntary remediation agreement among all responsible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an action under s. 27(4), it will be necessary for the courts to determine who are responsible persons in order to allocate the responsibility for the contamination. This means that the courts will be considering the definitions of, among others, "owner" and "operator", the interpretation of which is central to Beazer's challenge of the Board's decision in this case. In other cases, both the courts and the Board will have to interpret s. 26.5 to determine if persons are responsible persons by virtue of being producers or transporters.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view, it would lead to embarrassment and unjust results if the courts and the Board arrived at different interpretations of the definitions of "owner" and "operator" (or any other provision of the Act in common to both the remediation order process and cost recovery/allocation proceedings). This points to a lesser degree of deference to be accorded to the Board in its interpretation of these two definitions.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my understanding that counsel for the Manager agrees with my conclusion in this regard but counsel for the Board submits that the existence of a civil cause of action is not relevant to the Court's determination of the standard of review. Counsel points to the Southam case, which involved the Competition Act, and says that it also contains provisions by which individual plaintiffs can pursue statutory civil actions based on conduct contrary to the offence provisions of that Act. The distinction to be made, in my view, is that the Southam decision involved an issue of mixed law and fact while the interpretation of the definitions in this case is an issue of law. There is much less likelihood of embarrassment and unjust results with respect to contrary conclusions by the courts and the administrative tribunal on issues of mixed law and fact because the facts will be different in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should not be taken as saying that this factor is determinative of the standard of review. I am simply saying that it is a factor to be taken into account and that it is a factor which weighs in the direction of less deference. It may well be outweighed by other factors.</w:t>
      </w:r>
      <w:r>
        <w:rPr>
          <w:rFonts w:ascii="arial" w:eastAsia="arial" w:hAnsi="arial" w:cs="arial"/>
          <w:sz w:val="20"/>
          <w:lang w:val="en-US" w:eastAsia="en-US" w:bidi="ar-SA"/>
        </w:rPr>
        <w:cr/>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Southam, the factor of expertise was described as the most important of the factors that a court must consider in settling on the appropriate standard of review (at p. 773).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Pushpanathan, Bastarache J., on behalf of the majority of the Court, reiterated that expertise is a relative, not an absolute concept. He explained the dimensions of this factor: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Making an evaluation of relative expertise has three dimensions: the court must characterize the expertise of the tribunal in question; it must consider its own expertise relative to that of the tribunal; and it must identify the nature of the specific issue before the administrative decision-maker relative to this expertise. (p. 1007)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then observed that the criteria of expertise and the nature of the problem are closely interrelated. Bastarache J. also commented that if a broad relative expertise is established, the Court is sometimes prepared to show considerable deference even in cases of highly generalized statutory interpretation where the instrument being interpreted is the tribunal's constituent legislation. (at p. 1007 of [1997] 1 S.C.R.) In Pushpanathan itself, the Court concluded that the decision of the tribunal should be subjected to a standard of correctness because, for among other reasons, the tribunal did not enjoy relative expertise on the issue of law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the present case, the Board was established in 1981 under the Environment Management Act. In addition to its functions under the Act, it hears appeals under several other environmental statutes, including the Commercial River Rafting Safety Act, the Health Act, the Pesticide Control Act, the Water Act and the Wildlife Act. Counsel for the Board advised that its members presently include a health professional, several professional engineers, a biologist, a consultant on environmental regulatory issues, a pulp and paper worker with experience as an environmental officer, an agrologist, a retired industrial arts instructor, a former Crown counsel and several lawyers specializing in environmental law. The expertise of the Board in environmental matters has been recognized in numerous previous decisions: see Olson v. British Columbia (Ministry of Environment Wildlife Branch, Director), </w:t>
      </w:r>
      <w:hyperlink r:id="rId731" w:history="1">
        <w:r>
          <w:rPr>
            <w:rFonts w:ascii="arial" w:eastAsia="arial" w:hAnsi="arial" w:cs="arial"/>
            <w:i/>
            <w:color w:val="0077CC"/>
            <w:sz w:val="20"/>
            <w:u w:val="single"/>
            <w:shd w:val="clear" w:color="auto" w:fill="FFFFFF"/>
            <w:lang w:val="en-US" w:eastAsia="en-US" w:bidi="ar-SA"/>
          </w:rPr>
          <w:t>[1989] B.C.J. No. 1579</w:t>
        </w:r>
      </w:hyperlink>
      <w:r>
        <w:rPr>
          <w:rFonts w:ascii="arial" w:eastAsia="arial" w:hAnsi="arial" w:cs="arial"/>
          <w:color w:val="000000"/>
          <w:sz w:val="20"/>
          <w:lang w:val="en-US" w:eastAsia="en-US" w:bidi="ar-SA"/>
        </w:rPr>
        <w:t xml:space="preserve"> (B.C.S.C.) British Columbia (Minister of Health) v. British Columbia (Environmental Appeal Board) </w:t>
      </w:r>
      <w:hyperlink r:id="rId732" w:history="1">
        <w:r>
          <w:rPr>
            <w:rFonts w:ascii="arial" w:eastAsia="arial" w:hAnsi="arial" w:cs="arial"/>
            <w:i/>
            <w:color w:val="0077CC"/>
            <w:sz w:val="20"/>
            <w:u w:val="single"/>
            <w:shd w:val="clear" w:color="auto" w:fill="FFFFFF"/>
            <w:lang w:val="en-US" w:eastAsia="en-US" w:bidi="ar-SA"/>
          </w:rPr>
          <w:t>(1996), 26 B.C.L.R. (3d) 367</w:t>
        </w:r>
      </w:hyperlink>
      <w:r>
        <w:rPr>
          <w:rFonts w:ascii="arial" w:eastAsia="arial" w:hAnsi="arial" w:cs="arial"/>
          <w:color w:val="000000"/>
          <w:sz w:val="20"/>
          <w:lang w:val="en-US" w:eastAsia="en-US" w:bidi="ar-SA"/>
        </w:rPr>
        <w:t xml:space="preserve"> (B.C.S.C.) Howe Sound Pulp &amp; Paper v. B.C. (Environmental Appeal Bd.) </w:t>
      </w:r>
      <w:hyperlink r:id="rId733" w:history="1">
        <w:r>
          <w:rPr>
            <w:rFonts w:ascii="arial" w:eastAsia="arial" w:hAnsi="arial" w:cs="arial"/>
            <w:i/>
            <w:color w:val="0077CC"/>
            <w:sz w:val="20"/>
            <w:u w:val="single"/>
            <w:shd w:val="clear" w:color="auto" w:fill="FFFFFF"/>
            <w:lang w:val="en-US" w:eastAsia="en-US" w:bidi="ar-SA"/>
          </w:rPr>
          <w:t>(1999), 29 C.E.L.R. (N.S.) 225</w:t>
        </w:r>
      </w:hyperlink>
      <w:r>
        <w:rPr>
          <w:rFonts w:ascii="arial" w:eastAsia="arial" w:hAnsi="arial" w:cs="arial"/>
          <w:color w:val="000000"/>
          <w:sz w:val="20"/>
          <w:lang w:val="en-US" w:eastAsia="en-US" w:bidi="ar-SA"/>
        </w:rPr>
        <w:t xml:space="preserve"> (B.C.S.C.) and Swamy v. Tham Demolition Ltd., </w:t>
      </w:r>
      <w:hyperlink r:id="rId734" w:history="1">
        <w:r>
          <w:rPr>
            <w:rFonts w:ascii="arial" w:eastAsia="arial" w:hAnsi="arial" w:cs="arial"/>
            <w:i/>
            <w:color w:val="0077CC"/>
            <w:sz w:val="20"/>
            <w:u w:val="single"/>
            <w:shd w:val="clear" w:color="auto" w:fill="FFFFFF"/>
            <w:lang w:val="en-US" w:eastAsia="en-US" w:bidi="ar-SA"/>
          </w:rPr>
          <w:t>[2000] B.C.J. No. 1734</w:t>
        </w:r>
      </w:hyperlink>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2000 BCSC 1253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pointed by Bastarache J. in Pushpanathan, it is necessary to consider the aspect of expertise in light of the nature of the issue before the tribunal and the Court must consider its own expertise relative to that of the tribunal. There are numerous issues in question in these proceedings. Some of them are matters of statutory interpretation in respect of which the Court has more expertise than the Board. The Act is not the Board's constituent legislation and the issues of statutory interpretation do not involve questions which engage the Board's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Some of the issues relate to the jurisdiction of the Board. It is agreed by all counsel that true questions of jurisdiction are subject to a standard of correctness, but there are disagreements as to whether particular issues which have classified by Atlantic as questions of jurisdiction properly fall within that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are issues which are not solely restricted to statutory interpretation or the Board's jurisdiction. The Board's expertise does come into play with respect to such issues and deference should be given to the Board on those issues. As the level of the Board's expertise increases, the level of deference given to the Board's decision will increase correspondingly.</w:t>
      </w:r>
      <w:r>
        <w:rPr>
          <w:rFonts w:ascii="arial" w:eastAsia="arial" w:hAnsi="arial" w:cs="arial"/>
          <w:sz w:val="20"/>
          <w:lang w:val="en-US" w:eastAsia="en-US" w:bidi="ar-SA"/>
        </w:rPr>
        <w:cr/>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Purposes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purposes of the Act are the prevention of pollution and the identification and remediation of contaminated sites: see Howe Sound Pulp &amp; Paper (at p. 231), Swamy (at para. 36) and Re the Queen in Right of British Columbia and Alpha Manufacturing Inc. </w:t>
      </w:r>
      <w:hyperlink r:id="rId735" w:history="1">
        <w:r>
          <w:rPr>
            <w:rFonts w:ascii="arial" w:eastAsia="arial" w:hAnsi="arial" w:cs="arial"/>
            <w:i/>
            <w:color w:val="0077CC"/>
            <w:sz w:val="20"/>
            <w:u w:val="single"/>
            <w:shd w:val="clear" w:color="auto" w:fill="FFFFFF"/>
            <w:lang w:val="en-US" w:eastAsia="en-US" w:bidi="ar-SA"/>
          </w:rPr>
          <w:t>(1996), 132 D.L.R. (4th) 688</w:t>
        </w:r>
      </w:hyperlink>
      <w:r>
        <w:rPr>
          <w:rFonts w:ascii="arial" w:eastAsia="arial" w:hAnsi="arial" w:cs="arial"/>
          <w:color w:val="000000"/>
          <w:sz w:val="20"/>
          <w:lang w:val="en-US" w:eastAsia="en-US" w:bidi="ar-SA"/>
        </w:rPr>
        <w:t xml:space="preserve"> (B.C.C.A.) at p. 693. It is the latter purpose which is the focus of Part 4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Swamy, Hunter J. concluded that the principles set out in R. v. Consolidated Maybrun Mines Ltd., </w:t>
      </w:r>
      <w:hyperlink r:id="rId736" w:history="1">
        <w:r>
          <w:rPr>
            <w:rFonts w:ascii="arial" w:eastAsia="arial" w:hAnsi="arial" w:cs="arial"/>
            <w:i/>
            <w:color w:val="0077CC"/>
            <w:sz w:val="20"/>
            <w:u w:val="single"/>
            <w:shd w:val="clear" w:color="auto" w:fill="FFFFFF"/>
            <w:lang w:val="en-US" w:eastAsia="en-US" w:bidi="ar-SA"/>
          </w:rPr>
          <w:t>[1998] 1 S.C.R. 706</w:t>
        </w:r>
      </w:hyperlink>
      <w:r>
        <w:rPr>
          <w:rFonts w:ascii="arial" w:eastAsia="arial" w:hAnsi="arial" w:cs="arial"/>
          <w:color w:val="000000"/>
          <w:sz w:val="20"/>
          <w:lang w:val="en-US" w:eastAsia="en-US" w:bidi="ar-SA"/>
        </w:rPr>
        <w:t xml:space="preserve"> by the Supreme Court of Canada applied to our legislation. In that case, the Court held that the purpose of the legislation before it was to prevent and remedy environmental contamination. The Court also said the following about the remediation purpose: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Such a purpose requires rapid and effective means in order to ensure that any necessary action is taken promptly. This purpose is reflected both in the scope of the powers conferred on the Director and in the establishment of an appeal procedure designed to counterbalance the broad powers conferred on the Director by affording affected individuals an opportunity to present their points of view and assert their rights as quickly as possible...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Similarly, the purpose of remediation under the Act encompasses the need for expeditious action. The Act empowers a manager to issue a remediation order as required and anyone named as a responsible person has a right of appeal to the Board. The ultimate allocation of responsibility is left by the Act to a more time-consuming court process unless there is a voluntary remediation agreement among all responsible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These purposes point to a higher level of deference to the Board, especially in situations where its expertise is engaged or where the matter in question involves an exercise of discretion by a manager or the Board.</w:t>
      </w:r>
      <w:r>
        <w:rPr>
          <w:rFonts w:ascii="arial" w:eastAsia="arial" w:hAnsi="arial" w:cs="arial"/>
          <w:sz w:val="20"/>
          <w:lang w:val="en-US" w:eastAsia="en-US" w:bidi="ar-SA"/>
        </w:rPr>
        <w:cr/>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was an instructive discussion in Southam about this topic. The Court summarized the types of potential problems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Briefly stated, questions of law are questions about what the correct legal test is; questions of fact are questions about what actually took place between the parties; and questions of mixed law and fact are questions about whether the facts satisfy the legal tests. A simple example will illustrate these concepts. In the law of tort, the question what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means is a question of law. The question whether the defendant did this or that is a question of fact. And, once it has been decided that the applicable standard is one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question whether the defendant satisfied the appropriate standard of care is a question of mixed law and fact. I recognize, however, that the distinction between law on the one hand and mixed law and fact on the other is difficult. (pp. 766-7)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gave guidance with respect to distinguishing between questions of law and questions of mixed law and fact in the following passage: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some extent, then, the question resembled one of mixed law and fact. But the question was one of law, in part because the words in question were present in a statutory provision and questions of statutory interpretation are generally questions of law, but also because the point in controversy was one which might potentially arise in many cases in the future... (p. 767)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present context, the interpretation of the definitions of "owner" and "operator" in the Act involves statutory interpretation and is likely to arise in many cases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Court also gave an example of the difficulty in distinguishing between questions of law and questions of mixed law and fact: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decision-maker says that the correct test requires him or her to consider A, B, C, and D, but in fact the decision-maker considers only A, B, and C, then the outcome is as if he or she had applied a law that required consideration of only A, B, and C. If the correct test requires him or her to consider D as well, then the decision-maker has in effect applied the wrong law, and so has made an error of law. (pp. 768-9)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Another type of problem involved in this case is the exercise of discretion by the Manager. In Baker v. Canada (Minister of Citizenship and Immigration), </w:t>
      </w:r>
      <w:hyperlink r:id="rId62" w:history="1">
        <w:r>
          <w:rPr>
            <w:rFonts w:ascii="arial" w:eastAsia="arial" w:hAnsi="arial" w:cs="arial"/>
            <w:i/>
            <w:color w:val="0077CC"/>
            <w:sz w:val="20"/>
            <w:u w:val="single"/>
            <w:shd w:val="clear" w:color="auto" w:fill="FFFFFF"/>
            <w:lang w:val="en-US" w:eastAsia="en-US" w:bidi="ar-SA"/>
          </w:rPr>
          <w:t>[1999] 2 S.C.R. 817</w:t>
        </w:r>
      </w:hyperlink>
      <w:r>
        <w:rPr>
          <w:rFonts w:ascii="arial" w:eastAsia="arial" w:hAnsi="arial" w:cs="arial"/>
          <w:color w:val="000000"/>
          <w:sz w:val="20"/>
          <w:lang w:val="en-US" w:eastAsia="en-US" w:bidi="ar-SA"/>
        </w:rPr>
        <w:t>, the Supreme Court of Canada confirmed that the pragmatic and functional approach should be applied in deciding the amount of deference to be given to the exercise of discretion by an administrative decision-maker. Included in the factors to be considered are the amount of choice given by the legislation to the decision-maker and the nature of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this case, the issues before the Board included all types of questions, but neither Beazer nor Atlantic is directly challenging findings of fact made by the Board. Rather than discussing and characterizing all of the issues raised by Beazer and Atlantic at this stage, I will consider the nature of the problem when I deal with each of the issues.</w:t>
      </w:r>
      <w:r>
        <w:rPr>
          <w:rFonts w:ascii="arial" w:eastAsia="arial" w:hAnsi="arial" w:cs="arial"/>
          <w:sz w:val="20"/>
          <w:lang w:val="en-US" w:eastAsia="en-US" w:bidi="ar-SA"/>
        </w:rPr>
        <w:cr/>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 on 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Taking all of these factors into account, it is my conclusion that there should be different standards of review depending on the nature of the issue. It is my view that (i) the questions of law should be subjected to a standard of correctness and (ii) the questions of mixed law and fact should be subjected to a standard of reasonableness simpliciter. I will discuss the standard of review to be applied to the exercise of discretion by the Manager when I deal with the relevant issue because it will be necessary to consider the language of the relevant provision of the Act and the nature of the decision made by the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questions of law in this case involve statutory interpretation and do not engage the expertise of the Board. The courts have more relative expertise than the Board in considering matters of statutory interpretation. However, the Board heard the evidence and its expertise does come into play with respect to the questions of mixed law and fact. More deference should be given to the Board on these questions and a standard of reasonableness simpliciter is the appropriate standard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PRINCIPLES OF STATUTORY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Before I address the particular challenges of the Board's decision, I wish to deal with a disagreement of a general nature between counsel for Beazer and counsel for the Manager with respect to the correct approach to statutory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Counsel for the Manager advocates a purposive approach to statutory interpretation which she submits first involves a determination of the purpose of the legislation, which then governs the interpretation of the wording of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This approach of giving priority to the purpose of the legislation over the literal meaning of the words in the statute finds support in Driedger on the Construction of Statutes, 3d ed. (Toronto: Butterworths, 1994). However, the approach was rejected by the B.C. Court of Appeal in Haida Nation v. British Columbia (Minister of Forests) </w:t>
      </w:r>
      <w:hyperlink r:id="rId737" w:history="1">
        <w:r>
          <w:rPr>
            <w:rFonts w:ascii="arial" w:eastAsia="arial" w:hAnsi="arial" w:cs="arial"/>
            <w:i/>
            <w:color w:val="0077CC"/>
            <w:sz w:val="20"/>
            <w:u w:val="single"/>
            <w:shd w:val="clear" w:color="auto" w:fill="FFFFFF"/>
            <w:lang w:val="en-US" w:eastAsia="en-US" w:bidi="ar-SA"/>
          </w:rPr>
          <w:t>(1997), 45 B.C.L.R. (3d) 80</w:t>
        </w:r>
      </w:hyperlink>
      <w:r>
        <w:rPr>
          <w:rFonts w:ascii="arial" w:eastAsia="arial" w:hAnsi="arial" w:cs="arial"/>
          <w:color w:val="000000"/>
          <w:sz w:val="20"/>
          <w:lang w:val="en-US" w:eastAsia="en-US" w:bidi="ar-SA"/>
        </w:rPr>
        <w:t xml:space="preserve"> (B.C.C.A.). Esson J.A., on behalf of the majority, preferred the general statement of statutory interpretation found at p. 87 of the second edition of Driedger on the Construction of Statutes (Toronto: Butterworths, 1983),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Today there is only one principle or approach, namely, the words of an Act are to be read in their entire context and in their grammatical and ordinary sense harmoniously with the scheme of the Act, the object of the Act, and the intention of Parliament. This principle is expressed repeatedly by modern judges, as, for example, Lord Reid in Westminster Bank v. Zang, and Culliton C.J. in R. v. Mojelski. Earlier expressions, though in different form, are to the same effect; Lord Atkinson in Victoria (City) v. Bishop of Vancouver Island, [1921] A.C. 384, at p. 387, put it this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construction of statutes their words must be interpreted in their ordinary grammatical sense, unless there be something in the context, or in the object of the statute in which they occur, or in the circumstances with reference to which they are used, to show that they were used in a special sense different from their ordinary grammatical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need not delve into Esson J.A.'s very thorough reasoning which speaks for itself. However, as counsel for the Manager replies that she is relying on decisions of the Supreme Court of Canada in addition to the third edition of Driedger, I will mention that Esson J.A. addressed the apparent division in that Court and concluded that its majority judgments continue to rely on the second edition of Driedger and ignore the third edition. The most recent example, which post-dates the decision in Haida Nation, is the case of Will-Kare Paving &amp; Contracting Ltd. v. Canada </w:t>
      </w:r>
      <w:hyperlink r:id="rId738" w:history="1">
        <w:r>
          <w:rPr>
            <w:rFonts w:ascii="arial" w:eastAsia="arial" w:hAnsi="arial" w:cs="arial"/>
            <w:i/>
            <w:color w:val="0077CC"/>
            <w:sz w:val="20"/>
            <w:u w:val="single"/>
            <w:shd w:val="clear" w:color="auto" w:fill="FFFFFF"/>
            <w:lang w:val="en-US" w:eastAsia="en-US" w:bidi="ar-SA"/>
          </w:rPr>
          <w:t>(2000), 188 D.L.R. (4th) 242</w:t>
        </w:r>
      </w:hyperlink>
      <w:r>
        <w:rPr>
          <w:rFonts w:ascii="arial" w:eastAsia="arial" w:hAnsi="arial" w:cs="arial"/>
          <w:color w:val="000000"/>
          <w:sz w:val="20"/>
          <w:lang w:val="en-US" w:eastAsia="en-US" w:bidi="ar-SA"/>
        </w:rPr>
        <w:t xml:space="preserve"> (S.C.C.), where the Court quoted the first sentence of the above passage from the second edition of Driedger without mentioning the third edition (at p. 257).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Of course, the purpose of the legislation is relevant to its interpretation but it does not override the plain meaning of the words used in the legislation unless the purpose of the legislation would be defeated. In this regard, the second edition of Driedger (at p. 88) quotes the following passage from Westminster Bank Ltd. v. Zang, [1966] 1 All E.R. 114 (H.L):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no principle of interpretation of statutes is more firmly settled than the rule that the court must deduce the intention of Parliament from the words used in the Act. If those words are in any way ambiguous - if they are reasonably capable of more than one meaning - or if the provision in question is contradicted or is incompatible with any other provision in the Act, then the court may depart from the natural meaning of the words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Haida Nation decision, Esson J.A. commented on the fact that there are shades of difference between this passage and the passage quoted in the second edition of Driedger from Victoria (City) v. Bishop of Vancouver Island, but those shades of difference do not come into play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addition, as pointed out by Esson J.A. in the Haida Nation decision, the Court is bound by s. 8 of the Interpretation Act,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enactment must be construed as being remedial, and must be given such fair, large and liberal construction and interpretation as best ensures the attainment of its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have already considered the purposes of the Act. Its objects are the prevention of pollution and the identification and remediation of contaminated sites. The Act must be given a fair, large and liberal interpretation to achieve these objects but, with this in mind, it is still necessary to give effect to the wording chosen by the Legislature.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Esson J.A. also made reference to s. 8 of the Interpretation Act in British Columbia (Minister of Environment, Lands and Parks) v. Alpha Manufacturing Inc. </w:t>
      </w:r>
      <w:hyperlink r:id="rId739" w:history="1">
        <w:r>
          <w:rPr>
            <w:rFonts w:ascii="arial" w:eastAsia="arial" w:hAnsi="arial" w:cs="arial"/>
            <w:i/>
            <w:color w:val="0077CC"/>
            <w:sz w:val="20"/>
            <w:u w:val="single"/>
            <w:shd w:val="clear" w:color="auto" w:fill="FFFFFF"/>
            <w:lang w:val="en-US" w:eastAsia="en-US" w:bidi="ar-SA"/>
          </w:rPr>
          <w:t>(1997), 150 D.L.R. (4th) 193</w:t>
        </w:r>
      </w:hyperlink>
      <w:r>
        <w:rPr>
          <w:rFonts w:ascii="arial" w:eastAsia="arial" w:hAnsi="arial" w:cs="arial"/>
          <w:color w:val="000000"/>
          <w:sz w:val="20"/>
          <w:lang w:val="en-US" w:eastAsia="en-US" w:bidi="ar-SA"/>
        </w:rPr>
        <w:t xml:space="preserve"> (B.C.C.A.), a decision which involved the interpretation of the Act. He stated that it is necessary to interpret the Act by reference to the legislative purpose and that it would be contrary to s. 8 to give effect to an interpretation which would negate an essential object of the Act (at p. 203). He rejected the strained and technical interpretation of the language of the Act being put forward by the appellant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BEAZER'S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Beazer first seeks an order in the nature of certiorari quashing or setting aside the Remediation Order against it. It next seeks an order in the nature of certiorari quashing or setting aside the portions of the Board's decision (i) finding Beazer to be a "previous operator" of the Site, (ii) finding Beazer to be a "previous owner" of the Site, (iii) finding that Beazer was not exempt for the remediation work it carried out at the Site and (iv) finding that the Manager properly exercised his discretion in naming Beazer in the Remediation Order. Beazer also seeks declarations that (i) it is not a responsible person, (ii) it is exempt for the remediation work it carried out at the Site and (iii) it did not "contribute most substantially" to the contamination at the Site and should not have been named in the Remediation Order. Alternatively, Beazer requests that the matter be remitted to the Board for reconsideration.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will now deal with each of Beazer's submissions. I will utilize separate headings in which I will attempt to capture the essence of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BEAZER A PREVIOUS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Board dealt first with the issue of whether Beazer fell within the definition of "operator", but the nature of the parties' submissions make it more convenient to begin by dealing with the issue of ownership.</w:t>
      </w:r>
      <w:r>
        <w:rPr>
          <w:rFonts w:ascii="arial" w:eastAsia="arial" w:hAnsi="arial" w:cs="arial"/>
          <w:sz w:val="20"/>
          <w:lang w:val="en-US" w:eastAsia="en-US" w:bidi="ar-SA"/>
        </w:rPr>
        <w:cr/>
      </w:r>
    </w:p>
    <w:p>
      <w:pPr>
        <w:numPr>
          <w:numId w:val="1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Although I am first considering the ownership issue, it is necessary to review some of the Board's conclusions with respect to the issue of whether Beazer was an operator because the conclusions are common to both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Board declined to follow a decision of the United States Supreme Court in the case of United States v. Bestfoods, 118 S. Ct. 1876 (1998), which involved a consideration of the terms "operator" and "owner" under the U.S. federal environmental legislation, the Comprehensive Environmental Response, Compensation and Liability Act, 42 U.S.C. 9601-9657 (the "U.S.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Board did not find s. 35(5) of the Contaminated Sites Regulation to be the test for determining whether a parent corporation is an operator. The Board found that the Legislature did not intend to "pierce the corporate veil" in the sense that liability for remediation as an operator does not occur simply because of the legal relationship between a company and its shareholders. Thus, a parent which owns 100% of its subsidiary's shares does not, on that fact alone, become an operator under the Act. By implication, the Board also made these same findings with respect to the ownership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Board relied on the broad language used by the Legislature in the definition of "owner" to reject the narrow approach advocated by Beazer to the effect that corporate principles dictate that parent corporations should not be treated as owners of real property belonging to their subsidiaries. The Board concluded that Beazer had the right to "control the use of" the real property as a result of the fact that all leases of the Site had to be approved by Beazer before they could be entered into by the Principal Operator.</w:t>
      </w:r>
      <w:r>
        <w:rPr>
          <w:rFonts w:ascii="arial" w:eastAsia="arial" w:hAnsi="arial" w:cs="arial"/>
          <w:sz w:val="20"/>
          <w:lang w:val="en-US" w:eastAsia="en-US" w:bidi="ar-SA"/>
        </w:rPr>
        <w:cr/>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interpretation by the Board of the definition of "owner", if it is expressly stated by the Board or can be discerned from the Board's reasons, is a question of law, and is subject to a standard of correctness. If the definition was correctly interpreted by the Board, the application of the facts to the definition is a question of mixed law and fact, and is subject to a standard of reasonableness simpliciter.</w:t>
      </w:r>
      <w:r>
        <w:rPr>
          <w:rFonts w:ascii="arial" w:eastAsia="arial" w:hAnsi="arial" w:cs="arial"/>
          <w:sz w:val="20"/>
          <w:lang w:val="en-US" w:eastAsia="en-US" w:bidi="ar-SA"/>
        </w:rPr>
        <w:cr/>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of Question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will again set out the relevant portion of the definition of "owner" for ease of reference: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"owner" means a person who is in possession of, has the right of control of, occupies or controls the use of real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first issue to be determined is whether a parent corporation can be an "owner" by virtue of its share ownership in its subsidiary. Although this was not the conclusion of the Board, it is the Manager's position that the correct interpretation of the definition leads to such a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will first address the effect of the CCME report and s. 35(5) of the Contaminated Sites Regulation. Beazer says that in view of the fact that the CCME report recommended that parent corporations could be listed as responsible persons, the Legislature must have rejected the notion of making parent corporations liable for the actions of their subsidiaries merely because of their status as parent corporation. The Manager responds that the Legislature made the definitions of "owner" and "operator" sufficiently broad to include a person having the status of a parent corporation and that it was not necessary to specifically list parent corporations as responsible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my view, nothing can be inferred from the fact that the Legislature had the benefit of the CCME report and chose to describe responsible persons in a fashion different than recommended in the CCME report. The Legislature decided not to list classes of persons as responsible persons and to use a "catch-all clause". Instead, the Legislature used definitions containing language of a general nature. It is necessary to interpret that language in order to determine whether the Legislature intended to include parent corporations generally. It may have been possible to draw an inference if the Legislature did list classes of persons as responsible persons and chose not to include parent corporations in the list (in which case the issue would be whether parent corporations fall within the "catch-all clause"). However, the Legislature did not use this approach and I do not believe that anything can be read into its decision to use a different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Manager says that the express intent of the Legislature to include parent corporations within the broad definition of "owner" is found in s. 35(5) of the Contaminated Sites Regulation. Section 35(5) specifically makes reference to parent corporations and the Manager submits that the exemption in s. 35(5) was incorporated in explicit recognition that parent corporations would be caught by the definitions of "owner" and "operator". In this regard, the Manager relies on the following passage from the third edition of Driedger: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provision to be interpreted appears in a regulation, it is read in the context of both the regulation and the enabling Act as a whole. Where the provision to be interpreted appears in the enabling Act, the regulations are often ignored. Because regulations are a subordinate form of legislation, usually made after the enabling Act has been passed, they have limited value in interpreting provisions of the Act. In appropriate circumstances, however, where the Act and the regulations are closely meshed so as to form an integrated scheme, provisions from both are interpreted in the light of that overall scheme. (p. 246).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Finally, the Manager says that if a parent corporation is active in the affairs of its subsidiaries, it will never be able to rely on s. 35(5) and that the threshold test under the Act has to be higher than s. 35(5) (i.e., parent corporations can be responsible persons even if they are not active in the affairs of their contaminating subsidiaries.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While it is true that a statute and its regulations should usually be interpreted together when they form an integrated scheme, it is my opinion that it would not be appropriate in the present circumstances to have regard to s. 35(5) of the Contaminated Sites Regulation when interpreting the definitions of "owner" and "operator" in the Act. Although the Act and Regulation came into force on the same day, the Act was passed by the Legislature almost four years before the Regulation was enacted. Section 35(5) of the Regulation was included on the recommendation of Professor Tollefson three years after the Act was passed by the Legislature on the basis of his view that there was a very real prospect that the definition of "owner" would be interpreted to include parent corporations. To have regard to s. 35(5) of the Regulation in these circumstances would not be proper in my view because it would be tantamount to utilizing the views of an outsider in attempting to ascertain the intention of the Legislature.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do not agree with the Manager's submission that s. 35(5) is meaningless unless the definition of "operator" and "owner" are interpreted to include parent corporations on the basis of their shareholdings in subsidiaries. It is possible that a parent corporation can be found to be an owner or an operator as a result of its involvement with the contaminated site but will nevertheless be able to rely on s. 35(5) if such involvement was unrelated to the contamination (and if it did not otherwise authorize, permit or acquiesce in the activity of the subsidiary giving rise to the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Accordingly, I find neither the CCME report nor s. 35(5) of the Regulation to be of assistance in interpreting the definitions of "owner" and "operator" in the Act. I will now turn my attention to the Bestfoods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its face, Bestfoods is very similar to the case at bar. It involved the question of whether the terms "owner" and "operator" contained in environmental legislation include parent corporations. As it is a decision of the U.S. Supreme Court, a great deal of respect should be accorded to it even if it is not technically binding on this Court. The U.S. Supreme Court concluded that in certain circumstances a parent corporation could be an operator under the U.S.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Bestfoods, it was not alleged that a parent corporation is liable as an owner or operator under the U.S. Legislation simply as a result of control through ownership of the shares in its subsidiary. The Court also suggested that a parent corporation might never be found to be an owner of a contaminated site, but it did not preclude the possibility of a parent being found to be an operator. In this regard, it decided that the critical question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in degree and detail, actions directed to the facility by an agent of the parent alone are eccentric under accepted norms of parental oversight of a subsidiary's facility. (p. 1889).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problem facing the U.S. Supreme Court was that the U.S. Legislation "is not a model of legislative draftsmanship" because the "phrase 'owner or operator' is defined only by tautology, however, as 'any person owning or operating' a facility" (at p. 1881).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other words, the U.S. Legislation does not have meaningful definitions of the terms "owner" or "operator". The U.S. Supreme Court was required to give meaning to those terms without any assistance from the legislative body. In the present case, however, the Legislature has provided guidance by giving substantive definitions to the terms "owner" or "operator". Thus, while the Bestfoods decision is helpful in giving meaning to the words "owner" and "operator" within the context of the U.S. Legislation, it provides little assistance in giving meaning to the words contained in the definitions of "owner" and "operator"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 was considerable discussion before the Board and this Court about "lifting the corporate veil". In my view, this case is not about lifting the corporate veil in the sense of making the shareholders of a corporation liable for the actions of the corporation. Rather, this case is about the interpretation of the Act. The text, Gower's Principles of Modern Company Law, 6th ed. (London: Sweet &amp; Maxwell, 1997), stated its conclusion about the topic of lifting the corporate veil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then does this leave "lifting of the veil"? Well, considerably more attenuated than some of us would wish. There seem to be three circumstances only in which the courts can do so. These are: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court is construing a statute, contract or other document;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court is satisfied that a company is a "mere façade" concealing the true facts;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it can be established that the company is an authorized agent of its controllers or its members, corporate or human.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(2) only is a true example of lifting the veil; in (1) and (3) the separate personality of the company is not denied but the practical effect on the parties' rights and liabilities is the same as if it had been. (p. 173)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Here, the effect of interpreting the Act may be the same as lifting the corporate veil but it would be based on the wording of the Act and it would not be ignoring the separate existence of a corporation from its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support of its position that a parent corporation can be an "owner" by virtue of its share ownership in the subsidiary, the Manager relies primarily on the decision of the Supreme Court of Canada in Atco Ltd. v. Calgary Power Ltd., </w:t>
      </w:r>
      <w:hyperlink r:id="rId740" w:history="1">
        <w:r>
          <w:rPr>
            <w:rFonts w:ascii="arial" w:eastAsia="arial" w:hAnsi="arial" w:cs="arial"/>
            <w:i/>
            <w:color w:val="0077CC"/>
            <w:sz w:val="20"/>
            <w:u w:val="single"/>
            <w:shd w:val="clear" w:color="auto" w:fill="FFFFFF"/>
            <w:lang w:val="en-US" w:eastAsia="en-US" w:bidi="ar-SA"/>
          </w:rPr>
          <w:t>[1982] 2 S.C.R. 557</w:t>
        </w:r>
      </w:hyperlink>
      <w:r>
        <w:rPr>
          <w:rFonts w:ascii="arial" w:eastAsia="arial" w:hAnsi="arial" w:cs="arial"/>
          <w:color w:val="000000"/>
          <w:sz w:val="20"/>
          <w:lang w:val="en-US" w:eastAsia="en-US" w:bidi="ar-SA"/>
        </w:rPr>
        <w:t>. At issue in that case was whether Atco Ltd. required the consent of the Public Utilities Board of Alberta before it could acquire shares in Calgary Power Ltd. In order to decide whether the consent was required, it was necessary to determine whether Atco Ltd. was an owner of a public utility. The Court concluded that Atco Ltd. was the owner of a public utility because it owned the majority of the shares in a company which, in turn, owned almost all of the shares of three companies which were public utilities.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the Alberta legislation, the phrase "owner of a public utility" was defined to mean "a person owning, operating, managing or controlling a public utility". The focus was whether Atco Ltd. controlled a public utility. The genesis of the Court's reasoning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discharge of its varied functions it is difficult to appreciate how the Board can maintain a sound and comprehensive regulatory position so as to discharge its duty to the public at large in the regulation of public utilities and their owners, unless a broad interpretation is accorded to the words adopted by the legislature in s. 98. In my view, the words "owner of a public utility" must, by reason of s. 2, supra, include a person without legal ownership in the system but having the power to control (p. 575).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important to note that the Court was influenced by the need to give a broad interpretation to the words in s. 98 of the legislation (which was the provision stipulating the requirement for the consent of the Public Utilities Board). Earlier in the reasons of the majority, the Court noted that the use of the word "union" in s. 98, as opposed to the ordinary terms of amalgamation, merger and consolidation, was an attempt by the legislative draftsman to employ the widest terminology to bring corporate or non-corporate action of all kinds and descriptions in the nature of merger or unification of more than one enterprise under the purview of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addition, the Court made reference to another section in the legislation which contained the phrase "where any person directly or indirectly controls the business of an owner of a public utility" and noted a legislative realization of the possibility of a person not directly owning the assets of a system but having indirect control of the system by any means, including perhaps by ownership of shares. In the case at bar, the phrase "directly or indirectly" is found in s. 27.1(4) of the Act but it is used there in the context of activities contributing to the contamination, not in the context of ownership or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the present case, there are no other provisions of the Act which suggest a legislative intent to give the words in the definition of "owner" a meaning broader than their ordinary meaning. Indeed, there are provisions which indicate that the Legislature intended to give them their ordinary meaning. Further, the legislative purpose of remedying contaminated sites will not be defeated by giving the words their ordinary meaning.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Board concluded that Beazer had "the right of control of ... the use of real property". It did not expressly consider dictionary definitions of the word "right". The relevant definition of the word "right" in the Concise Oxford Dictionary of Current English, 9th ed. (Clarendon Press: Oxford, 1998) is: "a thing one may legally or morally claim". The word "right" in the definition of "owner" is not referring to a moral claim. Rather, it is referring to a legal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To be a right within the meaning of the Act, it is my view that it must be a right recognized by law. Put another way, it must be a legally enforceable right. A parent corporation does not have the legal right to control a subsidiary's use of its assets. The rights of a parent corporation vis-à-vis its subsidiary flow from its shares. The rights attached to shares typically include the rights to vote for, among other things, the directors and auditors of the subsidiary, to attend shareholder meetings, to receive dividends and to receive a return of capital. It has been well established since Salomon v. Soloman &amp; Company, </w:t>
      </w:r>
      <w:hyperlink r:id="rId741" w:history="1">
        <w:r>
          <w:rPr>
            <w:rFonts w:ascii="arial" w:eastAsia="arial" w:hAnsi="arial" w:cs="arial"/>
            <w:i/>
            <w:color w:val="0077CC"/>
            <w:sz w:val="20"/>
            <w:u w:val="single"/>
            <w:shd w:val="clear" w:color="auto" w:fill="FFFFFF"/>
            <w:lang w:val="en-US" w:eastAsia="en-US" w:bidi="ar-SA"/>
          </w:rPr>
          <w:t>[1897] A.C. 22</w:t>
        </w:r>
      </w:hyperlink>
      <w:r>
        <w:rPr>
          <w:rFonts w:ascii="arial" w:eastAsia="arial" w:hAnsi="arial" w:cs="arial"/>
          <w:color w:val="000000"/>
          <w:sz w:val="20"/>
          <w:lang w:val="en-US" w:eastAsia="en-US" w:bidi="ar-SA"/>
        </w:rPr>
        <w:t xml:space="preserve"> (H.L.) that a corporation has a separate existence from its shareholders. A shareholder does not have a legally enforceable right to control or direct the use of the corporation's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Of course, a parent corporation may have de facto control over the use of a subsidiary's assets. With the knowledge that a parent corporation can change the directors of a subsidiary and that the directors can change the officers, the management of the subsidiary may follow the directions of the parent corporation with respect to the use of its assets because the officers realize that they may be removed if they ignore those directions. However, there is a difference between a right to control and an ability to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my view, the Legislature was well aware of this difference when it defined the term "owner". The Legislature chose to use the word "right" in the definition rather than a word like "ability". I say that the Legislature was aware of the difference because it did use words like "ability" in another place in Part 4 of the Act related to the definition of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definition of "owner" provides that it does not include a secured creditor unless the secured creditor is described in s. 26.5(3). In that section, the Legislature provided that a secured creditor is responsible for remediation in certain circumstances and that a secured creditor is not responsible for remediation if it acts primarily to protect its security interest, including if the secured creditor:</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capacity or ability to influence any operation at the contaminated site in a way that would have the effect of causing or increasing contamination, but does not exercise that capacity or ability in such a way as to cause or increase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was open to the Legislature to define "owner" to include persons who had the capacity or ability to control the use of real property but it chose to confine the definition to persons who had the right of control of the use of the property (and persons who occupied the property or who actually controlled the use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Board did not expressly state its interpretation of the phrase "right of control" but it concluded that Beazer had the right of control as a result of its requirement for the Principal Operator to have its property leases approved by it. The requirement for the Principal Operator to obtain the approval of Beazer in respect of its leases was not a legally enforceable right. Accordingly, the Board must have interpreted the phrase "right of control" to mean something less than a legally enforceable right and the Board erred in this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its reference to control, the definition of "owner" is not restricted to "right of control". The verb "controls" is also contained in the definition but the Board did not consider this aspect of the definition in view of its conclusion that Beazer had "right of control". Although it may be argued that the Board would have relied on the same evidence in arriving at its conclusion that Beazer had "right of control" to decide that Beazer controlled the use of real property, it would be inappropriate for me in these judicial review proceedings to assume the role of the Board and make determinations on my own. If necessary, the question of whether Beazer controlled the use of the Site can be remitted to the Board for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BEAZER A PREVIOUS OPERATOR?</w:t>
      </w:r>
      <w:r>
        <w:rPr>
          <w:rFonts w:ascii="arial" w:eastAsia="arial" w:hAnsi="arial" w:cs="arial"/>
          <w:sz w:val="20"/>
          <w:lang w:val="en-US" w:eastAsia="en-US" w:bidi="ar-SA"/>
        </w:rPr>
        <w:cr/>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Board found that the words "in control of" in the definition of "operator" related to factual control of an operation on the contaminated site, and it rejected Beazer's submission that actual control of day to day operations was required. The Board also found that the words "responsible for" referred more to legal authority over, and obligations with respect to, an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After considering the evidence, the Board concluded that there were numerous indicia that Beazer had both control and responsibility for operations at the Site and that the totality of the evidence showed that Beazer had the requisite "control of" and "responsibility for" an operation located at the Site.</w:t>
      </w:r>
      <w:r>
        <w:rPr>
          <w:rFonts w:ascii="arial" w:eastAsia="arial" w:hAnsi="arial" w:cs="arial"/>
          <w:sz w:val="20"/>
          <w:lang w:val="en-US" w:eastAsia="en-US" w:bidi="ar-SA"/>
        </w:rPr>
        <w:cr/>
      </w:r>
    </w:p>
    <w:p>
      <w:pPr>
        <w:numPr>
          <w:numId w:val="2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interpretation of the definition of "operator" is a question of law and is to a standard of correctness. The application of the facts by the Board to the definition is a question of mixed law and fact, and is subject to a standard of reasonableness simpliciter.</w:t>
      </w:r>
      <w:r>
        <w:rPr>
          <w:rFonts w:ascii="arial" w:eastAsia="arial" w:hAnsi="arial" w:cs="arial"/>
          <w:sz w:val="20"/>
          <w:lang w:val="en-US" w:eastAsia="en-US" w:bidi="ar-SA"/>
        </w:rPr>
        <w:cr/>
      </w:r>
    </w:p>
    <w:p>
      <w:pPr>
        <w:numPr>
          <w:numId w:val="2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of Question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will again set out the relevant portion of the definition of "operator" for ease of reference: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"operator" means ... a person who is or was in control of or responsible for any operation located at a contaminated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Board disagreed with the Manager's position that a parent corporation can be said to have "control of" or be "responsible for" an operation on a site by virtue of its ownership of 100% of the shares, and it examined the meaning of those terms. For the reasons I gave in connection with the interpretation of the term "owner", I agree with the Board's conclusion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Board relied on the following definitions of "responsible", "responsibility" and "control" from Black's Law Dictionary, 6th edition,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66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"responsible":</w:t>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legally accountable or answerable;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"responsibility":</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obligation to answer for an act done;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"control":</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exercise restraining or directing influence over. To regulate; restrain; dominate; curb; to hold from action; overpower; counteract; govern.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comparison, the relevant definitions of these words in the Concise Oxford Dictionary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"responsible":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liable to be called to account (to a person or a thing); being the primary cause;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"responsibility":</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state or fact of being responsible; authority; the ability to act independently and make decisions;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"control":</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power of directing, command.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Concise Oxford Dictionary also defines the phrase "in control" to mean "directing an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agree with the Board's conclusion that the words "in control of" in the definition relate to factual control of "any operation" on the contaminated site and that there is no reason to give the words a restricted meaning so to require that there be actual control of day to day operations. I referred to the Legislature's treatment of secured creditors when considering the definition of "owner" and it also provides guidance with respect to the interpretation of the definition of "operator". Like the definition of "owner", the definition of "operator" states that it does not include a secured creditor unless it is described in s. 26.5(3). In the exclusions in s. 26.5(3), clause (c) provides that a secured creditor is not responsible for remediation if it "participates only in purely financial matters related to the site". This suggests that the Legislature intended the phrase "in control of ...any operation" in the definition of "operator" to have a broad meaning. As the Legislature found it necessary to exclude participation in financial matters by secured creditors, the Legislature must have intended the phrase "in control of ... any operation" to be sufficiently broad to cover control of financial operations at a contaminated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Board did not say anything about its interpretation of the words "responsible for" other than its conclusion that they refer more to legal authority over, and obligations with respect to, an operation. Beazer submits that these words mean legally answerable for the operation in the sense of being vicariously liable for someone else's actions. In my view, this is an overly narrow interpretation and does not reflect the ordinary meaning of the words in the context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general terms, it is my view that the intention of the Legislature was to include persons who made decisions or had the authority to make decisions with respect to any operation on the site. These are the persons who are potentially culpable because they were the ones who made or could have made decisions in relation to operations on the site, which may have included operations that caused or contributed to the contamination. A person who makes the decisions with respect to an operation is "in control" of the operation and a person who has the authority to make the decisions with respect to an operation is "responsible" for the operation. In my opinion, a person who is responsible for an operation is one who is accountable for the operation but the accountability is not necessarily legally 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also believe in using the word "responsible", the Legislature intended to include persons who brought about an operation in the sense of causing the operation to be carried on or carried out. Such a person would be responsible for the operation because, but for the actions or decision of that person, the operation would not have been carried on or carried out. This is consistent with the second definition of the word "responsibility" which I quoted above from the Concise Oxford Dictionary (namely, "being the primary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the end result, it has not been demonstrated that the Board gave an incorrect interpretation to the definition of "operator", although its reference to legal authority suggests that it may have interpreted the definition too narrowly. I will now consider the question of mixed law and fact regarding the application of the facts to the definition.</w:t>
      </w:r>
      <w:r>
        <w:rPr>
          <w:rFonts w:ascii="arial" w:eastAsia="arial" w:hAnsi="arial" w:cs="arial"/>
          <w:sz w:val="20"/>
          <w:lang w:val="en-US" w:eastAsia="en-US" w:bidi="ar-SA"/>
        </w:rPr>
        <w:cr/>
      </w:r>
    </w:p>
    <w:p>
      <w:pPr>
        <w:numPr>
          <w:numId w:val="2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of Question of Mixed Law and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its decision, the Board reviewed the evidence at length and concluded that while none of the indicia were determinative in and of themselves, the totality of the evidence showed that Beazer had the requisite "control of" and "responsibility for" "any operation" at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Board stated categories of evidence which it found were indicia that Beazer had both control and responsibility for operations at the Site. These categories were (i) extensive financial control over the Principal Operator, (ii) the organizational and decision-making structures that were in place, (iii) the control of Beazer over the lease for the Site, (iv) the signing of certain agreements and (v) the involvement of Beazer in the environmental affairs of the Principal Operator. I will endeavour to summarize the evidence which the Board appears to have accepted.</w:t>
      </w:r>
      <w:r>
        <w:rPr>
          <w:rFonts w:ascii="arial" w:eastAsia="arial" w:hAnsi="arial" w:cs="arial"/>
          <w:sz w:val="20"/>
          <w:lang w:val="en-US" w:eastAsia="en-US" w:bidi="ar-SA"/>
        </w:rPr>
        <w:cr/>
      </w:r>
    </w:p>
    <w:p>
      <w:pPr>
        <w:numPr>
          <w:numId w:val="2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Extensive Financial Control</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each year the Principal Operator was required to prepare a budget which was approved by Beazer. Capital expenditures over a certain amount (initially $100,000 and subsequently $200,000) had to be approved by Beazer. Capital expenditures under the amount could only be made if they were in the annual budget and they had to be reported to Beazer for ratification.</w:t>
      </w:r>
    </w:p>
    <w:p>
      <w:pPr>
        <w:numPr>
          <w:numId w:val="2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Organizational and Decision Making Structures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Beazer acquired the Principal Operator in 1969 (through its acquisition of the shares of Swanson), members of Beazer's appropriation committee insisted that there must be a Beazer "watchdog" over the Principal Operator and that they needed to maintain control over an investment of such a size. A Beazer employee, Mallory Smith, was appointed as President of the Principal Operator and he talked at least once a week with Burnett Bartley, a Beazer executive who was in charge of its forest products division and became its deputy chairman. Mr. Smith travelled to Beazer's head office in Pittsburgh to attend monthly management meetings.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Board found that Mr. Bartley was fully aware of the operations at the Site and approved of them. The Board found further that Mr. Bartley played an active hands-on role in the managing of the operations of the Principal Operator. In this regard, the Board made reference to a memorandum from Mr. Bartley to Mr. Smith in which Mr. Bartley stated that the two of them needed to decide on the organizational structure so that they could see what kind of a business they were going to be running. In this memorandum, Mr. Bartley told Mr. Smith to stop spending money on four items.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Principal Operator was a subsidiary of Beazer, it was made a division of Beazer in 1974. The Board considered this to be indicia of the close ties between Beazer and the Principal Operator. It is a misnomer to call a subsidiary of a corporation one of its divisions but the fact that Beazer named the Principal Operator as one of its divisions is evidence that Beazer did not regard the Principal Operator to be a subsidiary in the normal sense of a parent-subsidiary relationship.</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Control of the Lease</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Principal Operator leased the Site from CNR and new leases had to be entered into from time to time when the lease terms expired. The Principal Operator was not free to enter into new leases with CNR on its own. Beazer required that the leases be approved by its real estate department and its appropriation committee.</w:t>
      </w:r>
    </w:p>
    <w:p>
      <w:pPr>
        <w:numPr>
          <w:numId w:val="3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Indemnification Agreements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1982 the Principal Operator sold its assets to Domtar and surrendered its lease to CNR. Beazer became involved in these transactions and gave assurances to both of Domtar and CNR. In February 1982, Mr. Bartley wrote a letter to Domtar, in which he stated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[Beazer] and Domtar have had an enjoyable business relationship for over 40 years and our reputation, like your own, has not been attained by not fulfilling our obligations. It is not our intention to pass off our responsibilities to others with regard to environmental matters in Canada, U.S. or elsewhere around the world and our corporate reputation attests to this. If the $1 million guarantee by [Beazer] of the responsibilities and warranties of an agreement between our subsidiary and Domtar leaves you uncomfortable, then there is no point in pursuing this further.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agreement of purchase and sale entered into by Domtar, the Principal Operator and Beazer on March 10, 1982 (the "Share Purchase Agreement"), Beazer guaranteed to Domtar the performance of the Principal Operator in the cleanup of the Site to an aggregate monetary limit of $2 million.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March 18, 1982, Beazer granted an indemnity agreement to CNR (the "Indemnity Agreement") in which it agreed to indemnify CNR in respect of all expenses CNR incurred as a result of contamination of the Site as a result of wood preserving and treatment operation carried on by the Principal Operator from 1969 to 1982.</w:t>
      </w:r>
    </w:p>
    <w:p>
      <w:pPr>
        <w:numPr>
          <w:numId w:val="3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Involvement in Environmental Affairs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Board referred to three matters in connection with Beazer's involvement in the environmental affairs of the Principal Operator.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matter involved visits to the Site by Beazer employees in the early 1970s. In 1970, a Mr. Campbell, who was in Beazer's operating department, visited the Site in relation to personnel issues. Mr. Campbell sent his reporting memorandum to Beazer's head of wood preserving production, who reported to Mr. Bartley, and a carbon copy was sent to Mr. Smith. In his memorandum Mr. Campbell made reference to "our long range plan for supervision". In 1972, a Mr. Blankenbeker, who was the plant manager of a Beazer plant in California, visited the Site in relation to production or operational matters. He provided recommendations to Mr. Smith on the operations of the treatment plant at the Site. Mr. Blankenbeker returned to the Site in 1973, and the Board found that the purpose of this visit was to see if his recommendations had been followed up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matter occurred in the early 1980s after the environmental problems became known. The Board found that a member of Beazer's law department played an active role in monitoring the conduct of the charges laid against the Principal Operator.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third matter also occurred after the environmental problems became known. In April 1982, Mr. Smith had become frustrated with the lack of progress of the three local consultants he had retained in connection with the contamination. He asked Beazer's environmental resources department for help in carrying out the cleanup. Two Beazer employees, Mr. Quagliotti and Dr. Middleton, were involved in investigations, remediation and monitoring from 1982 to 1986. The local consultants reported to these Beazer employees, and Mr. Quagliotti dealt directly with the Ministry of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Beazer says that the Board erred because the facts relied upon by it in concluding that Beazer was an "operator" fit into two categories:</w:t>
      </w:r>
      <w:r>
        <w:rPr>
          <w:rFonts w:ascii="arial" w:eastAsia="arial" w:hAnsi="arial" w:cs="arial"/>
          <w:sz w:val="20"/>
          <w:lang w:val="en-US" w:eastAsia="en-US" w:bidi="ar-SA"/>
        </w:rPr>
        <w:cr/>
      </w:r>
    </w:p>
    <w:p>
      <w:pPr>
        <w:numPr>
          <w:numId w:val="3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relating to Beazer's relationship with the Principal Operator as a whole and not to Beazer's actions towards an operation at the site;</w:t>
      </w:r>
    </w:p>
    <w:p>
      <w:pPr>
        <w:numPr>
          <w:numId w:val="3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relating to an operation at the site that do not constitute evidence of Beazer being "in control" of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Beazer goes on to say that it can be seen from the facts relied on by the Board that it either applied the wrong test despite having articulated the test correctly or relied on irrelevant considerations in determining that Beazer was an "operator". If the Board had limited itself to relevant considerations, says Beazer, there would not have been a basis to conclude that Beazer was in control of or responsible for an operation at the Site. Furthermore, says Beazer, even if some of the facts relied on by the Board were relevant to the correct test, it cannot be determined what the Board would have decided if it had properly confined itself to relevant considerations. Hence, it is the position of Beazer that the Board's decision must be set aside and that if there were some facts relevant to the correct test (which Beazer does not accept), the matter should be remitted to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agree with Beazer that the Indemnity Agreement does not relate to "any operation" at the Site. Beazer was taking responsibility for contamination at the Site but the contamination is not an operation. This relates to the "responsible for" aspect of the definition of "operator", and I do not know how much reliance was placed on the Indemnity Agreement by the Board in concluding that Beazer was responsible for an operation at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However, I disagree with the balance of Beazer's submission. Other than the Indemnity Agreement and the Share Purchase Agreement, the evidence relied upon by the Board was direct and indirect evidence that Beazer was in control of the wood preserving and treatment operation and the remediation operation at the Site. Although some of the evidence was not directed at specific activities on the Site, it was evidence from which the Board could reasonably conclude that Beazer was generally in control of the wood preserving and treatment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standard of review to this question of mixed law and fact is reasonableness simpliciter. As pointed out by the Supreme Court of Canada in Southam, this standard is closely akin to the "clearly wrong" test utilized by appellate courts in reviewing findings of fact. An unreasonable decision is one that is not supported by any reasons that can stand up to a somewhat probing examination. In my view, there was evidence from which the Board could reasonably conclude that Beazer was in control of an operation at the Site. Although the Board may have erred in concluding that Beazer was responsible for an operation at the Site, it was not clearly wrong in concluding that Beazer was a previous operator on the basis that it was in control of an operation at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Accordingly, I decline to interfere with the Board's decision that Beazer was an "operator" within the meaning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REMEDIATION EXEMPTION</w:t>
      </w:r>
      <w:r>
        <w:rPr>
          <w:rFonts w:ascii="arial" w:eastAsia="arial" w:hAnsi="arial" w:cs="arial"/>
          <w:sz w:val="20"/>
          <w:lang w:val="en-US" w:eastAsia="en-US" w:bidi="ar-SA"/>
        </w:rPr>
        <w:cr/>
      </w:r>
    </w:p>
    <w:p>
      <w:pPr>
        <w:numPr>
          <w:numId w:val="3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Board held that the public policy reason for the exemption under s. 26.6(1)(h) is to ensure that arm's length third party consultants and others whose primary role is providing assistance and advice respecting remediation work, are not held to be responsible persons unless they are negligent. It found that Beazer was not solely or primarily involved in the Site providing assistance or advice respecting remediation work and that it was otherwise an owner and operator at the Site. The Board concluded that Beazer could not rely on the activities of its employees to be exempt from being found to be a responsible person as an owner and operator under the Act.</w:t>
      </w:r>
      <w:r>
        <w:rPr>
          <w:rFonts w:ascii="arial" w:eastAsia="arial" w:hAnsi="arial" w:cs="arial"/>
          <w:sz w:val="20"/>
          <w:lang w:val="en-US" w:eastAsia="en-US" w:bidi="ar-SA"/>
        </w:rPr>
        <w:cr/>
      </w:r>
    </w:p>
    <w:p>
      <w:pPr>
        <w:numPr>
          <w:numId w:val="3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This is a question of law and is subject to the standard of correctness.</w:t>
      </w:r>
      <w:r>
        <w:rPr>
          <w:rFonts w:ascii="arial" w:eastAsia="arial" w:hAnsi="arial" w:cs="arial"/>
          <w:sz w:val="20"/>
          <w:lang w:val="en-US" w:eastAsia="en-US" w:bidi="ar-SA"/>
        </w:rPr>
        <w:cr/>
      </w:r>
    </w:p>
    <w:p>
      <w:pPr>
        <w:numPr>
          <w:numId w:val="3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of Question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exemption in s. 26.6(1)(h) is available to "a person who provides assistance or advice respecting remediation work at a contaminated site in accordance with this Act, unless the assistance or advice was carried out in a negligent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Beazer says that the Board misconstrued its position. It only sought to apply the exemption to ensure that it was not determined to be an "operator" based on its involvement in providing assistance and advice in respect of the remediation in the 1980s. Beazer says it did not seek to "escape" liability founded on any other conduct. The Board erred, says Beazer, in holding that the exemption is only available to arm's length consultants.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While Beazer feels that the Board misconstrued its position, I believe that Beazer is misinterpreting the Board's decision. The Board simply stated what it considered to be the public policy reason for the exemption. I think the Board is probably right that the Legislature had third party consultants primarily in mind when it enacted the exemption under s. 26.6(1)(h), but the Legislature chose to use broader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It is my view that the Board's decision is consistent with Beazer's main position. It did not hold that Beazer could not rely on the exemption because it was not a third party consultant. Rather, the Board found that Beazer was not solely or primarily involved in the Site providing remediation assistance or advice and that Beazer was otherwise an owner and operator at the Site. The Board held that an owner or operator cannot escape liability under this exemption if its employees were also involved in remediation operations. Hence, in concluding that Beazer was not entitled to the exemption, the Board was relying, not on Beazer's lack of independence, but on its finding that Beazer was an owner and operator apart from its involvement in the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agree with the Board that a person who is otherwise a responsible person cannot become exempt simply as a result of providing assistance or advice respecting remediation work at the contaminated site. Based on its submissions, Beazer also agrees with the Board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It is my view that the Legislature intended to exempt persons if the only activity which would make such persons an "owner" or an "operator" was their provision of assistance or advice respecting remediation of a contaminated site (as long as they were not negligent). Therefore, if Beazer would not have been an "owner" or an "operator" but for the involvement of Mr. Quagliotti and Dr. Middleton in the remediation work in the 1980s, it would be entitled to the exemption under s. 26.6(1)(h).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appreciate that clause (h) does not have the following language which is found in clauses (a),(b) and (c) of s. 26.6(1): "a person who would become a responsible person only because". I concede that, in effect, the interpretation given by me (as well as the Board and Beazer) reads those words into clause (h). I believe that reading those words into clause (h) does less violence to the interpretation of the Act than reading in any other words to avoid a person who is an owner or operator being able to escape liability by assisting with the remediation of the contamination (which may have been directly caused by that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Beazer's argument goes a step further. It says that the Act provides that conduct in the nature of remediation assistance and advice does not attract liability and that it would be incongruous to hold that exempt conduct can support a finding that a party is a "responsible person". Its position is that the Board's decision that Beazer was an "operator" should be set aside because it relied on irrelevant conduct. In my view, there are two answers to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First, the Act does not exempt conduct; it exempts persons. The evidence of the control which Beazer exercised in connection with the remediation work was evidence which the Board was entitled to consider in deciding whether Beazer was in control of any other operation at the Site. The Board considered the way in which Beazer exerted control, and the activities of the Beazer employees in connection with the remediation work was relevant to this consideration as it applied to other operations at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Second and more important, the Board stated its conclusion that Beazer "was otherwise an owner and operator at the Site". This means that the Board concluded that apart from the remediation assistance and advice, Beazer was an "operator". The Board did not need to consider the evidence of the remediation assistance and advice in order to conclude that Beazer was an "operator". Accordingly, even if it was irrelevant evidence and had been ignored by the Board, Beazer would still have been found by the Board to be an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My conclusions are that (i) the Board was correct in its interpretation and application of s. 26.6(1)(h), and (ii) the Board's consideration of Beazer's involvement in the 1980s remediation does not affect the reasonableness of the Board's conclusion that Beazer was an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BEAZER HAVE BEEN NAMED?</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Board found that the Manager had a wide discretion conferred upon him under s. 27.1 of the Act and that the only restriction on the Manager's discretion is that, when the Manager is aware of one or more responsible persons who contributed most substantially to the site becoming contaminated, he must name them in a remediation order unless naming them would jeopardize the remediation requirements. The Board was of the view that it should consider whether Beazer must be named to the Remediation Order as a "most substantial contributor" and, if not, whether the Manager properly exercised his discretion in naming Beazer under the category of "any responsible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After reviewing the evidence at length, the Board concluded that Beazer was a person whose activities contributed most substantially to the Site becoming a contaminated site and that, therefore, the Manager had properly exercised his discretion in naming Beazer to the Remediation Order. The Board found no reason to come to a different conclusion.</w:t>
      </w:r>
      <w:r>
        <w:rPr>
          <w:rFonts w:ascii="arial" w:eastAsia="arial" w:hAnsi="arial" w:cs="arial"/>
          <w:sz w:val="20"/>
          <w:lang w:val="en-US" w:eastAsia="en-US" w:bidi="ar-SA"/>
        </w:rPr>
        <w:cr/>
      </w:r>
    </w:p>
    <w:p>
      <w:pPr>
        <w:numPr>
          <w:numId w:val="39"/>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interpretation of s. 27.1 is a question of law and is subject to a standard of correctness. The application of the facts to s. 27.1 is a question of mixed law and fact which is subject to a standard of reasonableness simpliciter. I will discuss the standard of review applicable to the Manager's exercise of discretion after I have dealt with the question of mixed law and fact.</w:t>
      </w:r>
      <w:r>
        <w:rPr>
          <w:rFonts w:ascii="arial" w:eastAsia="arial" w:hAnsi="arial" w:cs="arial"/>
          <w:sz w:val="20"/>
          <w:lang w:val="en-US" w:eastAsia="en-US" w:bidi="ar-SA"/>
        </w:rPr>
        <w:cr/>
      </w:r>
    </w:p>
    <w:p>
      <w:pPr>
        <w:numPr>
          <w:numId w:val="40"/>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of Question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will set out again the statutory provisions for ease of reference. Section 27.1(1) states that "a manager may issue a remediation order to any responsible person". Section 27.1(2) provides that a remediation order may require a named person to undertake remediation, contribute towards another person who has reasonably incurred costs of remediation or give security. Section 27.1(4) reads:</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considering who will be ordered to undertake or contribute to remediation under subsections (1) and (2), a manager must to the extent feasible without jeopardizing remediation requirements</w:t>
      </w:r>
    </w:p>
    <w:p>
      <w:pPr>
        <w:numPr>
          <w:numId w:val="4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take into account private agreements respecting liability for remediation between or among responsible persons, if those agreements are known to the manager, and</w:t>
      </w:r>
    </w:p>
    <w:p>
      <w:pPr>
        <w:numPr>
          <w:numId w:val="4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basis of information known to the manager, name one or more persons whose activities, directly or indirectly, contributed most substantially to the site becoming a contaminated site, taking into account factors such as</w:t>
      </w:r>
    </w:p>
    <w:p>
      <w:pPr>
        <w:numPr>
          <w:numId w:val="4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involvement by the persons in the generation, transportation, treatment, storage or disposal of any substance that contributed, in whole or in part, to the site becoming a contaminated site, and</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diligence exercised by persons with respect to the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Beazer says that s. 27.1(4) is a clear expression of the "polluter pays" principle. A manager must name the primary polluters; namely, the persons whose activities contributed most substantially to the contamination. Beazer goes on to submit that s. 27.1(4) provides for the manager to name additional "responsible persons" in two defined circumstances. The first is where it is not feasible to name the person or persons who contributed most substantially to the contamination because there is insufficient information. The second is where it is not feasible to name only the person or persons who contributed most substantially because doing so would jeopardize remediation requirements (for example, when the primary polluters do not have the financial capability to carry out the remediation work). Beazer argues that the Board erred in holding that a manager could name any responsible person as long as the most substantial contributor was named in the remediation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This submission requires the wording of s. 27.1 to be examined. Subsection (1) provides that a manager may issue a remediation order to any responsible person. Subsection (1) does not state that it is subject to subsection (4) or any other provision of the Act. On the face of subsection (1), therefore, any person who qualifies as a responsible person under s. 26.5(1) may be named in a remediation order unless the manager has improperly exercised his or her discretion in naming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Is this interpretation of subsection (1) affected by subsection (4)? The introductory words of subsection (4) make reference to the situation of the manager considering who will be ordered to undertake or contribute to remediation under subsections (1) and (2). Therefore, subsection (4) does come into play in determining whether appropriate persons have been named to the remediation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Subsection (4) states that the manager must do two things in deciding who to name in a remediation order. The use of the word "must" indicates that these two things are mandatory requirements. In brief, these two things are:</w:t>
      </w:r>
      <w:r>
        <w:rPr>
          <w:rFonts w:ascii="arial" w:eastAsia="arial" w:hAnsi="arial" w:cs="arial"/>
          <w:sz w:val="20"/>
          <w:lang w:val="en-US" w:eastAsia="en-US" w:bidi="ar-SA"/>
        </w:rPr>
        <w:cr/>
      </w:r>
    </w:p>
    <w:p>
      <w:pPr>
        <w:numPr>
          <w:numId w:val="4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to take into account private agreements respecting liability for remediation;</w:t>
      </w:r>
    </w:p>
    <w:p>
      <w:pPr>
        <w:numPr>
          <w:numId w:val="4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to name one or more persons who contributed most substantially to the site becoming contaminated.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Both of these clauses are qualified by the phrase "to the extent feasible without jeopardizing remediation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intention of the qualifying phrase is clear with respect to the first matter. If there is a private agreement between responsible persons in which one party assumes responsibility for all of the contamination and the other "responsible" person is absolved from responsibility, the manager can only name the first party in the remediation order and cannot name the absolved party in the order; subject, however, to the qualification that the remediation requirements must not be jeopardized by the absence of the absolved party in the order. If the remediation requirements would be jeopardized by the absence of the absolved party in the order, the manager may then ignore the private agreement and name the absolved party in the order (although that party may be absolved from liability under the private agreement, they would still be a responsible person under s. 26.5(1)). An example of a situation where the absence of the absolved party in the order would jeopardize the remediation requirements is where the other responsible person does not have the financial capability to carry out all of the remediation work. If the absolved party was then named in the remediation order and incurred remediation costs, it could still rely on the private agreement in the cost recovery/allocation proceedings authorized by s. 27(4) to seek reimbursement from the other party to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intention of the qualifying phrase is not as readily apparent in connection with the second clause. Apart from the qualifying phrase, the intent of clause (b) of s. 27.1(4) would appear to be to deprive the manager of the discretion to decide not to name in a remediation order the person or persons who contributed most substantially to the site becoming contaminated. In other words, it limits the manager from excluding persons from the remediation order but it does not restrict the manager from including any person in the remediation order as long as they qualify as a responsible person under s. 26.5(1). Thus, a responsible person may be named in a remediation order as long as they cannot rely on a private agreement under clause (a) of s. 27.1(4) and as long as the manager has not otherwise exercised his or her discretion improperly. However, a party named in a remediation order can complain about the omission of a responsible person from the order if it contributed most substantially to the site becoming contaminated.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issue, then, is whether the meaning of clause (b) is altered by the qualifying phrase that the remediation requirements must not be jeopardized. This issue is made more difficult by the fact that the phrase qualifies both clause (a), which is exclusionary in nature, and clause (b), which is inclusionary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Some meaning must be given to the qualifying phrase. Its meaning is relatively clear with respect to clause (a) as I explained above. But it must have some meaning with respect to clause (b) because if the Legislature intended it to qualify only clause (a), it would have inserted the phrase in the body of clause (a). Does the giving of meaning to the qualifying phrase mean, as Beazer submits, that the manager must not name any party other than the person or persons who contributed most substantially to the site becoming contaminated unless the remediation requirements will be jeopardized by the absence of other responsible persons in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Beazer implicitly argues that there is no circumstance where remediation requirements will be jeopardized by the naming in the remediation order of the person or persons who contributed most substantially to the site becoming contaminated. Hence, the argument is that the qualifying phrase must be interpreted as preventing the manager from naming those who did not contribute most substantially to the site becoming contaminated unless the remediation requirements would thereby be jeopardized.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my view, although the circumstances where remediation requirements will be jeopardized by the remediation order naming a "most substantial contributor" may not be common, I can envisage such circumstances. For example, it may be important that the remediation begin immediately in circumstances where the person who contributed most substantially has limited financial means but there is another responsible person with substantial financial means. These are circumstances where even on Beazer's interpretation of s. 27.1, the manager could name the other responsible person as well as the person who contributed most substantially to the site becoming contaminated. However, it is possible that the manager may decide that the naming in the order of the "most substantial contributor" would jeopardize the remediation requirements because the remediation may be delayed by disagreements between the two persons regarding the method of remediation or the payment of the attendant costs (notwithstanding that they are jointly and severally liable). It would then be open to the manager to name in the remediation order only the person with substantial financial means and to refrain from naming the person who contributed most substantially to the site becoming contaminated despite the mandatory wording of clause (b) of s. 27.1(4).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Another example is a situation where the remediation requirements would be jeopardized by the time it would require the manager to make the appropriate investigations in order to determine which person contributed most substantially to the site becoming contaminated. On the information known to the manager, he or she may not be able to ascertain which person or persons contributed most substantially to the site becoming contaminated. If the remediation requirements would be jeopardized by delay, section 27.1(4) gives the manager the discretion to issue a remediation order without making the determination of which person or persons contributed most substantially to the site becoming contaminated.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have given two examples of situations where, as a result of jeopardy to remediation requirements, a remediation order may be issued without naming or ascertaining the identity of the person or persons who contributed most substantially to the site becoming contaminated. I have no doubt that there could be other such situations. Accordingly, a meaning can be properly given to the qualifying phrase in s. 27.1(4) which does not require that the subsection be interpreted as limiting the discretion of a manager in naming any responsible person to a remediation order (except in the circumstance described in clause (a) where a private agreement respecting liability for remediation would lead the manager to exclude a responsible person from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Beazer's interpretation of s. 27.1 would lead to a qualification of s. 27.1(1) which is simply not justified by the wording of s. 27.1(4). Subsection (1) states that a manager may issue a remediation order to any responsible person. By necessary implication, clause (a) of subsection (4) limits the manager's discretion and prevents the manager from naming certain responsible persons if doing so would be contrary to private agreements between responsible persons (as long as remediation requirements are not jeopardized). On the other hand, clause (b) provides that certain persons must be named in the order. It does not state, either expressly or by necessary implication, that certain persons must not or should not be named in the order. The discretion of the manager under subsection (1) to issue a remediation order to any responsible person is not limited by clause (b) of subsection (4). The only thing limited by clause (b) of subsection (4) is the manager's discretion not to name in a remediation order the person or persons who contributed most substantially to the site becoming contaminated (as long as remediation requirements would be jeopardized by naming such person or persons in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conclude that the Board correctly interpreted s. 27.1.</w:t>
      </w:r>
      <w:r>
        <w:rPr>
          <w:rFonts w:ascii="arial" w:eastAsia="arial" w:hAnsi="arial" w:cs="arial"/>
          <w:sz w:val="20"/>
          <w:lang w:val="en-US" w:eastAsia="en-US" w:bidi="ar-SA"/>
        </w:rPr>
        <w:cr/>
      </w:r>
    </w:p>
    <w:p>
      <w:pPr>
        <w:numPr>
          <w:numId w:val="4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of Question of Mixed Law and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After correctly interpreting s. 27.1, the Board then considered whether it was mandatory for Beazer to be named in the Remediation Order as a "most substantial contributor". In my view, it was unnecessary for the Board to have dealt with this issue because, on the correct interpretation of s. 27.1, Beazer was properly named as a responsible person under subsection (1) and nothing in subsection (4) required it to be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Board did not explain why it dealt with the issue of whether Beazer was a "most substantial contributor". Perhaps the Board decided to deal with the issue in case its interpretation of s. 27.1 was found to be in error. I would ordinarily deal with the issue in any event because the Board did consider it and Beazer's Petition seeks a declaration that it did not contribute most substantially to the contamination. However, there is an additional reason why I have concluded that it would not be appropriate for me to address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Section 27.1(4)(b) requires a manager to name one or more persons whose activities, directly or indirectly, contributed most substantially to the site becoming a contaminated site. The Legislature chose not to require the manager to name persons who contributed most substantially to the site being a contaminated site. The evidence before the Board was that there had been contamination at the Site for 39 years prior to the Principal Operator becoming a subsidiary of Beazer. There was a dispute on the evidence whether there was more creosote contamination before or after 1969 but there does not appear to be any doubt that there was contamination before 1969. Therefore, it seems to me that there is an issue regarding the meaning of the word "becoming" and that there may be factual issues of whether the Site had already become a contaminated site before Beazer's involvement and whether the Site would be contaminated at the present time if the contamination had stopped in 1969.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As these issues were not canvassed before me and as it is not necessary to determine whether Beazer was a "most substantial contributor", I have concluded that it would not be appropriate to review the Board's conclusion in this regard.</w:t>
      </w:r>
      <w:r>
        <w:rPr>
          <w:rFonts w:ascii="arial" w:eastAsia="arial" w:hAnsi="arial" w:cs="arial"/>
          <w:sz w:val="20"/>
          <w:lang w:val="en-US" w:eastAsia="en-US" w:bidi="ar-SA"/>
        </w:rPr>
        <w:cr/>
      </w:r>
    </w:p>
    <w:p>
      <w:pPr>
        <w:numPr>
          <w:numId w:val="4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of Exercise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ultimate conclusion of the Board on this topic was that the Manager properly exercised his discretion. In my view, the appropriate standard of review with respect to the Manager's exercise of discretion in naming a responsible person to a remediation order is patent reasonableness. The Manager has expertise with respect to remediation requirements and, apart from s. 27.1(4) which I have found inapplicable, the Legislature did not impose any limits on the exercise of the Manager's discretion in naming responsible persons in remediation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Other than the submissions regarding s. 27.1(4), there is nothing to indicate that the Manager acted improperly in naming Beazer in the Remediation Order. I conclude that it has not been demonstrated that the exercise of discretion by the Manager in naming Beazer in the Remediation Order or the Board's ratification of it was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 ON BEAZER'S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Beazer was properly named in the Remediation Order as a responsible person by virtue of being a previous operator of the Site. Although the Board was not correct in its interpretation of the first part of the definition of "owner" and although the Board may not have been correct in its conclusions that Beazer was responsible for an operation at the Site and was a "most substantial contributor", the naming of Beazer in the Remediation Order stands on the basis that it was a previous operator by virtue of its control of an operation at the Site and that it is not entitled to an exemption. There is no reason to remit the matter back to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My specific conclusions with respect to the relief sought in Beazer's Petition are as follows:</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Remediation Order is not quashed or set aside;</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portion of the Board's decision finding Beazer to be a previous owner of the Site is set aside;</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other challenged portions of the Board's decision are not quashed or set aside;</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the requested declarations are granted; and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 is not remitted to the Board for reconsideration.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ATLANTIC'S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Like Beazer, Atlantic first seeks an order in the nature of certiorari quashing and setting aside the Remediation Order. It then applies for an order in the nature of certiorari quashing or setting aside the portions of the Board's decision (i) finding that the Board was unable to consider equitable grounds as the basis for relieving Atlantic from liability for the remediation, (ii) finding that Atlantic was not relieved from liability on the basis of private agreements, (iii) finding that the conduct of the Provincial Crown did not constitute an abuse of process relieving Atlantic from liability, (iv) finding that the Board was without jurisdiction to stay the Remediation Order pending the determination of the cost recovery/allocation proceedings and (v) finding that the Manager properly exercised his discretion in naming Atlantic to the Remediation Order. Atlantic also requests declarations that (i) it is relieved of liability on the basis of abuse of process by the Provincial Crown, (ii) it is relieved of liability on the basis of private agreements and (iii) it is relieved of liability on equitable grounds. Alternatively, Atlantic asks that the matter be remitted back to the Board for reconsideration.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It was conceded by Atlantic during the hearing before this Court that I could not relieve it of liability in respect of the remediation. There were discussions on various issues about whether it would be necessary to remit the issues to the Board for further consideration if I agreed with Atlantic's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discussing Atlantic's submissions, I will again use headings to identify the nature of the issue. Although Atlantic's Amended Petition seeks to quash or set aside five portions of the Board's decision, the first aspect dealing with equitable grounds and the fifth aspect dealing with the exercise of the Manager's discretion were addressed in a combined submission covering both aspects.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EQUITABLE GROUNDS</w:t>
      </w:r>
      <w:r>
        <w:rPr>
          <w:rFonts w:ascii="arial" w:eastAsia="arial" w:hAnsi="arial" w:cs="arial"/>
          <w:sz w:val="20"/>
          <w:lang w:val="en-US" w:eastAsia="en-US" w:bidi="ar-SA"/>
        </w:rPr>
        <w:cr/>
      </w:r>
    </w:p>
    <w:p>
      <w:pPr>
        <w:numPr>
          <w:numId w:val="4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Before summarizing the Board's decision with respect to this submission, I should first detail the portions of the Board's decision which Atlantic is not challenging.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Atlantic had argued before the Board that it was not an owner or operator of the Site because, in essence, it had nothing to do with the ownership of the Site or any operation on the Site. It simply happened to amalgamate with the Principal Operator after the contamination had come to an end. The Board rejected this argument on the basis of the decision of the Supreme Court of Canada in R. v. Black &amp; Decker Manufacturing Co. Ltd. </w:t>
      </w:r>
      <w:hyperlink r:id="rId742" w:history="1">
        <w:r>
          <w:rPr>
            <w:rFonts w:ascii="arial" w:eastAsia="arial" w:hAnsi="arial" w:cs="arial"/>
            <w:i/>
            <w:color w:val="0077CC"/>
            <w:sz w:val="20"/>
            <w:u w:val="single"/>
            <w:shd w:val="clear" w:color="auto" w:fill="FFFFFF"/>
            <w:lang w:val="en-US" w:eastAsia="en-US" w:bidi="ar-SA"/>
          </w:rPr>
          <w:t>(1974), 43 D.L.R. (3d) 393</w:t>
        </w:r>
      </w:hyperlink>
      <w:r>
        <w:rPr>
          <w:rFonts w:ascii="arial" w:eastAsia="arial" w:hAnsi="arial" w:cs="arial"/>
          <w:color w:val="000000"/>
          <w:sz w:val="20"/>
          <w:lang w:val="en-US" w:eastAsia="en-US" w:bidi="ar-SA"/>
        </w:rPr>
        <w:t xml:space="preserve"> (S.C.C.), where it was held that no company is created or extinguished on amalgamation and that the effect of an amalgamation is to blend and continue the amalgamating companies into the amalgamated company (the effect of the amalgamation depends on the wording of the governing corporate legislation but the Board found that the language in the legislation governing Atlantic's amalgamation were almost identical). The Board concluded that by virtue of amalgamating with the Principal Operator, Atlantic fell within the definitions in the Act of "owner" and "operator", and contributed most substantially to the site becoming contaminated. The Board also concluded that Atlantic was not entitled to the exemption under s. 26.6(1)(d) of the Act for persons who became owners or operators of sites after their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On the issue in question, the Board found that any factor relied upon by a manager or the Board under s. 27.1(4)(b) of the Act must relate to the factors enumerated in s. 27.1(4)(b)(i) and (ii), and that "benefit" was not an appropriate consideration. It distinguished two decisions of the Ontario Environmental Appeal Board relied upon by Atlantic and held that the Act governs the questions of who are responsible persons, who are exempt and what factors the manager should consider in exercising his or her discretion. The Board stated that while some of the factors suggested by Atlantic may be relevant in determining whether a person was a "most substantial contributor" under s. 27.1(4)(b), the factors were not helpful to Atlantic in view of its amalgamation. The Board stated that, in any event, a responsible person can be named in a remediation order even if it did not contribute most substantially to the site becoming contaminated. The Board concluded that the Manager had properly exercised his discretion in naming Atlantic to the Remediation Order and that there was no reason for the Board to come to a different conclusion.</w:t>
      </w:r>
      <w:r>
        <w:rPr>
          <w:rFonts w:ascii="arial" w:eastAsia="arial" w:hAnsi="arial" w:cs="arial"/>
          <w:sz w:val="20"/>
          <w:lang w:val="en-US" w:eastAsia="en-US" w:bidi="ar-SA"/>
        </w:rPr>
        <w:cr/>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interpretation of the Act is a question of law and is subject to a standard of correctness. The application of the facts to s. 27.1 of the Act is a question of mixed law and fact, and is subject to a standard of reasonableness simpliciter. For the same reasons as stated in connection with the exercise of discretion to name Beazer in the Remediation Order, the exercise of discretion to name Atlantic in the Remediation Order is subject to a standard of patent reasonableness.</w:t>
      </w:r>
      <w:r>
        <w:rPr>
          <w:rFonts w:ascii="arial" w:eastAsia="arial" w:hAnsi="arial" w:cs="arial"/>
          <w:sz w:val="20"/>
          <w:lang w:val="en-US" w:eastAsia="en-US" w:bidi="ar-SA"/>
        </w:rPr>
        <w:cr/>
      </w:r>
    </w:p>
    <w:p>
      <w:pPr>
        <w:numPr>
          <w:numId w:val="5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of Question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Atlantic says that the Board committed a jurisdictional error by refusing to consider factors of fairness and culpability, and thereby fettered its discretion. Atlantic submits that the following provisions of the Act and the Contaminated Sites Regulation provide a broad discretion and therefore require the Manager (and the Board on appeal) to consider factors of equity and fairness in the determination of liability through the issuance of a remediation order:</w:t>
      </w:r>
      <w:r>
        <w:rPr>
          <w:rFonts w:ascii="arial" w:eastAsia="arial" w:hAnsi="arial" w:cs="arial"/>
          <w:sz w:val="20"/>
          <w:lang w:val="en-US" w:eastAsia="en-US" w:bidi="ar-SA"/>
        </w:rPr>
        <w:cr/>
      </w:r>
    </w:p>
    <w:p>
      <w:pPr>
        <w:numPr>
          <w:numId w:val="5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deciding whose activities contributed most substantially to the site becoming contaminated under s. 27.1(4)(b) of the Act, the manager must consider factors such as the degree of involvement of the person and the diligence exercised by the person;</w:t>
      </w:r>
    </w:p>
    <w:p>
      <w:pPr>
        <w:numPr>
          <w:numId w:val="5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 26.6(1) of the Act lists a number of exemptions which incorporate the concepts of fault and involvement;</w:t>
      </w:r>
    </w:p>
    <w:p>
      <w:pPr>
        <w:numPr>
          <w:numId w:val="5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ss. 19 through 33 of the Regulation list a number of further exemptions which are based on culpability;</w:t>
      </w:r>
    </w:p>
    <w:p>
      <w:pPr>
        <w:numPr>
          <w:numId w:val="5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 34 of the Regulation provides that nothing in s. 27(1) of the Act shall be construed as prohibiting the apportionment of a share of liability to one or more responsible persons by a manager in issuing an order under s. 27.1 of the Act if justified by available evidence;</w:t>
      </w:r>
    </w:p>
    <w:p>
      <w:pPr>
        <w:numPr>
          <w:numId w:val="5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 27.2 of the Act, which deals with allocation panels, provides the Manager (and the Board on appeal) with factors for apportioning liability and these factors are culpability-based;</w:t>
      </w:r>
    </w:p>
    <w:p>
      <w:pPr>
        <w:numPr>
          <w:numId w:val="5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 35(2) of the Regulation lists the factors which must be considered in a cost recovery/allocation proceeding and they are based on culpability, justice and fairness; and</w:t>
      </w:r>
    </w:p>
    <w:p>
      <w:pPr>
        <w:numPr>
          <w:numId w:val="5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ss. 43 - 48 of the Act, which deal with appeals to the Board, have provisions which are based on natural justice, fairness and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my view, these provisions do not support Atlantic's view that the Manager and the Board on appeal are required to consider factors of equity and fairness in determining who should be named in a remediation order. In the provisions relied upon by Atlantic, the Legislature has set out the circumstances in which factors of culpability, justice, fairness and equity must be considered. If the Legislature had intended to require a manager to consider such factors when issuing a remediation order under s. 27.1(1), it would have set out those factors in s. 27.1. It is true that the factors of involvement and diligence are listed in s. 27.1(4)(b) but those factors are to be considered by a manager in determining who must be named in a remediation order as a "most substantial contributor", not who may be named in the discretion of the manager under s. 27.1(1).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agree with the position of the Manager that in order to ensure timely remediation, the Legislature has implemented a scheme which casts a wide net over responsible parties who are jointly and severally liable for the costs of remediation and who may be required to undertake prompt remediation. In this regard, the Legislature has chosen to leave the requirement to deal with issues of culpability and fair allocations to an allocation panel under s. 27.2 of the Act (if requested) and to the courts in cost recovery/allocation proceedings under s. 27(4) of the Act and s. 35 of the Regulation. A requirement that a manager (and the Board on appeal) must undertake an investigation into issues of culpability and appropriate allocations could be potentially counterproductive to the purpose of the Act of promoting prompt remediation of contaminated sites. The Legislature did not impose such a requirement on a manager when issuing a remediation order under s. 27.1(1)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have concluded that a manager is not required to consider equitable factors when issuing a remediation order. However, I do not believe that a manager is prohibited from considering such factors. Section 27.1(1) is discretionary in nature. It states that a manager may issue a remediation order to any responsible person. It does not require that a manager must issue a remediation order to all responsible persons. In my view, it would not be an improper exercise of discretion for the manager to take equitable factors such as culpability into account as long as the result is not inconsistent with the primary objective of Part 4 of the Act to have expeditious and complete remediation of contaminated sites. Section 34 of the Regulation reflects this discretion because it states that s. 27(1) of the Act shall not be construed as prohibiting an apportionment of liability by a manager in issuing a remediation order. However, a manager (or the Board on appeal) has the discretion to refuse to consider equitable factors and to name any responsible person in a remediation order irrespective of their culpability or any other equitable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In its submissions before the Board and this Court, Atlantic relied upon two Ontario decisions, Hopkinson, Sky Harbour v. Director, Ministry of Environment and Energy, </w:t>
      </w:r>
      <w:hyperlink r:id="rId743" w:history="1">
        <w:r>
          <w:rPr>
            <w:rFonts w:ascii="arial" w:eastAsia="arial" w:hAnsi="arial" w:cs="arial"/>
            <w:i/>
            <w:color w:val="0077CC"/>
            <w:sz w:val="20"/>
            <w:u w:val="single"/>
            <w:shd w:val="clear" w:color="auto" w:fill="FFFFFF"/>
            <w:lang w:val="en-US" w:eastAsia="en-US" w:bidi="ar-SA"/>
          </w:rPr>
          <w:t>[1993] O.E.A.B. No. 38</w:t>
        </w:r>
      </w:hyperlink>
      <w:r>
        <w:rPr>
          <w:rFonts w:ascii="arial" w:eastAsia="arial" w:hAnsi="arial" w:cs="arial"/>
          <w:color w:val="000000"/>
          <w:sz w:val="20"/>
          <w:lang w:val="en-US" w:eastAsia="en-US" w:bidi="ar-SA"/>
        </w:rPr>
        <w:t xml:space="preserve"> and Re 724597 Ontario Ltd. c.o.b. "Appletex" </w:t>
      </w:r>
      <w:hyperlink r:id="rId744" w:history="1">
        <w:r>
          <w:rPr>
            <w:rFonts w:ascii="arial" w:eastAsia="arial" w:hAnsi="arial" w:cs="arial"/>
            <w:i/>
            <w:color w:val="0077CC"/>
            <w:sz w:val="20"/>
            <w:u w:val="single"/>
            <w:shd w:val="clear" w:color="auto" w:fill="FFFFFF"/>
            <w:lang w:val="en-US" w:eastAsia="en-US" w:bidi="ar-SA"/>
          </w:rPr>
          <w:t>(1995), 18 C.E.L.R. (N.S.) 137</w:t>
        </w:r>
      </w:hyperlink>
      <w:r>
        <w:rPr>
          <w:rFonts w:ascii="arial" w:eastAsia="arial" w:hAnsi="arial" w:cs="arial"/>
          <w:color w:val="000000"/>
          <w:sz w:val="20"/>
          <w:lang w:val="en-US" w:eastAsia="en-US" w:bidi="ar-SA"/>
        </w:rPr>
        <w:t xml:space="preserve"> (Ont. Gen. Div. - Div., Ct.). Atlantic points to the statement of the Ontario Environmental Appeal Board in the Hopkinson decision that once it was determined that the Director under the Ontario legislation had jurisdiction to make an order against a person, the next step is to determine whether there is any reason to relieve that person from compliance with the order. As the Ontario Board did not state its reason for this approach, I do not find this decision to be helpful in interpreting the provisions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"Appletex", the appellate division of the Ontario Court of Justice held that the Ontario Environmental Appeal Board did not exceed its jurisdiction by applying considerations of fairness to relieve two persons from much of their liability under an order issued by the Director under the Ontario legislation. The reasoning of the Court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ss. 18 and 43 of the EPA provide that the Director may make orders against persons who have or have had control of an undertaking or property. Neither section uses the word shall, which might impose an obligation on the Director to make an order in the case of every contaminant. The ordinary meaning of the word "may" is to make a power permissive, although the context in which "may" is used may require that the legislation be construed as imperative. (See E.A. Driedger, Construction of Statutes, 2d ed. (Toronto: Butterworths, 1983), pp. 9-15)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judgment, there is nothing in the context in which "may" is used in ss. 18 and 43 to indicate that it was used in other than its ordinary meaning of being permissive. (p. 142)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"Appletex" decision does not support the proposition that the Ontario Director/ Board is required to apply considerations of fairness when making an order. Rather, it stands for the proposition that the Ontario legislation is permissive in its wording and that it is open to the Director/Board to apply considerations of fairness. This is consistent with my interpretation of the B.C.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question remains, however, whether the Board improperly fettered its discretion by concluding that it was prevented from considering equitable grounds to remove Atlantic from the Remediation Order. The Board's decision needs to be examined in greater detail in order to make this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After summarizing the submissions of the parties, the Board first noted that it did not have inherent equitable jurisdiction. It next discussed the factors articulated in s. 27.1(4)(b) and observed that other factors to be considered must be of similar nature to the articulated factors and do not include "benefit" as a consideration. I note that s. 27.1(4)(b) related to the issue of "most substantial contributor" and does not deal with the issue of what persons may be named in a remediation order under s. 27.1(1).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Board then considered the two Ontario decisions which it found were dealing with a different legislative scheme. The Board noted that there was no guidance for discretion in the Ontario statute, while there is a structured discretion under s. 27.1 of the Act and a number of exemptions from responsible party status. After making reference to the CCME report, the Board noted that the process of issuing a remediation order is a summary process and that other safeguards and defences are built into the cost recovery process. It made reference to clause (f) of s. 35(2) of the Contaminated Sites Regulation and noted that the factor of a fair and just allocation does not appear in s. 27.1. The Board may have overlooked s. 34 of the Regulation in making this observation.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Board then found that there was no basis to ignore the legal effect of Atlantic's amalgamation and that, due to the amalgamation, Atlantic was a responsible person and a "most substantial contributor". The balance of the Board's reasoning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in another circumstance, some of the factors suggested by Atlantic may be relevant to whether the person "contributed most substantially to the site becoming contaminated," </w:t>
      </w:r>
      <w:r>
        <w:rPr>
          <w:rFonts w:ascii="arial" w:eastAsia="arial" w:hAnsi="arial" w:cs="arial"/>
          <w:b/>
          <w:color w:val="000000"/>
          <w:sz w:val="20"/>
          <w:lang w:val="en-US" w:eastAsia="en-US" w:bidi="ar-SA"/>
        </w:rPr>
        <w:t>given the amalgamation in this case, the factors are not helpful to Atlantic in the remediation order process</w:t>
      </w:r>
      <w:r>
        <w:rPr>
          <w:rFonts w:ascii="arial" w:eastAsia="arial" w:hAnsi="arial" w:cs="arial"/>
          <w:color w:val="000000"/>
          <w:sz w:val="20"/>
          <w:lang w:val="en-US" w:eastAsia="en-US" w:bidi="ar-SA"/>
        </w:rPr>
        <w:t>. In any event, as stated in issue #3 above, a responsible person can be named in a remediation order even if it did not contribute most substantially to the site becoming contaminated.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Panel finds that the Assistant Manager properly exercised his discretion in naming Atlantic to the Order, and the Panel finds no reason to come to a different conclusion. (p. 65)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Even if the Board's reasons could be read as a conclusion that the Act prohibited the Manager (and the Board on appeal) from considering equitable grounds, the Board did go on to consider the factors relied upon by Atlantic. It concluded that the factors were not helpful to Atlantic in view of the amalgamation. This is similar to the preceding issue where the Board considered whether Beazer was a "most substantial contributor" when it was not necessary to do so in view of its interpretation of s. 27.1. In both situations, the Board went on to consider the addition issue. Here, the Board directed its mind to the factors and decided that they were not helpful to Atlantic.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conclude that the Board did not make an error of law on this issue by refusing to consider the equitable grounds on the basis that the Act precluded it from considering such grounds.</w:t>
      </w:r>
      <w:r>
        <w:rPr>
          <w:rFonts w:ascii="arial" w:eastAsia="arial" w:hAnsi="arial" w:cs="arial"/>
          <w:sz w:val="20"/>
          <w:lang w:val="en-US" w:eastAsia="en-US" w:bidi="ar-SA"/>
        </w:rPr>
        <w:cr/>
      </w:r>
    </w:p>
    <w:p>
      <w:pPr>
        <w:numPr>
          <w:numId w:val="5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of Question of Mixed Law and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As I have concluded that the Board did consider the factors relied upon by Atlantic and found them unhelpful to Atlantic in the remediation order process in view of its amalgamation, it is necessary to decide whether this conclusion stands up to the standard of review of reasonableness simpliciter.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equitable factors relied upon by Atlantic are as follows:</w:t>
      </w:r>
      <w:r>
        <w:rPr>
          <w:rFonts w:ascii="arial" w:eastAsia="arial" w:hAnsi="arial" w:cs="arial"/>
          <w:sz w:val="20"/>
          <w:lang w:val="en-US" w:eastAsia="en-US" w:bidi="ar-SA"/>
        </w:rPr>
        <w:cr/>
      </w:r>
    </w:p>
    <w:p>
      <w:pPr>
        <w:numPr>
          <w:numId w:val="5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Site was wholly contaminated before the sale of the Principal Operator to Atlantic's parent and the subsequent amalgamation;</w:t>
      </w:r>
    </w:p>
    <w:p>
      <w:pPr>
        <w:numPr>
          <w:numId w:val="5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Beazer and CNR contributed substantially to the Site becoming contaminated;</w:t>
      </w:r>
    </w:p>
    <w:p>
      <w:pPr>
        <w:numPr>
          <w:numId w:val="5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unlike Beazer and CNR, Atlantic enjoyed no benefit as a result of the contamination;</w:t>
      </w:r>
    </w:p>
    <w:p>
      <w:pPr>
        <w:numPr>
          <w:numId w:val="5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Atlantic is named in the Remediation Order only because of (i) the Provincial Crown's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(ii) Beazer's failure to disclose potential liabilities, (iii) the legal effect of the amalgamation and (iv) the enactment of retroactive legislation;</w:t>
      </w:r>
    </w:p>
    <w:p>
      <w:pPr>
        <w:numPr>
          <w:numId w:val="5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Atlantic conducted due diligence before the acquisition of the Principal Operator was acquired and the subsequent amalgamation; and</w:t>
      </w:r>
    </w:p>
    <w:p>
      <w:pPr>
        <w:numPr>
          <w:numId w:val="5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Atlantic to comply with the Remediation Order can result in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Apart from factor (d) (which will be dealt with under the abuse of process argument) and factor (f) (which applies to any person named in a remediation order), the concept which underlies these factors is that Atlantic is distinct from the Principal Operator. This concept does not reflect the legal result of the amalgamation. Based on the effect of the amalgamation as set out in the Black &amp; Decker decision, Atlantic is the Principal Operator (together with the other company which amalgamated with the Principal Operator). There is no separate identity. The amalgamating companies continued in Atlantic "with all their strengths and their weaknesses, their perfection and imperfections, and their sins, if sinners they be" (Black &amp; Decker at p. 401). Atlantic cannot divorce itself from the sins of the Principal Operator (although it may be able to visit some of the sins on Beazer and other responsible persons in the cost recovery/allocation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Board's conclusion that these factors are not helpful to Atlantic in view of its amalgamation is reasonable.</w:t>
      </w:r>
      <w:r>
        <w:rPr>
          <w:rFonts w:ascii="arial" w:eastAsia="arial" w:hAnsi="arial" w:cs="arial"/>
          <w:sz w:val="20"/>
          <w:lang w:val="en-US" w:eastAsia="en-US" w:bidi="ar-SA"/>
        </w:rPr>
        <w:cr/>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of Exercise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Even if the Board's reasons are construed as a holding that it could not consider the equitable factors relied upon by Atlantic, the Board's ultimate conclusion on this topic was that the Manager properly exercised his discretion in naming Atlantic to the Remediation Order and the Board found no reason to come to a different conclusion. Although s. 47 of the Act authorizes the Board to make its own decision, it is also entitled to confirm the decision being appealed. In my view, the Board confirmed the Manager's exercise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Manager was not required to take into account the factors relied upon by Atlantic in exercising his discretion when deciding whether to name it in the Remediation Order. It has not been shown that the Manager took improper considerations into account when exercising his discretion or improperly fettered his discretion in deciding which responsible persons should be named in the Remediation Order. It was not patently unreasonable for the Manager to exercise his discretion in this fashion or for the Board to confirm the Manager's exercise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PRIVATE AGREEMENTS</w:t>
      </w:r>
      <w:r>
        <w:rPr>
          <w:rFonts w:ascii="arial" w:eastAsia="arial" w:hAnsi="arial" w:cs="arial"/>
          <w:sz w:val="20"/>
          <w:lang w:val="en-US" w:eastAsia="en-US" w:bidi="ar-SA"/>
        </w:rPr>
        <w:cr/>
      </w:r>
    </w:p>
    <w:p>
      <w:pPr>
        <w:numPr>
          <w:numId w:val="5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agreements relied upon by Atlantic were the Share Purchase Agreement by which Beazer sold the shares in the Principal Operator to Border and the accompanying Indemnity Agreement between Beazer and the Principal Operator. In the Share Purchase Agreement, Beazer made a representation and warranty to Border that there were no outstanding liabilities against the Principal Operator except those disclosed in a schedule (which did not indicate any liability in connection with the Site). The Share Purchase Agreement provided that the representation and warranty was to continue for a period of two years from the closing date of November 14, 1988. In the Indemnity Agreement, Beazer agreed to indemnify the Principal Operator against any undisclosed liabilities for a period of two years from November 15,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Board found that as the representation and warranty and the indemnity had expired in November 1990, the Share Purchase Agreement and the Indemnity Agreement (together, the "Agreements") were not agreements that had to be taken into account by the Manager under s. 27.1(4)(a) of the Act. In view of this finding, the Board stated that it did not have to consider whether the Agreements are the types of agreements contemplated in s. 27.1(4)(a). In its conclusion, the Board found that Atlantic ought not be relieved from being named in the Remediation Order on the basis of the Agreements.</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issue involves the interpretation of the Act. It is a question of law which is subject to a review standard of correctness.</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of Question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For ease of reference, I will set out again s. 27.1(4)(a) of the Act:</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considering who will be ordered to undertake or contribute to remediation under subsections (1) and (2), a manager must to the extent feasible without jeopardizing remediation requirements</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take into account private agreements respecting liability for remediation between or among responsible persons, if those agreements are known to the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Atlantic submits that the Board's construction of this provision was too restrictive and is at odds with one of the clear purposes of the Act to assign liability on the basis of who is truly culpable for or who benefited from the contamination. Atlantic says that the Board's construction ignores the retroactive nature of the Act and that, if the Legislature had intended to restrict clause (a) to existing agreements only, it would have done so expressly.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my opinion, the intent of s. 27.1(4)(a) is to require a manager to take the provisions of agreements between responsible persons into account as long as it does not jeopardize remediation requirements. Therefore, if two responsible persons enter into an agreement which provides that one of them is responsible for certain contamination and the other is not responsible for it, the manager should only name the first of these persons (even though they are both technically responsible persons under the Act) unless the naming of the first person only would jeopardize the remediation requirements. A manager would also have to respect agreements which provided for an allocation of responsibility that was less than a full allocation to one responsible person when exercising his or her discretion under s. 27.1(2) (again, as long as it would not jeopardize remediation requirements). If effect is given to the agreement in the remediation order process, there will be no need for a cost recovery/allocation proceeding as between the responsible persons who were parties to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While an unenforceable agreement may be a factor considered by the court in a cost recovery/allocation proceeding, the necessity of such a proceeding will not be avoided by the manager taking the agreement into account. And how is the manager supposed to take an unenforceable agreement into account? Should the manager give effect to the agreement when the parties themselves cannot enforce it? It could lead to strange results if the manager were to attempt to give effect to an unenforceable agreement while the court would find it unenforceable and may give little, if any, weight to it in the cost recovery/allocation proceeding. I do not think the Legislature intended that the manager would be required to answer such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Concise Oxford Dictionary defines "agreement" to mean "an arrangement between parties as to a course of action etc.". In considering the definition of "owner", I concluded that the word "right" means a legally enforceable right. Similarly, in using the word "agreements" in s. 27.1(4)(a), it is my view that the Legislature was referring to legally enforceable agreements. As the representation and warranty in the Share Purchase Agreement and the indemnity in the Indemnity Agreement have expired, they are no longer legally enforceable and are not agreements which the Legislature intended the Manager to take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conclude that the Board was correct in its interpretation of s. 27.1(4)(a). Although the parties made submissions to this Court as to whether the Agreements were the types of agreements contemplated by s. 27.1(4)(a), the Board did not consider the issue. It would be inappropriate for this Court in these proceedings to deal with an issue which was not decided by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ABUSE OF PROCESS</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Board rejected Atlantic's submission that the conduct of the Provincial Crown with respect to the remediation of the Site in the early 1980s and the subsequent monitoring of the Site made it an abuse of process for the Manager to name it in the Remediation Order. It distinguished the two case authorities relied on by Atlantic and stated that, in any event, Atlantic's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were not grounds for removing it from the Remediation Order. The Board found that there was authority under s. 28.7 of the Act to issue a remediation order whether or not previous remedial work had been done and that it was not an abuse of process for the Manager to have named Atlantic in the Remediation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Board went on to say that the Manager was dealing with a situation where, for the protection of the environment, he had to consider naming persons to a remediation order and that it was not an abuse of process for the Manager to have named Atlantic in the Remediation Order.</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If the issue under review is a question of law, the standard of review will be one of correctness. It will be a question of law if the Board regarded the allegations of abuse of process as irrelevant considerations or if it can be discerned that the Board misconstrued the doctrine of abuse of process. If the issue under review is whether the Board correctly applied the facts of this case to the doctrine of abuse of process, it will be a question of mixed law and fact, in which case the standard of review will be reasonableness simpliciter.</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of Question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In its submissions on this topic, Atlantic relies on two decisions, Re Abitibi Paper Company Limited and The Queen </w:t>
      </w:r>
      <w:hyperlink r:id="rId745" w:history="1">
        <w:r>
          <w:rPr>
            <w:rFonts w:ascii="arial" w:eastAsia="arial" w:hAnsi="arial" w:cs="arial"/>
            <w:i/>
            <w:color w:val="0077CC"/>
            <w:sz w:val="20"/>
            <w:u w:val="single"/>
            <w:shd w:val="clear" w:color="auto" w:fill="FFFFFF"/>
            <w:lang w:val="en-US" w:eastAsia="en-US" w:bidi="ar-SA"/>
          </w:rPr>
          <w:t>(1979), 24 O.R. (2d) 742</w:t>
        </w:r>
      </w:hyperlink>
      <w:r>
        <w:rPr>
          <w:rFonts w:ascii="arial" w:eastAsia="arial" w:hAnsi="arial" w:cs="arial"/>
          <w:color w:val="000000"/>
          <w:sz w:val="20"/>
          <w:lang w:val="en-US" w:eastAsia="en-US" w:bidi="ar-SA"/>
        </w:rPr>
        <w:t xml:space="preserve"> (Ont. C.A.) and R. v. Repap Smithers Ltd. (29 November 1991), Smithers No. 8811-C (B.C. Prov. Ct.). In Abitibi, the owner of a paper mill voluntarily undertook a program to eliminate the discharge of effluents into a river. A senior government official wrote to Abitibi stating that if the work was not completed by a specified date, a control order would be issued to ensure completion and failure to meet such a control order would subject Abitibi to the probability of prosecution. Prior to the specified date and after the government official had expressed satisfaction with the progress of the work program, Abitibi was charged with violating the environment legislation. The Ontario Court of Appeal upheld the decision of the provincial court judge to stay the charges as an abuse of process. The Court focused most of its reasons on whether the ability of the court to grant stays of proceedings for abuse of process in civil cases extended to a prosecution for breach of a provincial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In Repap Smithers, a government official agreed with the operator of a mill that it could continue to operate a non-compliant burner as long as it was working towards a long-term plan to resolve the situation. After the mill operator delivered a long-term plan and the ministry agreed to make amendments to the mill's permit to accommodate the plan, the operator was charged with exceeding its permit. The Court stayed the charges 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both of these cases, the court stayed charges where the polluter had a reasonable expectation, based on statements of government officials, that it would not be charged if it worked towards a solution. In each case, the conduct of the government was found to be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now turn to whether the Board erred on a question of law. First, Atlantic says that the Board regarded the allegations of abuse of process to be irrelevant because s. 28.7 of the Act states that even though the powers of the manager have been previously exercised, a manager may exercise his or her powers in certain circumstances, including the circumstance that the site poses a threat to human health or the environment. The Board did seem to conclude that the issuance of the Remediation Order could not be an abuse of process in light of s. 28.7. However, the Board went on to consider the merits of Atlantic's submission and concluded again that it was not an abuse of process for Atlantic to be named in the Remediation Order. So even if the Board did commit an error of law in this regard, the error did not affect the outcome of the Board's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second error of law alleged by Atlantic is that the Board misunderstood the doctrine of abuse of process by restricting the doctrine exclusively to situations involving governmental abuse relating to the laying of criminal charges. I do not agree with this submission. All the Board did was distinguish the Abitibi and Repap Smithers decisions, and I agree that these decisions are distinguishable from the present case. Although the Board repeated CNR's submission that the government's authority to take remedial steps was not challenged in Repap Smithers, I do not agree with Atlantic that this demonstrates a conclusion by the Board that the doctrine of abuse of process is restricted to the laying of charges. The Board had the Abitibi decision before it and the principal point in that decision was whether the court's ability to stay civil proceedings for abuse of process extended to proceedings alleging breaches of provincial statutes. I think the Board was simply making the point that it is possible to have a situation where it may not be an abuse of process to require remedial steps to be taken even though it may be an abuse of process to lay charges.</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of Question of Mixed Law and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doctrine of abuse of process provides that in the clearest of cases a proceeding should be stayed as an abuse of the court's process if it would be unfair, vexatious or oppressive to allow it to continue: see Abitibi, Repap Smithers, R. v. Jewitt </w:t>
      </w:r>
      <w:hyperlink r:id="rId746" w:history="1">
        <w:r>
          <w:rPr>
            <w:rFonts w:ascii="arial" w:eastAsia="arial" w:hAnsi="arial" w:cs="arial"/>
            <w:i/>
            <w:color w:val="0077CC"/>
            <w:sz w:val="20"/>
            <w:u w:val="single"/>
            <w:shd w:val="clear" w:color="auto" w:fill="FFFFFF"/>
            <w:lang w:val="en-US" w:eastAsia="en-US" w:bidi="ar-SA"/>
          </w:rPr>
          <w:t>(1985), 21 C.C.C. (3d) 7</w:t>
        </w:r>
      </w:hyperlink>
      <w:r>
        <w:rPr>
          <w:rFonts w:ascii="arial" w:eastAsia="arial" w:hAnsi="arial" w:cs="arial"/>
          <w:color w:val="000000"/>
          <w:sz w:val="20"/>
          <w:lang w:val="en-US" w:eastAsia="en-US" w:bidi="ar-SA"/>
        </w:rPr>
        <w:t xml:space="preserve"> (S.C.C.), R. v. Keyowski </w:t>
      </w:r>
      <w:hyperlink r:id="rId747" w:history="1">
        <w:r>
          <w:rPr>
            <w:rFonts w:ascii="arial" w:eastAsia="arial" w:hAnsi="arial" w:cs="arial"/>
            <w:i/>
            <w:color w:val="0077CC"/>
            <w:sz w:val="20"/>
            <w:u w:val="single"/>
            <w:shd w:val="clear" w:color="auto" w:fill="FFFFFF"/>
            <w:lang w:val="en-US" w:eastAsia="en-US" w:bidi="ar-SA"/>
          </w:rPr>
          <w:t>(1988), 40 C.C.C. (3d) 481</w:t>
        </w:r>
      </w:hyperlink>
      <w:r>
        <w:rPr>
          <w:rFonts w:ascii="arial" w:eastAsia="arial" w:hAnsi="arial" w:cs="arial"/>
          <w:color w:val="000000"/>
          <w:sz w:val="20"/>
          <w:lang w:val="en-US" w:eastAsia="en-US" w:bidi="ar-SA"/>
        </w:rPr>
        <w:t xml:space="preserve"> (S.C.C.), R. v. Miles of Music Ltd. </w:t>
      </w:r>
      <w:hyperlink r:id="rId748" w:history="1">
        <w:r>
          <w:rPr>
            <w:rFonts w:ascii="arial" w:eastAsia="arial" w:hAnsi="arial" w:cs="arial"/>
            <w:i/>
            <w:color w:val="0077CC"/>
            <w:sz w:val="20"/>
            <w:u w:val="single"/>
            <w:shd w:val="clear" w:color="auto" w:fill="FFFFFF"/>
            <w:lang w:val="en-US" w:eastAsia="en-US" w:bidi="ar-SA"/>
          </w:rPr>
          <w:t>(1989), 48 C.C.C. (3d) 96</w:t>
        </w:r>
      </w:hyperlink>
      <w:r>
        <w:rPr>
          <w:rFonts w:ascii="arial" w:eastAsia="arial" w:hAnsi="arial" w:cs="arial"/>
          <w:color w:val="000000"/>
          <w:sz w:val="20"/>
          <w:lang w:val="en-US" w:eastAsia="en-US" w:bidi="ar-SA"/>
        </w:rPr>
        <w:t xml:space="preserve"> (Ont. C.A.), R. v. Power </w:t>
      </w:r>
      <w:hyperlink r:id="rId749" w:history="1">
        <w:r>
          <w:rPr>
            <w:rFonts w:ascii="arial" w:eastAsia="arial" w:hAnsi="arial" w:cs="arial"/>
            <w:i/>
            <w:color w:val="0077CC"/>
            <w:sz w:val="20"/>
            <w:u w:val="single"/>
            <w:shd w:val="clear" w:color="auto" w:fill="FFFFFF"/>
            <w:lang w:val="en-US" w:eastAsia="en-US" w:bidi="ar-SA"/>
          </w:rPr>
          <w:t>(1994), 89 C.C.C. (3d) 1</w:t>
        </w:r>
      </w:hyperlink>
      <w:r>
        <w:rPr>
          <w:rFonts w:ascii="arial" w:eastAsia="arial" w:hAnsi="arial" w:cs="arial"/>
          <w:color w:val="000000"/>
          <w:sz w:val="20"/>
          <w:lang w:val="en-US" w:eastAsia="en-US" w:bidi="ar-SA"/>
        </w:rPr>
        <w:t xml:space="preserve"> (S.C.C.), and R. v. O'Connor </w:t>
      </w:r>
      <w:hyperlink r:id="rId750" w:history="1">
        <w:r>
          <w:rPr>
            <w:rFonts w:ascii="arial" w:eastAsia="arial" w:hAnsi="arial" w:cs="arial"/>
            <w:i/>
            <w:color w:val="0077CC"/>
            <w:sz w:val="20"/>
            <w:u w:val="single"/>
            <w:shd w:val="clear" w:color="auto" w:fill="FFFFFF"/>
            <w:lang w:val="en-US" w:eastAsia="en-US" w:bidi="ar-SA"/>
          </w:rPr>
          <w:t>(1995), 103 C.C.C. (3d) 1</w:t>
        </w:r>
      </w:hyperlink>
      <w:r>
        <w:rPr>
          <w:rFonts w:ascii="arial" w:eastAsia="arial" w:hAnsi="arial" w:cs="arial"/>
          <w:color w:val="000000"/>
          <w:sz w:val="20"/>
          <w:lang w:val="en-US" w:eastAsia="en-US" w:bidi="ar-SA"/>
        </w:rPr>
        <w:t xml:space="preserve"> (S.C.C.). Conduct making the continuation of proceedings unfair, vexatious or oppressive includes fraud, bad faith, improper motives and other acts which shock the conscience of the community and are detrimental to the proper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Board's ultimate conclusion was that it was not an abuse of process for the Manager to have named Atlantic in the Remediation Order because the Manager was acting to protect the environment. Although the Board did not articulate its conclusion in the language typically used in the abuse of process decisions, its conclusion is not clearly wrong and is not an unreasonable decision in the sense of not being supported by any reasons that can stand up to a somewhat probing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It is not my function to review the evidence and come to my own conclusions about the facts and to then apply those facts to the abuse of process doctrine. Rather, I am to conduct a somewhat probing examination and determine whether the decision was unreasonable because it is not supported by any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It was Atlantic's position that the Provincial Crown led the Principal Operator to believe that it would get a "clean bill of health" if it complied with the pollution abatement order which had been issued under the Pollution Control Act. The Principal Operator did the remedial work and the Provincial Crown issued a letter stating that the remedial plan had been implemented to its satisfaction. Atlantic also submitted to the Board that the Provincial Crown was negligent in stating that the Site had been properly remediated and in its subsequent monitoring of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However, there was evidence before the Board that the Provincial Crown did not advise the Principal Operator that no further remedial work be required. There was evidence that a government official verbally advised the Principal Operator that although the Provincial Crown was satisfied with the cleanup, it could not provide complete assurances that future cleanups would not be necessary. There was also evidence that it was the intention to have the Site monitored after the remedial work was completed and no monitoring would have been required if it was contemplated that no further remedial work would ever be required. Before the Board was a written confirmation of a conversation in 1983 involving Mr. Quagliotti, one of the Beazer representatives who was looking after the remedial work on behalf of the Principal Operator, in which he acknowledged that the Provincial Crown could change its mind in 5 years and require further excavation. The Board specifically found that in naming Atlantic to the Remediation Order, the Manager was acting to protect the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my view, there was evidence before the Board from which it could reasonably conclude that it was not an abuse of process for the Manager to name Atlantic in the Remediation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JURISDICTION TO STAY</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Atlantic applied to the Board to stay the Remediation Order pending the resolution of the cost recovery/allocation proceedings for numerous reasons, including its financial circumstances. During the hearing before it, the Board made a ruling that Atlantic could not introduce evidence about its financial circumstances because its financial status was not relevant to the determination of whether Atlantic should be relieved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In its decision, the Board held that its jurisdiction was limited to the granting of a stay pending the outcome of an appeal before it and that it had no jurisdiction to issue a stay once it made its determination on the issues involved in the appeal.</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This was the one issue where all of the parties were agreed on the standard of review. It is a question of law involving the Board's jurisdiction and the appropriate standard is one of correctness.</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of Question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Atlantic made relatively extensive submissions on several collateral issues, including the issue of whether the Board gave adequate reasons for refusing to hear evidence on Atlantic's financial status and issues related to the test to be applied by the Board when considering a stay application. All Atlantic says on the jurisdictional issue itself is that the language of s. 48 of the Act conferring discretion on the Board to grant a stay of a remediation order is broad and unfettered. I do not take Atlantic to say that the Board has the inherent jurisdiction to grant a stay. The Board is a creature of statute and only has the powers given to it by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Section 48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appeal taken under this Act does not operate as a stay or suspend the operation of the decision being appealed unless the appeal board orders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wording of s. 48 does not support Atlantic's position. Section 48 is clearly directed only at stays pending the outcome of appeals. The Board is authorized to order that the appeal can operate as a stay of the decision being appealed. No reasonable interpretation of the section can lead to the conclusion that the Board is given the authority to stay remediation orders pending the outcome of other litigation, even if it is related litigation authorized by the Act. If the Act provided for a right of appeal from a decision of the Board, it might be possible to interpret s. 48 to extend to such a further appeal (although other legislation giving a right of appeal to the courts have specific provisions empowering the administrative tribunal to grant a stay pending the outcome of that appeal) (see, for example, the Utilities Commission Act, </w:t>
      </w:r>
      <w:hyperlink r:id="rId751" w:history="1">
        <w:r>
          <w:rPr>
            <w:rFonts w:ascii="arial" w:eastAsia="arial" w:hAnsi="arial" w:cs="arial"/>
            <w:i/>
            <w:color w:val="0077CC"/>
            <w:sz w:val="20"/>
            <w:u w:val="single"/>
            <w:shd w:val="clear" w:color="auto" w:fill="FFFFFF"/>
            <w:lang w:val="en-US" w:eastAsia="en-US" w:bidi="ar-SA"/>
          </w:rPr>
          <w:t>R.S.B.C. 1996, c. 473, s. 102</w:t>
        </w:r>
      </w:hyperlink>
      <w:r>
        <w:rPr>
          <w:rFonts w:ascii="arial" w:eastAsia="arial" w:hAnsi="arial" w:cs="arial"/>
          <w:color w:val="000000"/>
          <w:sz w:val="20"/>
          <w:lang w:val="en-US" w:eastAsia="en-US" w:bidi="ar-SA"/>
        </w:rPr>
        <w:t xml:space="preserve"> and the Medical Practitioners Act, R.S.B.C. 1996, c. 285, s. 71). However, a cost recovery/allocation proceeding is not an appeal in any sense of the word.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 conclude that the Board was correct that it had no jurisdiction to stay the Remediation Order pending the outcome of the cost recovery/allocation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 ON ATLANTIC'S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Board was correct in its conclusions that Atlantic should remain named in the Remediation Order and that it had no jurisdiction to stay the Remediation Order pending the outcome of the cost recovery/allocation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Dealing specifically with the relief sought in Atlantic's Amended Petition:</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Remediation Order is not quashed or set aside;</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the challenged portions of the Board's decision are quashed or set aside;</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the requested declarations are granted; and</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 is not remitted to the Board for reconsideration.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 believe that there was a consensus among the parties that consideration of the issue of costs would await my decision on the principal issues. The parties may make arrangements through Trial Division for a hearing with respect to costs. Alternatively, if all of the parties agree, the submissions on costs may be made in writing and sent to me through Trial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TYSOE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January 29,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Corrigendum is issued with respect to my Reasons for Judgment published on November 24,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It has been pointed out by counsel that there is an error in paragraph 118 of the Reasons for Judgment. I correct the error by replacing the word "owner" in the last sentence of paragraph 118 with the word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TYSOE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7"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2"/>
          <w:headerReference w:type="default" r:id="rId753"/>
          <w:footerReference w:type="even" r:id="rId754"/>
          <w:footerReference w:type="default" r:id="rId755"/>
          <w:headerReference w:type="first" r:id="rId756"/>
          <w:footerReference w:type="first" r:id="rId7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58" w:history="1">
        <w:r>
          <w:rPr>
            <w:rFonts w:ascii="arial" w:eastAsia="arial" w:hAnsi="arial" w:cs="arial"/>
            <w:b/>
            <w:bCs/>
            <w:i/>
            <w:color w:val="0077CC"/>
            <w:kern w:val="32"/>
            <w:sz w:val="28"/>
            <w:szCs w:val="32"/>
            <w:u w:val="single"/>
            <w:shd w:val="clear" w:color="auto" w:fill="FFFFFF"/>
            <w:lang w:val="en-US" w:eastAsia="en-US" w:bidi="ar-SA"/>
          </w:rPr>
          <w:t>Blanco v. Whistler (Resort Municipality), [2018] B.C.J. No. 7092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G. Choi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18, October 29, 2018.</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November 9, 2018.</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S166451</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[2018] B.C.J. No. 7092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2018 BCSC 2407</w:t>
      </w:r>
    </w:p>
    <w:p>
      <w:pPr>
        <w:spacing w:before="120" w:line="260" w:lineRule="atLeast"/>
        <w:rPr>
          <w:lang w:val="en-US" w:eastAsia="en-US" w:bidi="ar-SA"/>
        </w:rPr>
      </w:pPr>
      <w:r>
        <w:rPr>
          <w:rFonts w:ascii="arial" w:eastAsia="arial" w:hAnsi="arial" w:cs="arial"/>
          <w:color w:val="000000"/>
          <w:sz w:val="20"/>
          <w:lang w:val="en-US" w:eastAsia="en-US" w:bidi="ar-SA"/>
        </w:rPr>
        <w:t>Between Lance Blanco, Plaintiff, and The Resort Municipality of Whistler, Whistler Mountain Resort Limited Partnership, Blackcomb Skiing Enterprises Limited Partnership, Whistler Blackcomb Holdings Inc. and ABC Company,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48" style="position:absolute;z-index:25170739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01" w:name="Keywords_45"/>
      <w:bookmarkEnd w:id="301"/>
      <w:r>
        <w:rPr>
          <w:rFonts w:ascii="arial" w:eastAsia="arial" w:hAnsi="arial" w:cs="arial"/>
          <w:b/>
          <w:color w:val="000000"/>
          <w:sz w:val="20"/>
          <w:lang w:val="en-US" w:eastAsia="en-US" w:bidi="ar-SA"/>
        </w:rPr>
        <w:t>Civil litigation — Civil procedure — Parties — Third party procedure — Availability — Appeal by Province from Master's order granting leave to defendants to file third party notices against it dismissed — Plaintiff sued for personal injuries suffered when losing control of his bicycle on trail allegedly owned, leased, or occupied by defendants — Defendant Resort Municipality alleged plaintiff gained access to part of trail by way of untitled lands owned and occupied by Province — Master directly addressed Province's arguments regarding third party notices failing to sufficiently plead a cause of action and to establish duty of care in making his decision — Decision not clearly wrong.</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02" w:name="Case Summary_41"/>
            <w:bookmarkEnd w:id="30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Appeal by the Province from a Master's order granting leave for the defendants to file third party notices against it in a personal injury case. The plaintiff sued for injuries suffered due to losing control of his bicycle on a trail allegedly owned, leased, or occupied by the defendants. The Resort Municipality alleged the plaintiff gained access to part of the trail by way of some untitled lands, and that those untitled lands were owned and occupied by the Province. In the event the defendants were found liable to the plaintiff, they argued they were entitled to contribution and indemnity from the Province. The Province argued that the Master erred by holding that the defendants' claim against it had a reasonable prospect of success and in holding that the defendants had properly pleaded the elements of a cause of action. </w:t>
            </w:r>
            <w:r>
              <w:rPr>
                <w:lang w:val="en-US" w:eastAsia="en-US" w:bidi="ar-SA"/>
              </w:rPr>
              <w:cr/>
            </w:r>
          </w:p>
          <w:p>
            <w:pPr>
              <w:spacing w:before="120" w:line="260" w:lineRule="atLeast"/>
              <w:ind w:left="240"/>
              <w:jc w:val="both"/>
              <w:rPr>
                <w:lang w:val="en-US" w:eastAsia="en-US" w:bidi="ar-SA"/>
              </w:rPr>
            </w:pPr>
            <w:bookmarkStart w:id="303" w:name="Holdings of Court_36"/>
            <w:bookmarkEnd w:id="303"/>
            <w:r>
              <w:rPr>
                <w:rFonts w:ascii="arial" w:eastAsia="arial" w:hAnsi="arial" w:cs="arial"/>
                <w:color w:val="000000"/>
                <w:sz w:val="20"/>
                <w:lang w:val="en-US" w:eastAsia="en-US" w:bidi="ar-SA"/>
              </w:rPr>
              <w:t>HELD: Appeal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Master's decision was not clearly wrong. The defendants were not required to produce evidence at this stage of proceedings to prove their claim against the proposed third party. Their pleadings must only contain a reasonable cause of action. The Master directly addressed the Province's arguments regarding the third party notices failing to sufficiently plead a cause of action and to establish a duty of care in making his decision. </w:t>
            </w:r>
            <w:r>
              <w:rPr>
                <w:lang w:val="en-US" w:eastAsia="en-US" w:bidi="ar-SA"/>
              </w:rPr>
              <w:cr/>
            </w:r>
          </w:p>
          <w:p>
            <w:pPr>
              <w:rPr>
                <w:lang w:val="en-US" w:eastAsia="en-US" w:bidi="ar-SA"/>
              </w:rPr>
            </w:pPr>
          </w:p>
        </w:tc>
      </w:tr>
    </w:tbl>
    <w:p>
      <w:pPr>
        <w:jc w:val="both"/>
        <w:rPr>
          <w:lang w:val="en-US" w:eastAsia="en-US" w:bidi="ar-SA"/>
        </w:rPr>
      </w:pPr>
      <w:bookmarkStart w:id="304" w:name="Legislation Cited_28"/>
      <w:bookmarkEnd w:id="30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49" style="position:absolute;z-index:2517585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Crown Proceeding Act, </w:t>
      </w:r>
      <w:hyperlink r:id="rId759" w:history="1">
        <w:r>
          <w:rPr>
            <w:rFonts w:ascii="arial" w:eastAsia="arial" w:hAnsi="arial" w:cs="arial"/>
            <w:i/>
            <w:color w:val="0077CC"/>
            <w:sz w:val="20"/>
            <w:u w:val="single"/>
            <w:shd w:val="clear" w:color="auto" w:fill="FFFFFF"/>
            <w:lang w:val="en-US" w:eastAsia="en-US" w:bidi="ar-SA"/>
          </w:rPr>
          <w:t>R.S.B.C. 1996, c. 89, s. 4(2)</w:t>
        </w:r>
      </w:hyperlink>
    </w:p>
    <w:p>
      <w:pPr>
        <w:spacing w:line="260" w:lineRule="atLeast"/>
        <w:jc w:val="both"/>
        <w:rPr>
          <w:lang w:val="en-US" w:eastAsia="en-US" w:bidi="ar-SA"/>
        </w:rPr>
      </w:pPr>
      <w:r>
        <w:rPr>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91" w:history="1">
        <w:r>
          <w:rPr>
            <w:rFonts w:ascii="arial" w:eastAsia="arial" w:hAnsi="arial" w:cs="arial"/>
            <w:i/>
            <w:color w:val="0077CC"/>
            <w:sz w:val="20"/>
            <w:u w:val="single"/>
            <w:shd w:val="clear" w:color="auto" w:fill="FFFFFF"/>
            <w:lang w:val="en-US" w:eastAsia="en-US" w:bidi="ar-SA"/>
          </w:rPr>
          <w:t>R.S.B.C. 1996, c. 333, s. 4</w:t>
        </w:r>
      </w:hyperlink>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Supreme Court Civil Rules, Rule 3-5(4)(a), Rule 9-5</w:t>
      </w:r>
      <w:r>
        <w:rPr>
          <w:lang w:val="en-US" w:eastAsia="en-US" w:bidi="ar-SA"/>
        </w:rPr>
        <w:cr/>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On appeal from an order of a Master of the Supreme Court of British Columbia, dated July 17, 2018 (</w:t>
            </w:r>
            <w:r>
              <w:rPr>
                <w:rFonts w:ascii="arial" w:eastAsia="arial" w:hAnsi="arial" w:cs="arial"/>
                <w:i/>
                <w:color w:val="000000"/>
                <w:sz w:val="20"/>
                <w:lang w:val="en-US" w:eastAsia="en-US" w:bidi="ar-SA"/>
              </w:rPr>
              <w:t>Blanco v. Resort Municipality of Whistler</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2018 BCSC 1366</w:t>
              </w:r>
            </w:hyperlink>
            <w:r>
              <w:rPr>
                <w:rFonts w:ascii="arial" w:eastAsia="arial" w:hAnsi="arial" w:cs="arial"/>
                <w:color w:val="000000"/>
                <w:sz w:val="20"/>
                <w:lang w:val="en-US" w:eastAsia="en-US" w:bidi="ar-SA"/>
              </w:rPr>
              <w:t xml:space="preserve">, Vancouver Docket S166451). </w:t>
            </w:r>
            <w:r>
              <w:rPr>
                <w:lang w:val="en-US" w:eastAsia="en-US" w:bidi="ar-SA"/>
              </w:rPr>
              <w:cr/>
            </w:r>
          </w:p>
          <w:p>
            <w:pPr>
              <w:rPr>
                <w:lang w:val="en-US" w:eastAsia="en-US" w:bidi="ar-SA"/>
              </w:rPr>
            </w:pPr>
          </w:p>
        </w:tc>
      </w:tr>
    </w:tbl>
    <w:p>
      <w:pPr>
        <w:jc w:val="both"/>
        <w:rPr>
          <w:lang w:val="en-US" w:eastAsia="en-US" w:bidi="ar-SA"/>
        </w:rPr>
      </w:pPr>
      <w:bookmarkStart w:id="305" w:name="Counsel_47"/>
      <w:bookmarkEnd w:id="30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50" style="position:absolute;z-index:2518097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J. Nieuwenburg, M. Murphy.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Whistler Mountain Resort Limited Partnership, Blackcomb Skiing Enterprises Limited Partnership and Whistler Blackcomb Holdings Inc.: J. Yamashita.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Resort Municipality of Whistler: K. Roemer.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Her Majesty the Queen in Right of the Province of British Columbia: A. Dalmyn.</w:t>
      </w:r>
      <w:r>
        <w:rPr>
          <w:lang w:val="en-US" w:eastAsia="en-US" w:bidi="ar-SA"/>
        </w:rPr>
        <w:cr/>
      </w:r>
    </w:p>
    <w:p>
      <w:pPr>
        <w:spacing w:after="240"/>
        <w:rPr>
          <w:lang w:val="en-US" w:eastAsia="en-US" w:bidi="ar-SA"/>
        </w:rPr>
      </w:pPr>
      <w:bookmarkStart w:id="306" w:name="Judgment_46"/>
      <w:bookmarkEnd w:id="306"/>
      <w:r>
        <w:pict>
          <v:line id="_x0000_s1251" style="position:absolute;z-index:25185792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07" w:name="G. CHOI J. (orally)"/>
            <w:bookmarkEnd w:id="307"/>
            <w:r>
              <w:rPr>
                <w:rFonts w:ascii="arial" w:eastAsia="arial" w:hAnsi="arial" w:cs="arial"/>
                <w:b/>
                <w:color w:val="000000"/>
                <w:sz w:val="30"/>
                <w:lang w:val="en-US" w:eastAsia="en-US" w:bidi="ar-SA"/>
              </w:rPr>
              <w:t>G. CHOI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Province of British Columbia ("Province") appeals Master Vos' order of July 17, 2018, granting leave for the defendants to file third party notices against it in a personal injury matter.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Mr. Blanco, filed an action on July 14, 2016, seeking damages for personal injury, loss, and expense due to losing control of his bicycle in Whistler, BC, on a trail adjacent to or near Skier's Plaza and near the Blackcomb Excalibur gondola. The plaintiff alleges the trail was owned, leased, and/or occupied by The Resort Municipality of Whistler ("Resort Municipality"), the Whistler Blackcomb corporate defendants, and/or ABC Company. The Whistler Blackcomb corporate defendants and the Resort Municipality defendant filed their responses to civil claim on September 21, 2016, and October 25, 2016, respectively. They subsequently sought leave to file third party notices against the Province.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Resort Municipality alleges the plaintiff gained access to part of the trail on which the accident is alleged to have occurred by way of some untitled lands, and that those untitled lands are owned and occupied by the Province.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Province argues that Master Vos erred by holding that the defendants' claim against it had a reasonable prospect of success and in holding that the defendants had properly pleaded the elements of a cause of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argues that Master Vos' decision to grant leave has created prejudice to the plaintiff by depriving him of a jury, as s. 4(2) of the </w:t>
      </w:r>
      <w:r>
        <w:rPr>
          <w:rFonts w:ascii="arial" w:eastAsia="arial" w:hAnsi="arial" w:cs="arial"/>
          <w:i/>
          <w:color w:val="000000"/>
          <w:sz w:val="20"/>
          <w:lang w:val="en-US" w:eastAsia="en-US" w:bidi="ar-SA"/>
        </w:rPr>
        <w:t>Crown Proceeding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89</w:t>
      </w:r>
      <w:r>
        <w:rPr>
          <w:rFonts w:ascii="arial" w:eastAsia="arial" w:hAnsi="arial" w:cs="arial"/>
          <w:color w:val="000000"/>
          <w:sz w:val="20"/>
          <w:lang w:val="en-US" w:eastAsia="en-US" w:bidi="ar-SA"/>
        </w:rPr>
        <w:t xml:space="preserve"> prohibits a jury trial in cases against the Province.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Standard of Review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law on the standard of review for the appeal of a master's order is well settled. The appropriate standard of review, of which there are two, depends on the type of order made. The review of a purely interlocutory decision is a true appeal and should not be interfered with unless it is clearly wrong. If the master's order is a question of law, a final order, or a ruling that raises a question vital to the final issue in the case, the review is done by way of a rehearing on the record before the master: </w:t>
      </w:r>
      <w:r>
        <w:rPr>
          <w:rFonts w:ascii="arial" w:eastAsia="arial" w:hAnsi="arial" w:cs="arial"/>
          <w:i/>
          <w:color w:val="000000"/>
          <w:sz w:val="20"/>
          <w:lang w:val="en-US" w:eastAsia="en-US" w:bidi="ar-SA"/>
        </w:rPr>
        <w:t>Kalafchi v. Yao</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2015 BCCA 524</w:t>
        </w:r>
      </w:hyperlink>
      <w:r>
        <w:rPr>
          <w:rFonts w:ascii="arial" w:eastAsia="arial" w:hAnsi="arial" w:cs="arial"/>
          <w:color w:val="000000"/>
          <w:sz w:val="20"/>
          <w:lang w:val="en-US" w:eastAsia="en-US" w:bidi="ar-SA"/>
        </w:rPr>
        <w:t xml:space="preserve"> at para. 13, confirming the principles set out in </w:t>
      </w:r>
      <w:r>
        <w:rPr>
          <w:rFonts w:ascii="arial" w:eastAsia="arial" w:hAnsi="arial" w:cs="arial"/>
          <w:i/>
          <w:color w:val="000000"/>
          <w:sz w:val="20"/>
          <w:lang w:val="en-US" w:eastAsia="en-US" w:bidi="ar-SA"/>
        </w:rPr>
        <w:t>Abermin Corp. v. Granges Exploration Ltd</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(1990), 45 B.C.L.R. (2d) 188</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Paramount Resources v. Import Tool Corporation Ltd.</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2018 BCSC 599</w:t>
        </w:r>
      </w:hyperlink>
      <w:r>
        <w:rPr>
          <w:rFonts w:ascii="arial" w:eastAsia="arial" w:hAnsi="arial" w:cs="arial"/>
          <w:color w:val="000000"/>
          <w:sz w:val="20"/>
          <w:lang w:val="en-US" w:eastAsia="en-US" w:bidi="ar-SA"/>
        </w:rPr>
        <w:t xml:space="preserve"> at para. 15.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Province argues the standard of review is correctness because the master's decision involved whether a pleading sets out a duty of care. The Province does not explicitly seek a rehearing, but I interpret that to be the process it seeks for this appeal based on its submissions. The plaintiff adopts the Province's arguments.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Resort Municipality submits that Master Vos' order was interlocutory and the appropriate standard of review is, therefore, the clearly wrong standard. The other defendants adopt the Resort Municipality's arguments.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Laidar Holdings Ltd. v. Lindt &amp; Sprungli (Canada) Inc.</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2011 BCCA 320</w:t>
        </w:r>
      </w:hyperlink>
      <w:r>
        <w:rPr>
          <w:rFonts w:ascii="arial" w:eastAsia="arial" w:hAnsi="arial" w:cs="arial"/>
          <w:color w:val="000000"/>
          <w:sz w:val="20"/>
          <w:lang w:val="en-US" w:eastAsia="en-US" w:bidi="ar-SA"/>
        </w:rPr>
        <w:t xml:space="preserve"> at para. 8, Hinkson J.A., as he then was, held: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[8] Where an order decides only issues regarding the procedural right to pursue a remedy, it is classified an interlocutory order as no substantive decision has been made, only a procedural one. Where an order actually decides a substantive issue, such as the merits of a portion of the action, it will be classified as a final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my view, Master Vos' decision is interlocutory. I accept that his decision only decided the Resort Municipality's procedural right to pursue a remedy. It did not determine a question of law, a substantive issue, the outcome of the case, or find facts. It is not a final order or a ruling that raises a question vital to the final issue in the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Consequently, I conclude that the standard of review for this appeal is the clearly wrong standard.</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Law</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Third Party Proceedings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Justice McLachlin, as she then was, explained the object of third party proceedings in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[1988] 4 W.W.R. 742</w:t>
        </w:r>
      </w:hyperlink>
      <w:r>
        <w:rPr>
          <w:rFonts w:ascii="arial" w:eastAsia="arial" w:hAnsi="arial" w:cs="arial"/>
          <w:color w:val="000000"/>
          <w:sz w:val="20"/>
          <w:lang w:val="en-US" w:eastAsia="en-US" w:bidi="ar-SA"/>
        </w:rPr>
        <w:t xml:space="preserve"> (B.C.C.A.) at 21: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to provide a single procedure for the resolution of related questions, issues, or remedies in order to avoid multiple actions and inconsistent findings, to provide a mechanism for the third party to defend the plaintiff's claim, and to ensure the third party claim is decided before a defendant is called upon to pay the full amount of any judgment. The avoidance of a multiplicity of proceedings is fundamental to our rules of civil procedure.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Under the former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B.C. Reg. 221/90, a third party notice could be served at any time before a notice of trial was delivered: Frederick M. Irvine, ed., </w:t>
      </w:r>
      <w:r>
        <w:rPr>
          <w:rFonts w:ascii="arial" w:eastAsia="arial" w:hAnsi="arial" w:cs="arial"/>
          <w:i/>
          <w:color w:val="000000"/>
          <w:sz w:val="20"/>
          <w:lang w:val="en-US" w:eastAsia="en-US" w:bidi="ar-SA"/>
        </w:rPr>
        <w:t>McLachlin and Taylor, British Columbia Practice</w:t>
      </w:r>
      <w:r>
        <w:rPr>
          <w:rFonts w:ascii="arial" w:eastAsia="arial" w:hAnsi="arial" w:cs="arial"/>
          <w:color w:val="000000"/>
          <w:sz w:val="20"/>
          <w:lang w:val="en-US" w:eastAsia="en-US" w:bidi="ar-SA"/>
        </w:rPr>
        <w:t xml:space="preserve">, 3rd ed., vol. 1 (Markham, Ont.: LexisNexis Canada Inc., 2006) at 3-69. Pursuant to R. 3-5(4)(a) of the current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a party must seek leave from the court to file a third party notice if 42 days have passed since the notice of civil claim was served.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As noted by </w:t>
      </w:r>
      <w:r>
        <w:rPr>
          <w:rFonts w:ascii="arial" w:eastAsia="arial" w:hAnsi="arial" w:cs="arial"/>
          <w:i/>
          <w:color w:val="000000"/>
          <w:sz w:val="20"/>
          <w:lang w:val="en-US" w:eastAsia="en-US" w:bidi="ar-SA"/>
        </w:rPr>
        <w:t>McLachlin and Taylor</w:t>
      </w:r>
      <w:r>
        <w:rPr>
          <w:rFonts w:ascii="arial" w:eastAsia="arial" w:hAnsi="arial" w:cs="arial"/>
          <w:color w:val="000000"/>
          <w:sz w:val="20"/>
          <w:lang w:val="en-US" w:eastAsia="en-US" w:bidi="ar-SA"/>
        </w:rPr>
        <w:t xml:space="preserve"> at 3-69, "the apparent intent of R. 3-5(4) is to avoid situations where the filing of a third party notice at a relatively late stage of the proceedings delays the trial of the proceedings." The third party claim need not be stronger or more meritorious because it is made later in the litigation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If 42 days have passed and the defendant seeks leave to add a third party under Rule 3-5(4)(a), the proposed third party may make arguments during the chambers hearing so as not to be added at all. It may also bring an application to strike under Rule 9-5 if leave is granted and the notice is filed, or it may appeal the granted order, as the Province has done here.</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Amending Pleadings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When an attack is made on a pleading and the party who filed said pleading seeks leave to amend it, the court ought generally to allow the amendments if "they disclose a reasonable cause of action and will not contribute to undue prejudice or delay": </w:t>
      </w:r>
      <w:r>
        <w:rPr>
          <w:rFonts w:ascii="arial" w:eastAsia="arial" w:hAnsi="arial" w:cs="arial"/>
          <w:i/>
          <w:color w:val="000000"/>
          <w:sz w:val="20"/>
          <w:lang w:val="en-US" w:eastAsia="en-US" w:bidi="ar-SA"/>
        </w:rPr>
        <w:t>Drummond v. Moore</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2012 BCSC 496</w:t>
        </w:r>
      </w:hyperlink>
      <w:r>
        <w:rPr>
          <w:rFonts w:ascii="arial" w:eastAsia="arial" w:hAnsi="arial" w:cs="arial"/>
          <w:color w:val="000000"/>
          <w:sz w:val="20"/>
          <w:lang w:val="en-US" w:eastAsia="en-US" w:bidi="ar-SA"/>
        </w:rPr>
        <w:t xml:space="preserve"> at para. 23. As held in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xml:space="preserve"> at 25, "[t]he courts take a liberal approach to pleadings. Before the courts will strike out a pleading or refuse an amendment on the ground that it discloses no reasonable cause of action or defence the case must be perfectly clear."</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Province has appealed the master's decision that resulted in it being added as a third party to this action. It has not applied under R. 9-5 for the pleadings to be struck. Therefore, I will not conduct an analysis as to whether the now delivered third party notices should be struck, despite an argument from the Province in reply that it does seek to strike the third party notices. The province will need to bring a separate application to pursue that relief.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Province did not argue that the delay in adding it as a third party was unfairly prejudicial, but that that the defendants did not sufficiently plead that the Province owed the plaintiff a duty of care. The Province submits they did not provide material facts to support their assertion that the Province was an occupier or owner of the land the plaintiff allegedly traversed before sustaining his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Defendants are not required to produce evidence at this stage of proceedings to prove their claim against the proposed third party. Their pleadings must only contain a reasonable cause of action. As Justice McLachlin held in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xml:space="preserve"> at 25: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To require a party seeking to bring a third party claim to adduce evidence supporting that claim in advance of trial, is to deprive him of his right to plead a cause of action first and defer proof of it until trial ...</w:t>
      </w:r>
    </w:p>
    <w:p>
      <w:pPr>
        <w:spacing w:before="120" w:line="260" w:lineRule="atLeast"/>
        <w:ind w:left="720"/>
        <w:rPr>
          <w:lang w:val="en-US" w:eastAsia="en-US" w:bidi="ar-SA"/>
        </w:rPr>
      </w:pPr>
      <w:r>
        <w:rPr>
          <w:rFonts w:ascii="arial" w:eastAsia="arial" w:hAnsi="arial" w:cs="arial"/>
          <w:color w:val="000000"/>
          <w:sz w:val="20"/>
          <w:lang w:val="en-US" w:eastAsia="en-US" w:bidi="ar-SA"/>
        </w:rPr>
        <w:t>As a general proposition, a third party should not be required to adduce evidence in support of a pleading before trial ... It is sufficient that his pleading discloses reasonable cause of action or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defendants submit it took 22 months to determine who owned and was responsible for the trail. In the third party notices, the defendants pleaded that the Crown owned and/or occupied the lands by which the plaintiff gained access to the part of the trail where the incident and his subsequent injuries are alleged to have occurred. The defendants pleaded that the Crown owed a duty of care to the plaintiff and that it breached that duty. They pleaded a number of particulars as to the Province's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including the Province's failure to prevent access to the trail, failure to maintain the trail, failure to inspect the trail, and failure to erect adequate warning signs to warn members of the public of dangers inherent to the trail. In the event the defendants are found liable to the plaintiff, they say they are entitled to contribution and indemnity from the Province under 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Province argues that the third party notices failed to establish a relationship of proximity that gives rise to a duty of care owed by the Province to the plaintiff. The Province asserts that the land in question is held under a tenure by the Resort Municipality, and the Province therefore has no authority to regulate or maintain that land.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Partially in response to the Province's submissions before Master Vos, the defendants requested and were granted leave to make amendments to their third party notices. I understand that the Resort Municipality has amended its pleadings in this action and the other defendants are in the process of doing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Master Vos directly addressed the Province's arguments regarding the third party notices failing to sufficiently plead a cause of action and to establish a duty of care in making his decision. He considered the issues raised by the Province, together with the requested amendments to the third party notices, and amendments that were granted.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Master Vos concluded that with the amendments, the third party notices would include appropriately phrased allegations that would have legal consequences between the parties if proven at trial. He also considered the plaintiff's argument that adding the Province as a third party is prejudicial as it disentitles him to a jury. Master Vos determined this argument could not succeed, as the right to a jury trial is not absolute in civil actions and where the Province is a proper party to an action, the prohibition on jury trials must apply.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my view, Master Vos appropriately applied the facts to the relevant law to make his order. The test for granting leave in these circumstances is a low threshold. I cannot find his decision to grant leave to the defendants to file third party notices against the Province to be clearly wrong.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Accordingly, the Province's appeal is dismissed and the defendants are entitled to costs in the cause at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 CHOI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Blatz v. Cosburn and Associates, [2011] B.C.J. No. 950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D. Baker (as Registrar)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23,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S104797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950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670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1256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 A.C.W.S. (3d) 591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Hartley Blatz, Karen Blatz and Clifford Norman Blatz, Clients, and Cosburn and Associates, Solicitors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3"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8" w:name="Keywords_46"/>
      <w:bookmarkEnd w:id="308"/>
      <w:r>
        <w:rPr>
          <w:rFonts w:ascii="arial" w:eastAsia="arial" w:hAnsi="arial" w:cs="arial"/>
          <w:b/>
          <w:color w:val="000000"/>
          <w:sz w:val="20"/>
          <w:lang w:val="en-US" w:eastAsia="en-US" w:bidi="ar-SA"/>
        </w:rPr>
        <w:t>Legal profession — Barristers and solicitors — Compensation — Accounting and refunding — Application by the Blatzes to review the accounts of Cosburn for services rendered, allowed — The applicants had retained the respondent lawyer to assist them with a weed infestation on their property, which they attributed to a well that was owned and operated by Canadian Natural Resources Limited — Despite consistently, repeatedly and emphatically instructing the respondent to push the matter forward, after 38 months of representation the respondent had not set a trial date, interviewed witnesses or retained experts — The impugned accounts totalled over $67,000 — The Court reduced the accounts by more than one-sixth to $12,000 — Legal Profession 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Regulated professions — Remuneration — Application by the Blatzes to review the accounts of Cosburn for services rendered, allowed — The applicants had retained the respondent lawyer to assist them with a weed infestation on their property, which they attributed to a well that was owned and operated by Canadian Natural Resources Limited — Despite consistently, repeatedly and emphatically instructing the respondent to push the matter forward, after 38 months of representation the respondent had not set a trial date, interviewed witnesses or retained experts — The impugned accounts totalled over $67,000 — The Court reduced the accounts by more than one-sixth to $12,000 — Legal Profession Act.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9" w:name="Case Summary_42"/>
            <w:bookmarkEnd w:id="30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Blatzes under the Legal Profession Act to review the accounts of Cosburn for services rendered over a 38-month period from February 2007 to April 2010. The impugned accounts totalled over $67,000, all of which the applicants had paid. In 2007 the applicants had retained the respondent to act for them with respect to an infestation of scentless chamomile on their property. This weed, which was very difficult to eradicate, posed a particular problem to the applicants who use the land for farming and ranching purposes. The applicants believed that a well site on their property that was owned and operated by Canadian Natural Resources Limited (CNRL) was the cause of the infestation. The applicants wanted damages for the past and future costs they had and would have to incur to manage the infestation. When the applicants retained the respondent, they made it very clear they wanted a lawyer who would be able to see the matter through to its conclusion, including a trial if necessary. They had already retained two lawyers, each of whom was not able to proceed with their case. Throughout the 38 months the respondent represented the applicants, the applicants consistently, repeatedly and emphatically instructed him to push the matter forward, to do what was necessary to press CNRL, and in particular to set a trial date. However, after 38 months of representing the applicants, the respondent had not set a trial date, had not retained any experts regarding the spread or cause of the weed infestation nor had he retained any experts to quantify the damages of weed control, past and future. Instead of pressing the matter, the respondent consistently recommended that the applicants delay and wait.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0" w:name="Holdings of Court_37"/>
            <w:bookmarkEnd w:id="310"/>
            <w:r>
              <w:rPr>
                <w:rFonts w:ascii="arial" w:eastAsia="arial" w:hAnsi="arial" w:cs="arial"/>
                <w:color w:val="000000"/>
                <w:sz w:val="20"/>
                <w:lang w:val="en-US" w:eastAsia="en-US" w:bidi="ar-SA"/>
              </w:rPr>
              <w:t>HELD: Application allowed and the account was reduced to $12,000.</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applicants consistently wanted to press the matter and relied on the respondent to use whatever tools were available to do that. He, on the other hand, seemed reluctant to press the various steps in litigation. The respondent, in the face of clear and repeated instructions to press the matter, did not do so and, in fact, did the very opposite. Broadly stated, it is the function of clients, having received advice and counsel from their lawyer, to instruct the lawyer what to do. It is counsel's job to decide how to do that. The applicants clearly held up their side of the bargain. The respondent did not. Reviewing the factors enumerated in s. 71(4) of the Legal Profession Act with respect to fee reviews, the Court concluded that the most obvious and single failing on the respondent's part was that his 38 months of representation did not significantly advance the applicants' case. The Court found that at most 40 hours of the respondent's time might have reasonably assisted the applicant's and was therefore justified. The account was reduced by more than one-sixth to $12,000.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1" w:name="Legislation Cited_29"/>
      <w:bookmarkEnd w:id="3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4"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Legal Profession Act, </w:t>
      </w:r>
      <w:hyperlink r:id="rId771" w:history="1">
        <w:r>
          <w:rPr>
            <w:rFonts w:ascii="arial" w:eastAsia="arial" w:hAnsi="arial" w:cs="arial"/>
            <w:i/>
            <w:color w:val="0077CC"/>
            <w:sz w:val="20"/>
            <w:u w:val="single"/>
            <w:shd w:val="clear" w:color="auto" w:fill="FFFFFF"/>
            <w:lang w:val="en-US" w:eastAsia="en-US" w:bidi="ar-SA"/>
          </w:rPr>
          <w:t>SBC 1998, CHAPTER 9, s. 71</w:t>
        </w:r>
      </w:hyperlink>
      <w:r>
        <w:rPr>
          <w:rFonts w:ascii="arial" w:eastAsia="arial" w:hAnsi="arial" w:cs="arial"/>
          <w:color w:val="000000"/>
          <w:sz w:val="20"/>
          <w:lang w:val="en-US" w:eastAsia="en-US" w:bidi="ar-SA"/>
        </w:rPr>
        <w:t>(4), s. 72(1)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Petroleum and Natural Gas Act, </w:t>
      </w:r>
      <w:hyperlink r:id="rId772" w:history="1">
        <w:r>
          <w:rPr>
            <w:rFonts w:ascii="arial" w:eastAsia="arial" w:hAnsi="arial" w:cs="arial"/>
            <w:i/>
            <w:color w:val="0077CC"/>
            <w:sz w:val="20"/>
            <w:u w:val="single"/>
            <w:shd w:val="clear" w:color="auto" w:fill="FFFFFF"/>
            <w:lang w:val="en-US" w:eastAsia="en-US" w:bidi="ar-SA"/>
          </w:rPr>
          <w:t>RSBC 1996, CHAPTER 361, s. 16</w:t>
        </w:r>
      </w:hyperlink>
      <w:r>
        <w:rPr>
          <w:rFonts w:ascii="arial" w:eastAsia="arial" w:hAnsi="arial" w:cs="arial"/>
          <w:color w:val="000000"/>
          <w:sz w:val="20"/>
          <w:lang w:val="en-US" w:eastAsia="en-US" w:bidi="ar-SA"/>
        </w:rPr>
        <w:t>, s. 16(1)(b)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2" w:name="Counsel_48"/>
      <w:bookmarkEnd w:id="31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5"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clients: J.C. MacInnis.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solicitors: M.D. Tatchell and C.M. Cattermole.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3" w:name="Judgment_47"/>
      <w:bookmarkEnd w:id="313"/>
      <w:r>
        <w:pict>
          <v:line id="_x0000_s1256" style="position:absolute;z-index:2518589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Decision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4" w:name="MASTER D. BAKER (as Registrar)"/>
            <w:bookmarkEnd w:id="314"/>
            <w:r>
              <w:rPr>
                <w:rFonts w:ascii="arial" w:eastAsia="arial" w:hAnsi="arial" w:cs="arial"/>
                <w:b/>
                <w:color w:val="000000"/>
                <w:sz w:val="30"/>
                <w:lang w:val="en-US" w:eastAsia="en-US" w:bidi="ar-SA"/>
              </w:rPr>
              <w:t>MASTER D. BAKER (as Registrar)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clients ("the Blatzes") apply under the Legal Profession Act</w:t>
      </w:r>
      <w:bookmarkStart w:id="315"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315"/>
      <w:r>
        <w:rPr>
          <w:rFonts w:ascii="arial" w:eastAsia="arial" w:hAnsi="arial" w:cs="arial"/>
          <w:color w:val="000000"/>
          <w:sz w:val="20"/>
          <w:lang w:val="en-US" w:eastAsia="en-US" w:bidi="ar-SA"/>
        </w:rPr>
        <w:t xml:space="preserve"> to review the accounts of Mr. Cosburn for services rendered over 38 months from February 2007 until April 2010. All in, with taxes, the accounts total $67,180.26.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Blatzes own and operate a farming/ranching concern in the Peace Region; the closest town is Fort St. John. They are in the midst, of course, of oil and gas country, and a gas well owned by Canadian Natural Resources Limited ("CNRL") had been located on their land since 1991. The well site harboured an infestation of a noxious weed, 'Scentless Chamomile'. This plant is a particular problem, I understand, in hay and pasture country; it spreads very quickly and competes aggressively with more slowly growing forage species. In the Blatzes' case, Ms. Blatz said that its presence meant that they had to work the fields in the vicinity of the well more, had to build a special fence (to exclude their buffalo), lost hay production, had to truck in extra hay from other fields, and hand-picked (removed) the weed.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Blatzes took this matter to the Mediation and Arbitration Board ("MAB")</w:t>
      </w:r>
      <w:bookmarkStart w:id="316" w:name="Backward_fnref_fnr-2_0"/>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316"/>
      <w:r>
        <w:rPr>
          <w:rFonts w:ascii="arial" w:eastAsia="arial" w:hAnsi="arial" w:cs="arial"/>
          <w:color w:val="000000"/>
          <w:sz w:val="20"/>
          <w:lang w:val="en-US" w:eastAsia="en-US" w:bidi="ar-SA"/>
        </w:rPr>
        <w:t xml:space="preserve"> which deals with disputes between landowners and gas and oil companies. They first engaged an Albertan lawyer who was not licensed to practise in British Columbia so, after awhile, they changed to a lawyer practising in Fort St. John. Unfortunately, within months of retaining him he suspended his practise owing to difficulties with the Law Society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mention these prior lawyers for one reason only: in her evidence Ms. Blatz said that in her very first telephone call with Mr. Cosburn (to whom she was referred by an employee of the MAB) she was clear that the Blatzes needed a lawyer who could "finish the job" to the very end, including pressing their claim if the matter was not resolved by mediation and agreement. I find no fault whatsoever with the Blatzes having had two previous counsel: their reasons for retaining each of them, and for the end of those respective retainers, make sense and seem reasonable to me. It also seems more than likely that Ms. Blatz's version of that first conversation is reliable and that the Blatzes were, in fact, concerned that they not have to change counsel again. She pointed out, for example, that changing counsel meant educating him or her as to the Blatzes' situation and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Cosburn formalized his retainer with his letter of February 23, 2007. He advised the Blatzes of his hourly rate of $300.00, the customary charges for disbursements, interest (12%) on accounts due past 30 days, and the implications of termination of the retainer. This last term is interesting and bears quoting: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our services as counsel are terminated by you or if we decline to represent you further </w:t>
      </w:r>
      <w:r>
        <w:rPr>
          <w:rFonts w:ascii="arial" w:eastAsia="arial" w:hAnsi="arial" w:cs="arial"/>
          <w:i/>
          <w:color w:val="000000"/>
          <w:sz w:val="20"/>
          <w:lang w:val="en-US" w:eastAsia="en-US" w:bidi="ar-SA"/>
        </w:rPr>
        <w:t>for reasonable cause</w:t>
      </w:r>
      <w:r>
        <w:rPr>
          <w:rFonts w:ascii="arial" w:eastAsia="arial" w:hAnsi="arial" w:cs="arial"/>
          <w:color w:val="000000"/>
          <w:sz w:val="20"/>
          <w:lang w:val="en-US" w:eastAsia="en-US" w:bidi="ar-SA"/>
        </w:rPr>
        <w:t>, we require our accounts to be paid in full by you before we remove ourselves from the record and return our file to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three years and two months that Mr. Cosburn acted for the Blatzes he rendered 13 accounts for a total of $52,020.00. With taxes and disbursements the total was $67,180.26. Every account was paid in a timely way and the Blatzes sent Mr. Cosburn every further retainer (or fee in advance, more correctly put) when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When they retained Mr. Cosburn the problem they presented was the weed infestation. In his oral evidence Mr. Cosburn said there was "no focussed issue" but that in any event he addressed the jurisdiction of the MAB. I think his recollection is faulty in this. The issue for the Blatzes was weed infestation. On the question of jurisdiction, though, he researched the state of title and found that CNRL was not on the Blatzes' land by virtue of the usual gas and oil surface lease; apparently title was encumbered instead by statutory rights of way ("SRWs"). He determined that, in his view, the SRWs were invalid and were, in law, actually licenses of occupation and as such did not convey the interest in land that an SRW would, and were therefore more limited. This aspect was not explained in detail in these proceedings, but I gather the problem was that, for example, while the SRW allowed for the well site's presence, it did not attach to a publicly accessible road. In other words, I understand the right of way to say, in effect, "you can </w:t>
      </w:r>
      <w:r>
        <w:rPr>
          <w:rFonts w:ascii="arial" w:eastAsia="arial" w:hAnsi="arial" w:cs="arial"/>
          <w:i/>
          <w:color w:val="000000"/>
          <w:sz w:val="20"/>
          <w:lang w:val="en-US" w:eastAsia="en-US" w:bidi="ar-SA"/>
        </w:rPr>
        <w:t>be</w:t>
      </w:r>
      <w:r>
        <w:rPr>
          <w:rFonts w:ascii="arial" w:eastAsia="arial" w:hAnsi="arial" w:cs="arial"/>
          <w:color w:val="000000"/>
          <w:sz w:val="20"/>
          <w:lang w:val="en-US" w:eastAsia="en-US" w:bidi="ar-SA"/>
        </w:rPr>
        <w:t xml:space="preserve"> here, but you cannot </w:t>
      </w:r>
      <w:r>
        <w:rPr>
          <w:rFonts w:ascii="arial" w:eastAsia="arial" w:hAnsi="arial" w:cs="arial"/>
          <w:i/>
          <w:color w:val="000000"/>
          <w:sz w:val="20"/>
          <w:lang w:val="en-US" w:eastAsia="en-US" w:bidi="ar-SA"/>
        </w:rPr>
        <w:t>get</w:t>
      </w:r>
      <w:r>
        <w:rPr>
          <w:rFonts w:ascii="arial" w:eastAsia="arial" w:hAnsi="arial" w:cs="arial"/>
          <w:color w:val="000000"/>
          <w:sz w:val="20"/>
          <w:lang w:val="en-US" w:eastAsia="en-US" w:bidi="ar-SA"/>
        </w:rPr>
        <w:t xml:space="preserve"> here". An interesting situation, certainly. In any event Mr. Cosburn apparently felt this a pivotal fact and important restriction on CNRL such that, sooner or later, CNRL would have to negotiate with the Blatzes. The problems to CNRL owing to, in his view, unsupportable tenure for the well site were an important key to pressing the Blatzes' claims successfully.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Blatzes saw it otherwise. The well, in fact, was inactive. It had not been formally decommissioned but it was not in operation. As far as the Blatzes were concerned there was therefore no impetus on CNRL to do anything about the well or its implications, including the weed infestation. I think they were right in this view. In the end I think Mr. Cosburn constructed a fairly complex castle on a foundation of sand, and that the Blatzes tried to point that out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business of the SRW is interesting. On the one hand Ms. Blatz said that neither of the Blatzes' previous counsel was concerned with it, nor did (or do) the Blatzes think it was of any profound significance. Mr. Cosburn, on the other hand, felt it very important. His opinion was that, as CNRL was on the Blatz land by virtue of the SRW and not through a surface lease, the MAB did not have jurisdiction in the matter: wrong venue, in other words. In any event he commenced proceedings in the Supreme Court July 17th, 2007. In simple terms the pleadings alleged that the previous owner of the well, Amoco, had allowed the weed to become established but had taken steps to control it. When CNRL took over the well site in 1993, the pleadings allege, CNRL refused or neglected to either continue control of the weed or to prevent its spread beyond the well site and onto the Blatz land. Thus arose the difficulties and damages for the Blatzes.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statement of claim also dealt in detail with the SRW problem (paras. 18-23) and alleged that the SRWs were inadequate for the purposes of establishing or maintaining the well site. The consequence, of course, is that CNRL was alleged to be in trespass. The prayer for relief seemed to emphasize this aspect and claimed for damages in trespass as well as an injunction against further entry by CNRL. The pleading also claimed, in the alternative, damages in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it is clear, both from Mr. Cosburn's evidence and from the time records that his focus for some time after being retained was the nature and effect of the SRWs.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would be interesting at this point to examine Mr. Cosburn's strategy. At the very outset, he said in evidence, he intended to delay. He thought delay the best approach because he knew (and pointed out to the Blatzes, he said) that there was a serious financial imbalance between the Blatzes and CNRL. He felt, or assumed, more appropriately, that as a gas and oil company it could devote crippling financial resources to the action and defeat the Blatzes financially before the matter ever reached court. In evidence he said that the best thing the Blatzes could do was to commence an action against CNRL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then hang back, and essentially do nothing because CNRL is in a position to outspend you at every juncture if they wish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also said that he "suspected", although he "did not have a clear recollection" that "there was that kind of dynamic either actual or potential" with CNRL. His strategy depended further on his expectation that sooner or later CNRL would need to get onto the Blatzes'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What is his recollection of </w:t>
      </w:r>
      <w:r>
        <w:rPr>
          <w:rFonts w:ascii="arial" w:eastAsia="arial" w:hAnsi="arial" w:cs="arial"/>
          <w:i/>
          <w:color w:val="000000"/>
          <w:sz w:val="20"/>
          <w:lang w:val="en-US" w:eastAsia="en-US" w:bidi="ar-SA"/>
        </w:rPr>
        <w:t>the Blatzes'</w:t>
      </w:r>
      <w:r>
        <w:rPr>
          <w:rFonts w:ascii="arial" w:eastAsia="arial" w:hAnsi="arial" w:cs="arial"/>
          <w:color w:val="000000"/>
          <w:sz w:val="20"/>
          <w:lang w:val="en-US" w:eastAsia="en-US" w:bidi="ar-SA"/>
        </w:rPr>
        <w:t xml:space="preserve"> strategy? He said that 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suspect(ed)</w:t>
      </w:r>
      <w:r>
        <w:rPr>
          <w:rFonts w:ascii="arial" w:eastAsia="arial" w:hAnsi="arial" w:cs="arial"/>
          <w:color w:val="000000"/>
          <w:sz w:val="20"/>
          <w:lang w:val="en-US" w:eastAsia="en-US" w:bidi="ar-SA"/>
        </w:rPr>
        <w:t xml:space="preserve"> that they had </w:t>
      </w:r>
      <w:r>
        <w:rPr>
          <w:rFonts w:ascii="arial" w:eastAsia="arial" w:hAnsi="arial" w:cs="arial"/>
          <w:i/>
          <w:color w:val="000000"/>
          <w:sz w:val="20"/>
          <w:lang w:val="en-US" w:eastAsia="en-US" w:bidi="ar-SA"/>
        </w:rPr>
        <w:t>probably indicated</w:t>
      </w:r>
      <w:r>
        <w:rPr>
          <w:rFonts w:ascii="arial" w:eastAsia="arial" w:hAnsi="arial" w:cs="arial"/>
          <w:color w:val="000000"/>
          <w:sz w:val="20"/>
          <w:lang w:val="en-US" w:eastAsia="en-US" w:bidi="ar-SA"/>
        </w:rPr>
        <w:t xml:space="preserve"> to me that they wanted to resolve this in an economically efficient way and didn't want to spend a huge amount of money on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Expressed in these terms, it seems to me that Mr. Cosburn's account is more assumption than evidence. I was not referred to any communication from the Blatzes, nor any note by Mr. Cosburn of a discussion to that effect, when one would expect that with such an important, overarching strategy. Quite the contrary, as indicated below, I do not accept that the Blatzes were at all aware that this was Mr. Cosburn's fundamental strategy, nor were they willing to delay the matter for financial, or any other, reason. While they clearly agreed with attempts to negotiate (par. 23, below), they never accepted delay as a tool of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From the Blatzes' view the problem from the beginning was a weed infestation. From Mr. Cosburn's view it was one of title and legal (or not) right of way. In his early e-mail discussions with both the Blatzes and with Mr. Dellow, CNRL's counsel, he was clear that he regarded the correction of the invalid (in his view) SRWs as "a foundation issue" and a precursor to "regulate their relationship in the future"</w:t>
      </w:r>
      <w:bookmarkStart w:id="317" w:name="Backward_fnref_fnr-3_0"/>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317"/>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Cosburn's e-mail to Mr. Dellow</w:t>
      </w:r>
      <w:bookmarkStart w:id="318"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318"/>
      <w:r>
        <w:rPr>
          <w:rFonts w:ascii="arial" w:eastAsia="arial" w:hAnsi="arial" w:cs="arial"/>
          <w:color w:val="000000"/>
          <w:sz w:val="20"/>
          <w:lang w:val="en-US" w:eastAsia="en-US" w:bidi="ar-SA"/>
        </w:rPr>
        <w:t xml:space="preserve"> is instructive. It does several things. First, it lays clear Mr. Cosburn's major preoccupation with the status of the SRWs. Second, it actually proposes a period of negotiation on the point of correcting the documentation for the SRWs ("... let's say a month ..."). Third, it mentions in passing that, even if the SRWs are enforceable and CNRL is legally on the Blatzes' land it could still "... be made the defendant in a claim before the courts framed in nuisance". Finally, in my view, by laying out in detail his argument that the SRWs were insufficient he would reasonably have left Mr. Dellow with the inference that the MAB was not the correct forum to resolve issues between CNRL and the Blatzes.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evidence about the MAB's jurisdiction, or not, was a little confusing. During the hearing Ms. Blatz said that the issue of jurisdiction was a live one and was on the table even before Mr. Cosburn was retained. His evidence was to the contrary. After the hearing, however, Mr. MacInnis found and forwarded documents confirming that CNRL's first counsel, Mr. Dellow, had objected to the MAB having any jurisdiction </w:t>
      </w:r>
      <w:r>
        <w:rPr>
          <w:rFonts w:ascii="arial" w:eastAsia="arial" w:hAnsi="arial" w:cs="arial"/>
          <w:i/>
          <w:color w:val="000000"/>
          <w:sz w:val="20"/>
          <w:lang w:val="en-US" w:eastAsia="en-US" w:bidi="ar-SA"/>
        </w:rPr>
        <w:t>beyond</w:t>
      </w:r>
      <w:r>
        <w:rPr>
          <w:rFonts w:ascii="arial" w:eastAsia="arial" w:hAnsi="arial" w:cs="arial"/>
          <w:color w:val="000000"/>
          <w:sz w:val="20"/>
          <w:lang w:val="en-US" w:eastAsia="en-US" w:bidi="ar-SA"/>
        </w:rPr>
        <w:t xml:space="preserve"> the well site itself i.e. roads, ditches, or property over which the weeds had allegedly spread. Mr. Tatchell, Mr. Cosburn's counsel in these proceedings, responded by arguing that that was an entirely different jurisdiction issue than that which concerned Mr. Cosburn but acknowledged that "... Mr. Cosburn has no memory of it either". It seems odd that Mr. Cosburn would not remember that, given that </w:t>
      </w:r>
      <w:r>
        <w:rPr>
          <w:rFonts w:ascii="arial" w:eastAsia="arial" w:hAnsi="arial" w:cs="arial"/>
          <w:i/>
          <w:color w:val="000000"/>
          <w:sz w:val="20"/>
          <w:lang w:val="en-US" w:eastAsia="en-US" w:bidi="ar-SA"/>
        </w:rPr>
        <w:t>he</w:t>
      </w:r>
      <w:r>
        <w:rPr>
          <w:rFonts w:ascii="arial" w:eastAsia="arial" w:hAnsi="arial" w:cs="arial"/>
          <w:color w:val="000000"/>
          <w:sz w:val="20"/>
          <w:lang w:val="en-US" w:eastAsia="en-US" w:bidi="ar-SA"/>
        </w:rPr>
        <w:t xml:space="preserve"> was soon telling </w:t>
      </w:r>
      <w:r>
        <w:rPr>
          <w:rFonts w:ascii="arial" w:eastAsia="arial" w:hAnsi="arial" w:cs="arial"/>
          <w:i/>
          <w:color w:val="000000"/>
          <w:sz w:val="20"/>
          <w:lang w:val="en-US" w:eastAsia="en-US" w:bidi="ar-SA"/>
        </w:rPr>
        <w:t>Mr. Dellow</w:t>
      </w:r>
      <w:r>
        <w:rPr>
          <w:rFonts w:ascii="arial" w:eastAsia="arial" w:hAnsi="arial" w:cs="arial"/>
          <w:color w:val="000000"/>
          <w:sz w:val="20"/>
          <w:lang w:val="en-US" w:eastAsia="en-US" w:bidi="ar-SA"/>
        </w:rPr>
        <w:t xml:space="preserve"> that the MAB had no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his subsequent e-mail to the Blatzes of March 28th (par. 22, below) Mr. Cosburn offered four options, the first of which was to continue the pending proceedings with the MAB. In that case he was clear that he would not represent them, other than advising them "in the background", as he expressed it. He advised the Blatzes that he would not appear in the MAB proceedings because he felt firmly that the law was against them on jurisdiction. He felt he could not, as counsel, "advance transparent arguments ..." before the Board. He also had concerns about the quality of expert evidence the Blatzes had accumulated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a good time to review Mr. Cosburn's initial evaluation of the Blatzes' situation, his opinion, and his advice and recommendations. These are all contained in his very lengthy e-mail to them of March 23, 2007</w:t>
      </w:r>
      <w:bookmarkStart w:id="319"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319"/>
      <w:r>
        <w:rPr>
          <w:rFonts w:ascii="arial" w:eastAsia="arial" w:hAnsi="arial" w:cs="arial"/>
          <w:color w:val="000000"/>
          <w:sz w:val="20"/>
          <w:lang w:val="en-US" w:eastAsia="en-US" w:bidi="ar-SA"/>
        </w:rPr>
        <w:t>; it runs 17 pages and 32 numbered paragraphs (plus various sub-paragraphs). One clear fact, from the e-mail, is Mr. Cosburn's admission that by that point he had not read the file materials given him by the Blatzes</w:t>
      </w:r>
      <w:bookmarkStart w:id="320"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320"/>
      <w:r>
        <w:rPr>
          <w:rFonts w:ascii="arial" w:eastAsia="arial" w:hAnsi="arial" w:cs="arial"/>
          <w:color w:val="000000"/>
          <w:sz w:val="20"/>
          <w:lang w:val="en-US" w:eastAsia="en-US" w:bidi="ar-SA"/>
        </w:rPr>
        <w:t>. While lengthy and involved, the issues themselves are not numerous. As Mr. Cosburn listed them,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proving a claim respecting the weeds ("no" was his opinion);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assessing any liability by the provincial crown arising from the SRWs ("no" was his opinion);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whether the SRWs were valid and whether CNRL was in trespass ("uncertain" was his view).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Reading the entire 17 pages, I would say the issues could also be listed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weed claim;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adequacy or enforceability of the SRWs;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best venue for resolving the Blatzes' claims;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negotiation and/or litigation tactics and strategy.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profession exists to explain and guide people through their legal difficulties. This is so obvious and axiomatic that it need not be said. But beyond this, any good professional should be able to adequately explain, in a reasonably limited time, the various aspects of the issue. That is part of the legal service: helping the client to understand not only the true legal nature of his or her issue, but also the elements of its solution. Conversely the duty and skill of counsel, of course, is also to explain when and why a client's expectations cannot be met either because the law or the facts do not support the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Having said this, the Blatzes would be forgiven for not fully understanding the 17 page missive. I confess to having the same difficulty. Much of it is a very detailed (and, it must be said, erudite) discussion of the minutiae of legal tenure, title, SRWs and other forms of access to land. I am not sure at all that the opinion required such detail, particularly when the Blatzes were mainly concerned with redress for the weed infestation. I wonder if the intent was to impress rather than inform. I think Mr. Cosburn's intent was to tie CNRL's faulty tenure to solving the weed problem, but the point may well have been lost in the blizzard of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At one point the document even seems to contradict other advice and counsel from Mr. Cosburn. He (par. 10) discussed the authority given the MAB by s. 16(1)(b) of the </w:t>
      </w:r>
      <w:r>
        <w:rPr>
          <w:rFonts w:ascii="arial" w:eastAsia="arial" w:hAnsi="arial" w:cs="arial"/>
          <w:i/>
          <w:color w:val="000000"/>
          <w:sz w:val="20"/>
          <w:lang w:val="en-US" w:eastAsia="en-US" w:bidi="ar-SA"/>
        </w:rPr>
        <w:t>Petroleum and Natural Gas Act.</w:t>
      </w:r>
      <w:r>
        <w:rPr>
          <w:rFonts w:ascii="arial" w:eastAsia="arial" w:hAnsi="arial" w:cs="arial"/>
          <w:color w:val="000000"/>
          <w:sz w:val="20"/>
          <w:lang w:val="en-US" w:eastAsia="en-US" w:bidi="ar-SA"/>
        </w:rPr>
        <w:t xml:space="preserve"> He advised that because of the "anomalies created by ... the statutory right of way ..." s. 16 and therefore the MAB authority did not apply. He said further, however that "If the court orders that the srw for the wellsite is invalid, Section 16(1)(b) may well then apply". I understand him, then, to be saying that if the SRWs are invalid the MAB may well then have authority. He counsels against using that venue, however, for several reasons, among them his ironic comment: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well it has a structural disincentive to resolve matters expeditiously and efficiently because the members of it are paid on a daily basis for dealing with a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Having established that, if the SRWs are invalid (as he clearly feels) and that, therefore, s. 16 may apply and the MAB may take jurisdiction, five days later he emphatically declined to appear before the MAB, should the Blatzes choose that venue as "In a case such as yours, in which I am satisfied that the law is against you with respect to the board having jurisdiction over your claim at all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My confusion: if, as Mr. Cosburn feels, the SRWs are invalid, then s. 16 of the Act "may well apply" to give the MAB jurisdiction, but "... the law is against you with respect to the board having jurisdiction over your claim at all". If the clients were confused by this I would not blame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Of the four concerns above, the legality of the SRW seemed the most complex. The other issues were not overly complex. Mr. Cosburn dealt with the weed claim (the primary concern of the Blatzes, recall) by dismissing the opinions and views of three individuals they had already consulted. He did so after acknowledging (par. 4) that "I have not, for the purposes of this letter, gone through your file materials in great detail." He declined to do so, he said, because to do so "... would be very time consuming and expensive ...". He also acknowledged that "I have not reviewed the contents of the cd included with the materials." He dismissed out of hand the opinions the Blatzes had, on their own, obtained (Mr. Hadland, Ms. Copes, and Ms. Colwell), even going so far as to imply that their use to date had made matters worse for the Blatzes. Those reports were not presented in this hearing, so I have no idea whether he was correct in this. I found it odd, however, that in dismissing Mr. Hadland's report he admitted "... and because of its length and in light of the conclusion on the first page I haven't reviewed it from that point of view ..." (referring to its probative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the very outset Mr. Cosburn advised the Blatzes that, based on the evidence and opinions they had obtained to date, they could not prove that the infestation was caused by CNRL. He may well have been correct in that. He then (par. 5) was clear: they needed better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is needed, to proceed effectively and efficiently to formal resolution of the weed claim against CNRL is specific evidence of each of the elements you are required to prove. You need a report, properly done in accordance with the law governing expert testimony, of an independent expert with significant credentials asserting the opinion, on proper grounds, that the weed on your property is not a natural occurrence there and has been brought or transported or caused to be there by the actions or activities of CNRL and by nobody or nothing else and by no other non-actionable cause. That is the foundation of a claim such as this. Then concise evidence of the costs and/or losses incurred by you in responding to the infestation. That is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Indeed, that </w:t>
      </w:r>
      <w:r>
        <w:rPr>
          <w:rFonts w:ascii="arial" w:eastAsia="arial" w:hAnsi="arial" w:cs="arial"/>
          <w:i/>
          <w:color w:val="000000"/>
          <w:sz w:val="20"/>
          <w:lang w:val="en-US" w:eastAsia="en-US" w:bidi="ar-SA"/>
        </w:rPr>
        <w:t>was</w:t>
      </w:r>
      <w:r>
        <w:rPr>
          <w:rFonts w:ascii="arial" w:eastAsia="arial" w:hAnsi="arial" w:cs="arial"/>
          <w:color w:val="000000"/>
          <w:sz w:val="20"/>
          <w:lang w:val="en-US" w:eastAsia="en-US" w:bidi="ar-SA"/>
        </w:rPr>
        <w:t xml:space="preserve"> all, and well and succinctly stated. I wonder at his other comments on experts. He was clear that, as far as he was concerned, any experts for the Blatzes, to guarantee independence, would have to be from outside the Peace region. I seriously wonder at that and the inevitable increased costs of experts 'from away': there is no indication that Mr. Cosburn either sought or canvassed other potential experts in the vicinity. One would expect, in an agricultural region such as the Peace, that experts might be more locally available and their independence satisfactorily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Having put expert opinion so clearly front and centre, to the extent of pointing out that the Blatzes, at that early stage, had to deal with opposing opinions from CNRL</w:t>
      </w:r>
      <w:bookmarkStart w:id="321"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321"/>
      <w:r>
        <w:rPr>
          <w:rFonts w:ascii="arial" w:eastAsia="arial" w:hAnsi="arial" w:cs="arial"/>
          <w:color w:val="000000"/>
          <w:sz w:val="20"/>
          <w:lang w:val="en-US" w:eastAsia="en-US" w:bidi="ar-SA"/>
        </w:rPr>
        <w:t>, Mr. Cosburn seems to have done nothing to improve on the evidence that the Blatzes had gathered, or to gather new and better expert opinion. It seems curious in the extreme that he could expect to either negotiate or litigate the infestation issue without that evidence, yet seemed disinclined to obtain it. Shortly after this long opinion, by e-mail March 28th, Mr. Cosburn outlined four options:</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Continue with the process before the MAB. In that case Mr. Cosburn declined to act further other than to give advice "in the background", as he put it. He felt the MAB had no jurisdiction and that the evidence the Blatzes had was so deficient that to continue would be to "advance transparent arguments". He implied that to appear before the MAB would require that he breach "a set of duties" that he must otherwise observe;</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"Commission a proper expert report" that would prove CNRL to be the cause of the infestation and the well site its source;</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Take the matter to the Supreme Court and challenge the SRWs; if successful the Blatzes could then claim against CNRL in trespass and "... if you have workable evidence available, the weed claim". Mr. Cosburn specifically felt that even if the SRWs were valid that the Court would order that "... the crown provincial's purported reservation of rights in the srw's (sic) is invalid. That would allow you to be the only party with whom CNRL must deal with respect to the srw's (sic)".</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"Attempt to negotiate a resolution of your concerns with CNRL"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Cosburn doubted the success of (1) ("... a shot in the dark, with the risk of losing credibility for your claims ..."), and felt (2) and (3) would be "... quite costly to you". He clearly favoured and encouraged further negotiation.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Within a day of that e-mail Ms. Blatz responded with a two-page e-mail clearly emphasizing the infestation as their main concern and specifically suggested, if not directed, that Mr. Cosburn interview Mr. Hadland, Ms. Colwell, Ms. Copes, and a fourth witness, Mr. Vince. She gave telephone numbers for each. There was no evidence given that Mr. Cosburn ever talked to these people. In any event, Ms. Blatz closed by giving a clear instruction that their preference was to "... go with the 4th option and if this doesn't work we will go with the 2nd option". The Blatzes therefore instructed negotiation and failing that retaining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What is interesting in this, and in numerous other exchanges between counsel and client and, in fact, in the evidence heard during the hearing is this: Mr. Cosburn consistently proposed paths of action as exclusive. Broadly speaking, he counselled the Blatzes to </w:t>
      </w:r>
      <w:r>
        <w:rPr>
          <w:rFonts w:ascii="arial" w:eastAsia="arial" w:hAnsi="arial" w:cs="arial"/>
          <w:i/>
          <w:color w:val="000000"/>
          <w:sz w:val="20"/>
          <w:lang w:val="en-US" w:eastAsia="en-US" w:bidi="ar-SA"/>
        </w:rPr>
        <w:t>either</w:t>
      </w:r>
      <w:r>
        <w:rPr>
          <w:rFonts w:ascii="arial" w:eastAsia="arial" w:hAnsi="arial" w:cs="arial"/>
          <w:color w:val="000000"/>
          <w:sz w:val="20"/>
          <w:lang w:val="en-US" w:eastAsia="en-US" w:bidi="ar-SA"/>
        </w:rPr>
        <w:t xml:space="preserve"> negotiate </w:t>
      </w:r>
      <w:r>
        <w:rPr>
          <w:rFonts w:ascii="arial" w:eastAsia="arial" w:hAnsi="arial" w:cs="arial"/>
          <w:i/>
          <w:color w:val="000000"/>
          <w:sz w:val="20"/>
          <w:lang w:val="en-US" w:eastAsia="en-US" w:bidi="ar-SA"/>
        </w:rPr>
        <w:t>or</w:t>
      </w:r>
      <w:r>
        <w:rPr>
          <w:rFonts w:ascii="arial" w:eastAsia="arial" w:hAnsi="arial" w:cs="arial"/>
          <w:color w:val="000000"/>
          <w:sz w:val="20"/>
          <w:lang w:val="en-US" w:eastAsia="en-US" w:bidi="ar-SA"/>
        </w:rPr>
        <w:t xml:space="preserve"> litigate. It seems never to have occurred to him that both avenues could and, probably usually should, proceed at the same time. In simple and elementary terms nothing spurs negotiation and settlement like a deadline and Mr. Cosburn seems not to have appreciated or used this tool. He seemed not to appreciate that the deadlines litigation offers can, and usually do, encourage negotiation.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Blatzes consistently wanted to press the matter and relied on Mr. Cosburn to use whatever tools were available to do that. He, on the other hand, seemed reluctant (putting it kindly) to press the various steps in litigation. At every turn, I think, he </w:t>
      </w:r>
      <w:r>
        <w:rPr>
          <w:rFonts w:ascii="arial" w:eastAsia="arial" w:hAnsi="arial" w:cs="arial"/>
          <w:i/>
          <w:color w:val="000000"/>
          <w:sz w:val="20"/>
          <w:lang w:val="en-US" w:eastAsia="en-US" w:bidi="ar-SA"/>
        </w:rPr>
        <w:t>talked about</w:t>
      </w:r>
      <w:r>
        <w:rPr>
          <w:rFonts w:ascii="arial" w:eastAsia="arial" w:hAnsi="arial" w:cs="arial"/>
          <w:color w:val="000000"/>
          <w:sz w:val="20"/>
          <w:lang w:val="en-US" w:eastAsia="en-US" w:bidi="ar-SA"/>
        </w:rPr>
        <w:t xml:space="preserve"> pressing the matter, but in fact delayed. His e-mail to the clients December 4, 2007 is a good example of this. He discussed examining a representative of CNRL but seemed nonplussed that CNRL's counsel, by response, wanted better document disclosure. He again offered delay: "The choice for you at this stage is whether you wish me to keep pushing the matter ahead, or just sit back and wait and see if CNRL gets desperate to get on the wellsite." He further discussed delay and opined "Certainly there is no disadvantage for you tactically, although I understand your wish to bring the matter to an end." He said that he assumes the weed infestation "is now being controlled ..."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 am correct then the lawsuit is simply over costs and losses you incurred in the past and an incentive to get the title situation straightened out. Those things are of course not insignificant, but they are matters that can wait from the point of view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Finally, he referred to the information and reports the Blatzes had obtained to date and said, directly, that because the reports "... were not prepared on the instructions of a lawyer ..." it was possible "if not probable" that the Blatzes could not maintain privilege over them. In an ironic turn of phrase, he advised the Blatzes that to disclose information that has, in his view, evidentiary weaknesses "... will not, in my view, assist in maintaining the litigation momentum that is presently in place -- you are the aggressor and they are both stalling and retreating". Frankly, I see no 'litigation momentum' of any consequence in place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Certainly the Blatzes, instinctively, seem to have realized the importance of deadlines and pressing the case. Ms. Blatz's short response to Mr. Cosburn, the same day, was pithy and emphatic: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want to get this going as we have too much money tied up in this. If we don't push this matter we believe CNRL will do nothing because it is not an active well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Concerning the weed control, scentless chamomile is not a one shot deal. It must be treated aggressively for many years or it could get out of control like was when CNRL was doing the weed control. The lawsuit is not just over costs incurred in the past but also for future weed control costs as scentless chamomile cannot be eradicated in one year. Has payment been demanded for the weed control that we did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could be clearer than that? The clients were clear that they wanted the matter pushed, and clear that any devaluing of the weed infestation issue by Mr. Cosburn was, in their view, wrong. It seems to me they were giving very clear marching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Yet the very next day Mr. Cosburn sent another e-mail to the Blatzes encouraging delay: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one other element that I have in mind in seeing some merit in delay and that is of course assuming that CNRL doesn't decide to push the court action ahead on its own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year goes by, or two years for that matter, and you see a diminishment in the extent of weed sprouting/growth on your lands that is effective evidence that the wellsite area was the source, and not some other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 few days later, on December 8th, Ms. Blatz repeated their intent that the matter be pushed and finished: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still would like to have this issue finished within the next year ... CNRL will never be ready to settle this unless they want to put it back to bed and that could be 20 years from now. Hartley wants you to take the appropriate steps to get this into court as you can see from the past they do not want to negotiate.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proof that the chamomile was from CNRL is because the highly infected area is directly below the wellsite, water ran through the open berms and the weeds were not being controlled. If it was from our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would be over the whole farm and just below the wellsite (see Arthur Hadland's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understand that Ms. Blatz meant "... </w:t>
      </w:r>
      <w:r>
        <w:rPr>
          <w:rFonts w:ascii="arial" w:eastAsia="arial" w:hAnsi="arial" w:cs="arial"/>
          <w:b/>
          <w:color w:val="000000"/>
          <w:sz w:val="20"/>
          <w:lang w:val="en-US" w:eastAsia="en-US" w:bidi="ar-SA"/>
        </w:rPr>
        <w:t>not</w:t>
      </w:r>
      <w:r>
        <w:rPr>
          <w:rFonts w:ascii="arial" w:eastAsia="arial" w:hAnsi="arial" w:cs="arial"/>
          <w:color w:val="000000"/>
          <w:sz w:val="20"/>
          <w:lang w:val="en-US" w:eastAsia="en-US" w:bidi="ar-SA"/>
        </w:rPr>
        <w:t xml:space="preserve"> just below the wellsite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is particularly compelling to me in all of this was Mr. Cosburn's response. Ms. Blatz's note also referred to unexpected events, such as illness or death, intruding. Mr. Cosburn's response counselled calm and said that "... In any of the above events ... I would brief other counsel as to the land use regulation ... Any reasonably experienced litigation lawyer, of which there are many, could take those issues forward at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this exchange Mr. Cosburn does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suggest that he would not carry the litigation to its completion, unless there were unforeseen events intruding (as with illness). I think that any reasonable person reading the response would assume Mr. Cosburn's commitment to carrying the litigation through. I raise and emphasize this point as, in my mind, it confirms Ms. Blatz's evidence that she and her family, having retained two counsel prior to Mr. Cosburn, were intent that the third counsel be their last, and I think it more than reasonable that Mr. Cosburn understood and acknowledged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Surely the overall plan for this litigation was not complex?</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basic and pressing problem (clearly expressed by the clients) was the weed infestation and its past and future costs of control or eradication;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SRWs were valid and enforceable, then arguably the Crown in right of the province might be partially or contributorily liable which, of course, may have given the Blatzes another source of compensation;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SRWs were not valid then probably CNRL was trespassing and accountable accordingly;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SRWs were or were not valid CNRL could still be pursued for causing or failing to control the infestation.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Frankly, I cannot see how the lengthy and ongoing discussion and preoccupation with the enforceability of the SRWs should have delayed the larger question i.e. CNRL's accountability (or not) for damages for the infestation</w:t>
      </w:r>
      <w:bookmarkStart w:id="322" w:name="Backward_fnref_fnr-8"/>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322"/>
      <w:r>
        <w:rPr>
          <w:rFonts w:ascii="arial" w:eastAsia="arial" w:hAnsi="arial" w:cs="arial"/>
          <w:color w:val="000000"/>
          <w:sz w:val="20"/>
          <w:lang w:val="en-US" w:eastAsia="en-US" w:bidi="ar-SA"/>
        </w:rPr>
        <w:t xml:space="preserve">. Mr. Cosburn correctly recommended the Supreme Court as the venue to resolve both title and access issues as well as the liability of CNRL for damages either in nuisance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By July, 2007, according to Mr. Cosburn, the focus of the infestation problem shifted from CNRL's having </w:t>
      </w:r>
      <w:r>
        <w:rPr>
          <w:rFonts w:ascii="arial" w:eastAsia="arial" w:hAnsi="arial" w:cs="arial"/>
          <w:i/>
          <w:color w:val="000000"/>
          <w:sz w:val="20"/>
          <w:lang w:val="en-US" w:eastAsia="en-US" w:bidi="ar-SA"/>
        </w:rPr>
        <w:t>caused</w:t>
      </w:r>
      <w:r>
        <w:rPr>
          <w:rFonts w:ascii="arial" w:eastAsia="arial" w:hAnsi="arial" w:cs="arial"/>
          <w:color w:val="000000"/>
          <w:sz w:val="20"/>
          <w:lang w:val="en-US" w:eastAsia="en-US" w:bidi="ar-SA"/>
        </w:rPr>
        <w:t xml:space="preserve"> the infestation to CNRL's having </w:t>
      </w:r>
      <w:r>
        <w:rPr>
          <w:rFonts w:ascii="arial" w:eastAsia="arial" w:hAnsi="arial" w:cs="arial"/>
          <w:i/>
          <w:color w:val="000000"/>
          <w:sz w:val="20"/>
          <w:lang w:val="en-US" w:eastAsia="en-US" w:bidi="ar-SA"/>
        </w:rPr>
        <w:t>failed to control</w:t>
      </w:r>
      <w:r>
        <w:rPr>
          <w:rFonts w:ascii="arial" w:eastAsia="arial" w:hAnsi="arial" w:cs="arial"/>
          <w:color w:val="000000"/>
          <w:sz w:val="20"/>
          <w:lang w:val="en-US" w:eastAsia="en-US" w:bidi="ar-SA"/>
        </w:rPr>
        <w:t xml:space="preserve"> the spread of the weed. I understood him to see this as a reason, for example, for not retaining experts</w:t>
      </w:r>
      <w:bookmarkStart w:id="323" w:name="Backward_fnref_fnr-9"/>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323"/>
      <w:r>
        <w:rPr>
          <w:rFonts w:ascii="arial" w:eastAsia="arial" w:hAnsi="arial" w:cs="arial"/>
          <w:color w:val="000000"/>
          <w:sz w:val="20"/>
          <w:lang w:val="en-US" w:eastAsia="en-US" w:bidi="ar-SA"/>
        </w:rPr>
        <w:t>. I wonder at that: even if the focus had originally been the cause of the infestation and had experts been instructed or consulted accordingly, I cannot see that it would have delayed matters, or increased the expense significantly, to have asked them to re-address the problem as one of control vs. cause. Respecting CNRL, he pleaded the case as failure to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end and after 38 months of representing the Blatzes Mr. Cosburn had not set a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retained any experts re: spread or cause of the weed infestation;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retained any experts or accounting help to quantify the damages of weed control, past and future.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Like the Blatzes, I fail to see much that </w:t>
      </w:r>
      <w:r>
        <w:rPr>
          <w:rFonts w:ascii="arial" w:eastAsia="arial" w:hAnsi="arial" w:cs="arial"/>
          <w:i/>
          <w:color w:val="000000"/>
          <w:sz w:val="20"/>
          <w:lang w:val="en-US" w:eastAsia="en-US" w:bidi="ar-SA"/>
        </w:rPr>
        <w:t>was</w:t>
      </w:r>
      <w:r>
        <w:rPr>
          <w:rFonts w:ascii="arial" w:eastAsia="arial" w:hAnsi="arial" w:cs="arial"/>
          <w:color w:val="000000"/>
          <w:sz w:val="20"/>
          <w:lang w:val="en-US" w:eastAsia="en-US" w:bidi="ar-SA"/>
        </w:rPr>
        <w:t xml:space="preserve"> done on their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Legal Profession Act fee reviews the court is cautious in second-guessing counsel's litigation strategies or decisions. This is not one of those case. Mr. Cosburn, in the face of clear and repeated instructions to press the matter, did not do so and, in fact, did the very opposite. Despite the Blatzes' instruction from their very first contact with Mr. Cosburn, that they wanted him as their final counsel, I am satisfied that he did not intend to litigate the matter to its end. He intended, should the matter go to trial, to refer the matter to other counsel as he clearly attempted, in the end,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Did Mr. Cosburn actually understand his duties and obligations as litigation counsel? I am not at all sure that he did. A singular and salient example of this is found in document discovery. In January of 2008 he was preparing the Blatzes' list of documents and on January 17th, by e-mail advised them of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 have done is reduced the scope of documents in play down to those that you will rely on in the proof of the issues before the court in the Supreme Court action. Some that were left out were omitted on the grounds that they are irrelevant insofar as the proof of those issues is concerned. </w:t>
      </w:r>
      <w:r>
        <w:rPr>
          <w:rFonts w:ascii="arial" w:eastAsia="arial" w:hAnsi="arial" w:cs="arial"/>
          <w:i/>
          <w:color w:val="000000"/>
          <w:sz w:val="20"/>
          <w:lang w:val="en-US" w:eastAsia="en-US" w:bidi="ar-SA"/>
        </w:rPr>
        <w:t>Others not (sic) that were left out were omitted on the grounds that they are either inconsistent with your claim, or associated with other documents that are inconsistent. Grounds for omitting others is that they favour the other side -- and are thereby inconsistent with your position.</w:t>
      </w:r>
      <w:r>
        <w:rPr>
          <w:rFonts w:ascii="arial" w:eastAsia="arial" w:hAnsi="arial" w:cs="arial"/>
          <w:color w:val="000000"/>
          <w:sz w:val="20"/>
          <w:lang w:val="en-US" w:eastAsia="en-US" w:bidi="ar-SA"/>
        </w:rPr>
        <w:t xml:space="preserve"> To the extent that credibility issues (for CNRL) may arise out of those documents you will raise them only in the event CNRL puts forward or relies on those documents, or we draw them out during examinations for discovery or on cross-examination. We don't want to put forward documents, in your list, that create lack of clarity in your position. The documents that were apparently drafted to be considered opinion evidence or expert's reports have been excluded for reasons earlier discussed.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rules are essentially that unless you disclose a document in your list you can't rely on it at trial. So I have used my assessment of the documents that are necessary for you in that regard as the determining factor in including or excluding a particular document.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was not an isolated or unintentional approach, as in his covering letter of March 5th (accompanying an account) Mr. Cosburn repeated his theory of document disclosure: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Careful review of your documents to isolate and list those containing favourable evidence that can be relied on at trial and to confirm that the contents are not inconsistent with others that are already in the possession of CNRL formed the bulk of the time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his cross-examination Mr. Cosburn confirmed that the views in these e-mails reflected his understanding of the law. On re-examination, however, he attempted to rehabilitate his evidence and said that the e-mails were a poor statement of his view that he need not list or produce some documents as they had already been produced to CNRL or their counsel, for example, before he was retained. I do not accept this latter view. I think that his e-mail and his responses in cross are more accurate and confirm his misunderstanding of the requirements of document disclosure. His assumption that he could exclude documents that did not support the Blatzes' position, or that were inconsistent with other documents already produced was stated clearly in his December 17, 2008 letter to them. At par. 3 in criticising the Blatzes for their "binder approach" (his words) he said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provided that party with a mass of documentation, much of which is inconsistent with your final position, particularly as to quantification of the claim and evidence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This approach shows a serious misunderstanding of counsel's duty in the discovery process. In </w:t>
      </w:r>
      <w:r>
        <w:rPr>
          <w:rFonts w:ascii="arial" w:eastAsia="arial" w:hAnsi="arial" w:cs="arial"/>
          <w:b/>
          <w:i/>
          <w:color w:val="000000"/>
          <w:sz w:val="20"/>
          <w:lang w:val="en-US" w:eastAsia="en-US" w:bidi="ar-SA"/>
        </w:rPr>
        <w:t>Allarco Broadcasting Ltd. v. Duke</w:t>
      </w:r>
      <w:bookmarkStart w:id="324" w:name="Backward_fnref_fnr-1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324"/>
      <w:r>
        <w:rPr>
          <w:rFonts w:ascii="arial" w:eastAsia="arial" w:hAnsi="arial" w:cs="arial"/>
          <w:color w:val="000000"/>
          <w:sz w:val="20"/>
          <w:lang w:val="en-US" w:eastAsia="en-US" w:bidi="ar-SA"/>
        </w:rPr>
        <w:t xml:space="preserve"> McEachern CJBC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ultimate analysis, it is impossible definitively to furnish guidelines on what is permissible on discovery. It is, as I have said, a professional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There is no higher duty on counsel engaged in litigation than to make proper and full discovery. Mr. Cosburn did not do that. Any counsel doubtful as to what had to be disclosed would do well to read the court of appeal decision in </w:t>
      </w:r>
      <w:r>
        <w:rPr>
          <w:rFonts w:ascii="arial" w:eastAsia="arial" w:hAnsi="arial" w:cs="arial"/>
          <w:b/>
          <w:i/>
          <w:color w:val="000000"/>
          <w:sz w:val="20"/>
          <w:lang w:val="en-US" w:eastAsia="en-US" w:bidi="ar-SA"/>
        </w:rPr>
        <w:t>Dufault v. Stevens</w:t>
      </w:r>
      <w:bookmarkStart w:id="325" w:name="Backward_fnref_fnr-11"/>
      <w:hyperlink w:anchor="Forward_fnref_fnr-11" w:history="1">
        <w:r>
          <w:rPr>
            <w:rFonts w:ascii="arial" w:eastAsia="arial" w:hAnsi="arial" w:cs="arial"/>
            <w:b/>
            <w:color w:val="BE161D"/>
            <w:sz w:val="20"/>
            <w:shd w:val="clear" w:color="auto" w:fill="FFFFFF"/>
            <w:vertAlign w:val="superscript"/>
            <w:lang w:val="en-US" w:eastAsia="en-US" w:bidi="ar-SA"/>
          </w:rPr>
          <w:t>11</w:t>
        </w:r>
      </w:hyperlink>
      <w:bookmarkEnd w:id="325"/>
      <w:r>
        <w:rPr>
          <w:rFonts w:ascii="arial" w:eastAsia="arial" w:hAnsi="arial" w:cs="arial"/>
          <w:color w:val="000000"/>
          <w:sz w:val="20"/>
          <w:lang w:val="en-US" w:eastAsia="en-US" w:bidi="ar-SA"/>
        </w:rPr>
        <w:t xml:space="preserve">, in which, referring to </w:t>
      </w:r>
      <w:r>
        <w:rPr>
          <w:rFonts w:ascii="arial" w:eastAsia="arial" w:hAnsi="arial" w:cs="arial"/>
          <w:b/>
          <w:i/>
          <w:color w:val="000000"/>
          <w:sz w:val="20"/>
          <w:lang w:val="en-US" w:eastAsia="en-US" w:bidi="ar-SA"/>
        </w:rPr>
        <w:t>Compagnie Financiere et Commerciale du Pacifique v. Peruvian Guano Co.</w:t>
      </w:r>
      <w:bookmarkStart w:id="326" w:name="Backward_fnref_fnr-12"/>
      <w:hyperlink w:anchor="Forward_fnref_fnr-12" w:history="1">
        <w:r>
          <w:rPr>
            <w:rFonts w:ascii="arial" w:eastAsia="arial" w:hAnsi="arial" w:cs="arial"/>
            <w:b/>
            <w:color w:val="BE161D"/>
            <w:sz w:val="20"/>
            <w:shd w:val="clear" w:color="auto" w:fill="FFFFFF"/>
            <w:vertAlign w:val="superscript"/>
            <w:lang w:val="en-US" w:eastAsia="en-US" w:bidi="ar-SA"/>
          </w:rPr>
          <w:t>12</w:t>
        </w:r>
      </w:hyperlink>
      <w:bookmarkEnd w:id="326"/>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It follows from this that an applicant need not show that a document is admissible in evidence at the trial as the condition of his obtaining an order under this Rule. If a party seeking the order is able to satisfy the Judge that the document, or information in a document, may relate to a matter in issue, the Judge should make the order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Subject to these considerations, any party is entitled to an order for production and inspection of a document which may relate to an issue in a trial notwithstanding the fact that the document may contain some information which is irrelevant or which may contain information which might be embarrassing to one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Similarly, any counsel in doubt as to the discovery process would do well to review the relevant portions of </w:t>
      </w:r>
      <w:r>
        <w:rPr>
          <w:rFonts w:ascii="arial" w:eastAsia="arial" w:hAnsi="arial" w:cs="arial"/>
          <w:b/>
          <w:i/>
          <w:color w:val="000000"/>
          <w:sz w:val="20"/>
          <w:lang w:val="en-US" w:eastAsia="en-US" w:bidi="ar-SA"/>
        </w:rPr>
        <w:t>Discovery Practice in British Columbia</w:t>
      </w:r>
      <w:bookmarkStart w:id="327" w:name="Backward_fnref_fnr-13"/>
      <w:hyperlink w:anchor="Forward_fnref_fnr-13" w:history="1">
        <w:r>
          <w:rPr>
            <w:rFonts w:ascii="arial" w:eastAsia="arial" w:hAnsi="arial" w:cs="arial"/>
            <w:b/>
            <w:color w:val="BE161D"/>
            <w:sz w:val="20"/>
            <w:shd w:val="clear" w:color="auto" w:fill="FFFFFF"/>
            <w:vertAlign w:val="superscript"/>
            <w:lang w:val="en-US" w:eastAsia="en-US" w:bidi="ar-SA"/>
          </w:rPr>
          <w:t>13</w:t>
        </w:r>
      </w:hyperlink>
      <w:bookmarkEnd w:id="327"/>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The wide-ranging scope and duty of disclosure is well known to counsel practising in the superior courts of British Columbia. The fact that the scope of document discovery has been narrowed by the New Rules does not in any way detract from Mr. Cosburn's duty, during his retainer, to make much fuller and more complete document discovery than he apparently understood was his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From this bad advice on document discovery a quick chronological review of subsequent discussions and advice would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24, 2008: Mr. Cosburn had transcripts from an examination for discovery, but said he hadn't time to review them: "Doing so is however not necessary at this stage for the purposes of the action. It is necessary as part of a pre-trial preparation". I would assume even a quick review of discovery evidence would be better done earlier rather than later. He then contemplated whether Mr. Proudfoot (now counsel for CNRL) will set discoveries, and "If not we can set the matter for trial ...". He also advised that if the Blatzes' examination is set for "... let's say August, at a time that is busy for you on the farm, he has the right to do so and you will have to attend." Mr. Cosburn did not seem to even contemplate an adjournment, to farmer/ranchers, during harvest time. I expect a court would have been sympathetic to such an application.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same day he sent a note to Mr. Proudfoot and said "If I don't hear from you in this regard I will proceed to set the matter for trial ...". No trial date was set.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By September 26th no trial date had been set, and there was discussion of examinations. In discussing the cost of litigation, Mr. Cosburn said "... I am proceeding on the basis of your responses ... to my email of December 4, 2007 when I suggested that you may want to consider a less aggressive approach to the litigation ...". His discussion of a trial date is almost diffident: "If we are to set the matter for trial we need to allow CNRL an opportunity to examine you". But there is no evidence that the Blatzes, for any reason, wished to avoid an examination. Quite the contrary, in my view; I think they were anxious to make their case known directly to CNRL.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Blatz was examined in mid-December, 2008. There followed a lengthy letter (by e-mail) from Mr. Cosburn to the Blatzes</w:t>
            </w:r>
            <w:bookmarkStart w:id="328" w:name="Backward_fnref_fnr-14"/>
            <w:hyperlink w:anchor="Forward_fnref_fnr-14" w:history="1">
              <w:r>
                <w:rPr>
                  <w:rFonts w:ascii="arial" w:eastAsia="arial" w:hAnsi="arial" w:cs="arial"/>
                  <w:b/>
                  <w:color w:val="BE161D"/>
                  <w:sz w:val="18"/>
                  <w:shd w:val="clear" w:color="auto" w:fill="FFFFFF"/>
                  <w:vertAlign w:val="superscript"/>
                  <w:lang w:val="en-US" w:eastAsia="en-US" w:bidi="ar-SA"/>
                </w:rPr>
                <w:t>14</w:t>
              </w:r>
            </w:hyperlink>
            <w:bookmarkEnd w:id="328"/>
            <w:r>
              <w:rPr>
                <w:rFonts w:ascii="arial" w:eastAsia="arial" w:hAnsi="arial" w:cs="arial"/>
                <w:color w:val="000000"/>
                <w:sz w:val="18"/>
                <w:lang w:val="en-US" w:eastAsia="en-US" w:bidi="ar-SA"/>
              </w:rPr>
              <w:t>. Some of it was a standard post mortem, some of it analysis of the case (although precious little of that) and some of it, frankly, lecturing and criticising the Blatzes. Mr. Cosburn, by this letter, began to prepare the clients for his termination of the retainer. It is an important letter, and bears a little more review. First, he was frank in saying he learned little of CNRL's approach: "I am still unable to read in any definitive way what CNRL's agenda with respect to this matter may be". This is a surprising comment after pleadings were closed, document discovery (one hopes) completed, and a discovery of one's client done.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examination took all day when, it had been hoped, several examinations could be completed in that time. Ms. Blatz, in particular, was frustrated by what she saw as poor or inadequate planning and the expense of re-scheduling. She said as much openly, hardly a grievous sin for a litigant. Mr. Cosburn addressed this and after acknowledging that time was wasted "... by repetition of questions and questions that are clearly, as a matter of law, improper" he advised, in respect of CNRL, that "They are entitled to examine at great length on each issue if they wish to spend the time and money to do so even though the result is increasing your financial exposure to some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Worse, after the discovery Mr. Cosburn, angered by Ms. Blatz's expressed frustration, lectured her on having damaged her case strategically by demonstrating concerns, in Mr. Proudfoot's hearing, about the cost of litigation. This would, said Mr. Cosburn, simply reinforce his view that CNRL was waging a battle of economic attrition. This was hardly a fresh insight, and in my view the clients did not merit the scolding they got.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Mr. Cosburn was also upset by "... the 'binder' approach ..." whereby, I gather, the Blatzes brought to the examination documents which they felt corroborated their claim, costs, and damages. All I can conclude from all of this is that Mr. Cosburn had not properly canvassed and gathered the documentation and certainly had not organized and listed it as was his responsibility as counsel. Properly prepared counsel should not be surprised by documents </w:t>
      </w:r>
      <w:r>
        <w:rPr>
          <w:rFonts w:ascii="arial" w:eastAsia="arial" w:hAnsi="arial" w:cs="arial"/>
          <w:i/>
          <w:color w:val="000000"/>
          <w:sz w:val="20"/>
          <w:lang w:val="en-US" w:eastAsia="en-US" w:bidi="ar-SA"/>
        </w:rPr>
        <w:t>his or her own client</w:t>
      </w:r>
      <w:r>
        <w:rPr>
          <w:rFonts w:ascii="arial" w:eastAsia="arial" w:hAnsi="arial" w:cs="arial"/>
          <w:color w:val="000000"/>
          <w:sz w:val="20"/>
          <w:lang w:val="en-US" w:eastAsia="en-US" w:bidi="ar-SA"/>
        </w:rPr>
        <w:t xml:space="preserve"> presents at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Cosburn clearly felt (or at least expressed) that his role as counsel was unproductive and that the Blatzes frustrated his function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by the tendency of the Plaintiffs to assume, incorrectly, what the law is or requires in any particular circumstance. The result has been a number of situations in which my function has been to try to work around things done or steps taken by the Plaintiffs without seeking or following my advice. I should be assembling a cohesive and persuasive evidentiary foundation for the claim based on the client seeking, and following, advice as to the elements of that evidence and their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Having heard the oral evidence of both counsel and the clients and having reviewed the e-mail record of solicitor/client communications, I do not accept that the Blatzes were guilty of such egregious sins.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Following on this lecture, Mr. Cosburn proceeded to tell the Blatzes that "There is a point at which I may find myself unwilling to continue with the file." He said that point would be reached if the clients, in his view, did not follow his advice, or evidenced a lack of faith in him. Amazing, to my view, was his further assertion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total accounts rendered in this matter ... not including the accounts of the predecessor lawyers, are...some two to three times what they would have been in the absence of time required to be spent attempting to accommodate the file to the various counterproductive (from the point of view of efficient litigation) concerns that have arisen as a result of actions of the client. It gets to the point that it is embarrassing for me ... Client issues such as those outlined in this letter interfere with achievement of that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Later in the letter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want to feel like I have to fight or debate with my own client, or do my job trammeled (sic) by a millstone created by the client's own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Again, to justify such blunt accusations one would expect clear (and repeated) evidence of a client's interference, obdurateness, or independent actions. There are none of those in this case warranting such criticism. In his oral evidence Mr. Cosburn said that the Blatzes' having allowed CNRL onto the wellsite in July 2008 was an example of their frustrating his role as counsel, but his July 29th, 2008 e-mail</w:t>
      </w:r>
      <w:bookmarkStart w:id="329" w:name="Backward_fnref_fnr-15"/>
      <w:hyperlink w:anchor="Forward_fnref_fnr-15" w:history="1">
        <w:r>
          <w:rPr>
            <w:rFonts w:ascii="arial" w:eastAsia="arial" w:hAnsi="arial" w:cs="arial"/>
            <w:b/>
            <w:color w:val="BE161D"/>
            <w:sz w:val="20"/>
            <w:shd w:val="clear" w:color="auto" w:fill="FFFFFF"/>
            <w:vertAlign w:val="superscript"/>
            <w:lang w:val="en-US" w:eastAsia="en-US" w:bidi="ar-SA"/>
          </w:rPr>
          <w:t>15</w:t>
        </w:r>
      </w:hyperlink>
      <w:bookmarkEnd w:id="329"/>
      <w:r>
        <w:rPr>
          <w:rFonts w:ascii="arial" w:eastAsia="arial" w:hAnsi="arial" w:cs="arial"/>
          <w:color w:val="000000"/>
          <w:sz w:val="20"/>
          <w:lang w:val="en-US" w:eastAsia="en-US" w:bidi="ar-SA"/>
        </w:rPr>
        <w:t xml:space="preserve"> belies this. In his own words, Mr. Cosburn was "... not overly concerned". That incident, however, for Mr. Cosburn retrospectively became part of the justification for his subsequent withdrawal.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Cosburn, perhaps summing up his entire view of his role as counsel,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function is to manage the flow of information to the other side. If you take it upon yourselves to "blurt" out information, whether verbally or in documents, it makes it difficult if not impossible for me to do the job you have hired me for, effectively.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an interesting summary. While it describes part of counsel's job, it surely does not define the entire role. Surely counsel's job is to ascertain as well as possible demonstrable and provable facts and to apply those facts and applicable law to the client's expectations and to advise accordingly? It is impossible, I suggest, to "manage the flow of information" to the extent Mr. Cosburn envisions. I suspect his view includes his understanding of the duties of document production (paras. 34 and 35, above). Facts are like weeds in a sidewalk: they have a way of emerging despite one's best efforts. I doubt that Mr. Cosburn did a thorough and complete review of the facts, documents, and circumstances in this case. Had he done so he could have properly advised and prepared the Blatzes and avoided the embarrassment of which he complains.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post-discovery note Mr. Cosburn proceeded to discuss, in fairly general terms, the duty on a plaintiff "to prove their losses". I would have assumed that, by the time his client was being examined, this aspect of the case would have been thoroughly examined by counsel and discussed with the client. I do not think this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Finally, as always, Mr. Cosburn closed with more discussion of the cost of litigation (if the point had not, by now, sunk in with the Blatzes) and advised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remain of the view, as earlier advised, that there is merit to your sitting back a bit with respect to the claim. You may be better served by waiting for CNRL to come to you as a result of its requirements to access its well, in terms of cost to you and leverage.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"leverage" is suspect at best: see par. 6,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examinations were substantially complete, I gather, in the early spring of 2009 and Mr. Cosburn sent a note June 5 advising that he would be examining the transcripts "... in the next couple of weeks". He was concerned about questions Mr. Proudfoot objected to on the basis of privilege, and advised the Blatzes that "Those issues will need to be resolved before we can go further" and that he would decide if an application was necessary "... before the action is set for trial". Again, no trial date had been set, and again Mr. Cosburn demonstrates a curious linearity in litigation wherein it is not possible to set a trial date until discoveries are totally complete. These seem more to me to be convenient reasons for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setting a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cannot see that anything was done over that summer, but on August 17th Mr. Cosburn was still talking to the Blatzes about CNRL's claimed privilege. Once again, Mr. Cosburn offers the "either-or" approach: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two approaches that can be taken here -- one is to ignore the apparent defaults on the part of CNRL with respect to the production requirements of the discovery process and simply set the matter for trial and proceed. The other is to pursue the discover answer/production issues by way of motion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 difficult call. On balance I lean towards making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you wish to proceed at this point in either respect I am going to advise you to instruct my (sic) to retain specific litigation counsel ... capable court counsel who does a significant amount of work like this -- taking matters to court for clients who are represented, up to the stage of required court attendances, by other lawyers. The practise of law has become very specialized, and his firm's activities are specifically focused on the court processes. The focus of this office is specifically on the property law issues involved in a file like yours. In my opinion you are better served, now that the property law issues have been considered and assessed, asking Mr. Tachell to become involved ... </w:t>
      </w:r>
      <w:r>
        <w:rPr>
          <w:rFonts w:ascii="arial" w:eastAsia="arial" w:hAnsi="arial" w:cs="arial"/>
          <w:i/>
          <w:color w:val="000000"/>
          <w:sz w:val="20"/>
          <w:lang w:val="en-US" w:eastAsia="en-US" w:bidi="ar-SA"/>
        </w:rPr>
        <w:t>The other factor that may be in play here is that because mine is not a practice specifically oriented towards trial or motion matters</w:t>
      </w:r>
      <w:r>
        <w:rPr>
          <w:rFonts w:ascii="arial" w:eastAsia="arial" w:hAnsi="arial" w:cs="arial"/>
          <w:color w:val="000000"/>
          <w:sz w:val="20"/>
          <w:lang w:val="en-US" w:eastAsia="en-US" w:bidi="ar-SA"/>
        </w:rPr>
        <w:t xml:space="preserve"> there may well be less concern on the part of CNRL with respect to that aspect of the file than there should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Blatz's response, a week later, was to request a letter from Mr. Tatchell confirming his agreement with Mr. Cosburn on "... the statutory right of ways (sic) being invalid." She also said "We think the matter should be set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Cosburn's reply was fascinating in the larger context of this entire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remind you that it makes no difference to your claim for damages and costs resulting from the weed infestation if the srw's (sic) are valid or not. You can review the statement of claim and see the alternative pleadings -- nuisance if the srw's are valid, trespass if they are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then declined to ask Mr. Tatchell his opinion on the SRWs: "It would cost you some money for no useful purpose that I can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Blatzes' reply, two days later, was, as usual clear and emphatic: "The bottom line is -- do what is necessary with Mr. Tatchell and Mr. Proudfoot to set it for trial." No trial date was set after that instruction.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Rather than set a trial date, Mr. Cosburn on September 11th 2009 sent another e-mail to the Blatzes musing about the discovery questions still unanswered, the cost of the proceedings to date, CNRL's recalcitrance, and the advisability of having new counsel. A surprising development did occur, however: CNRL's counsel told Mr. Cosburn that CNRL wished to retain an expert who would, naturally, have to visit the wellsite. Mr. Cosburn's responded by requesting of Mr. Proudfoot the proposed expert's CV so Mr. Cosburn "... could determine if he had sufficient credentials to be able to give expert testimony ... and his degree of separation or objectivity from CNRL and these proceedings". Since there was no indication that the expert was to be jointly instructed, it seems a curious response. In any event and, in my view, inevitably it occasioned more delay and more waiting: "I'll be back to you when I hear further from Proudfoot." A month later, not surprisingly, he advised the Blatzes "I haven't heard anything from Mr. Proudfoot. I suggest we leave the matter until the end of the month, to allow time for Dr. Wikeem</w:t>
      </w:r>
      <w:bookmarkStart w:id="330" w:name="Backward_fnref_fnr-16"/>
      <w:hyperlink w:anchor="Forward_fnref_fnr-16" w:history="1">
        <w:r>
          <w:rPr>
            <w:rFonts w:ascii="arial" w:eastAsia="arial" w:hAnsi="arial" w:cs="arial"/>
            <w:b/>
            <w:color w:val="BE161D"/>
            <w:sz w:val="20"/>
            <w:shd w:val="clear" w:color="auto" w:fill="FFFFFF"/>
            <w:vertAlign w:val="superscript"/>
            <w:lang w:val="en-US" w:eastAsia="en-US" w:bidi="ar-SA"/>
          </w:rPr>
          <w:t>16</w:t>
        </w:r>
      </w:hyperlink>
      <w:bookmarkEnd w:id="330"/>
      <w:r>
        <w:rPr>
          <w:rFonts w:ascii="arial" w:eastAsia="arial" w:hAnsi="arial" w:cs="arial"/>
          <w:color w:val="000000"/>
          <w:sz w:val="20"/>
          <w:lang w:val="en-US" w:eastAsia="en-US" w:bidi="ar-SA"/>
        </w:rPr>
        <w:t xml:space="preserve"> to report to Proudfoot ... If nothing is heard by then I will contact Proudfoot to get a feel for the status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 little over another month passed, and, again, there was more desultory talk between counsel. No expert report had been received by CNRL, apparently, and, again, Mr. Cosburn delegated, essentially, carriage of the matter to his clients: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there is a decision to be made by the Plaintiffs -- whether to go ahead at this point and refer the matter to (trial counsel), with a view to pursuing the discovery issues...and setting the matter for trial or to wait for CNRL to initiate "discussions" ... It think it is simply a question of whether or not you wish to take further proceedings, and incur the cost of doing so, at this stage. If there are to be settlement discussions taking a firm stand will be helpful, but that in my view can be done now, or during the course of negotiations if any offer made by CNRL is not satisfactory. Let me know what you wish to do in this respect ... Waiting for any offer that may appear, and negotiating against the alternative of pursuing the discovery issues and setting for trial requires patience at this stage, but minimizes your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Frankly, this is mystifying. The clients had systematically and repeatedly instructed counsel to set a trial date and push the matter. Some 33 months prior to the 'expert e-mail' (par. 51 above) they had given him clear instructions to retain his own expert if negotiations were not successful. Negotiations were not successful; indeed, there </w:t>
      </w:r>
      <w:r>
        <w:rPr>
          <w:rFonts w:ascii="arial" w:eastAsia="arial" w:hAnsi="arial" w:cs="arial"/>
          <w:i/>
          <w:color w:val="000000"/>
          <w:sz w:val="20"/>
          <w:lang w:val="en-US" w:eastAsia="en-US" w:bidi="ar-SA"/>
        </w:rPr>
        <w:t>were</w:t>
      </w:r>
      <w:r>
        <w:rPr>
          <w:rFonts w:ascii="arial" w:eastAsia="arial" w:hAnsi="arial" w:cs="arial"/>
          <w:color w:val="000000"/>
          <w:sz w:val="20"/>
          <w:lang w:val="en-US" w:eastAsia="en-US" w:bidi="ar-SA"/>
        </w:rPr>
        <w:t xml:space="preserve"> no negotiations. But Mr. Cosburn seemed content to allow the defendant to gather the only expert evidence and to allow the defendant, basically, to control the speed (surely an ironic word in this context) of the litigation. Despite Mr. Cosburn's constant refrains re: the cost and expense to the Blatzes, there is no evidence, either vive voce in the hearing or in the e-mail and correspondence record, that the Blatzes ever held back or instructed hesitation on Mr. Cosburn's part owing to financial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Broadly stated, it is the function of clients, having received advice and counsel from their lawyer, to instruct the lawyer </w:t>
      </w:r>
      <w:r>
        <w:rPr>
          <w:rFonts w:ascii="arial" w:eastAsia="arial" w:hAnsi="arial" w:cs="arial"/>
          <w:i/>
          <w:color w:val="000000"/>
          <w:sz w:val="20"/>
          <w:lang w:val="en-US" w:eastAsia="en-US" w:bidi="ar-SA"/>
        </w:rPr>
        <w:t>what</w:t>
      </w:r>
      <w:r>
        <w:rPr>
          <w:rFonts w:ascii="arial" w:eastAsia="arial" w:hAnsi="arial" w:cs="arial"/>
          <w:color w:val="000000"/>
          <w:sz w:val="20"/>
          <w:lang w:val="en-US" w:eastAsia="en-US" w:bidi="ar-SA"/>
        </w:rPr>
        <w:t xml:space="preserve"> to do. It is counsel's job to decide </w:t>
      </w:r>
      <w:r>
        <w:rPr>
          <w:rFonts w:ascii="arial" w:eastAsia="arial" w:hAnsi="arial" w:cs="arial"/>
          <w:i/>
          <w:color w:val="000000"/>
          <w:sz w:val="20"/>
          <w:lang w:val="en-US" w:eastAsia="en-US" w:bidi="ar-SA"/>
        </w:rPr>
        <w:t>how</w:t>
      </w:r>
      <w:r>
        <w:rPr>
          <w:rFonts w:ascii="arial" w:eastAsia="arial" w:hAnsi="arial" w:cs="arial"/>
          <w:color w:val="000000"/>
          <w:sz w:val="20"/>
          <w:lang w:val="en-US" w:eastAsia="en-US" w:bidi="ar-SA"/>
        </w:rPr>
        <w:t xml:space="preserve"> to do that. The Blatzes clearly held up their side of the bargain. Mr. Cosburn did not. His involvement seems almost passive. At almost every turn he seemed content to sit and wait in the expectation that, somehow, the defendant would act. Why, indeed, would the defendant, in the face of such inactivity, both in the litigation and, apparently, in the gas well's operation, do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One last example: three months later (i.e. February 18, 2010) the Blatzes asked of Mr. Cosburn "Do you think CNRL had enough time? Are they going to give us a copy of Dr. Wikeem's report?", to which he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they haven't done so. We can't force them to directly. It may be that further formal steps, in this case referring the matter to (trial counsel) ... and setting the matter for trial and motion relief with respect to the Examination for Discovery issues will be necessary to prompt any action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After discussing access to the expert's report (if any), he repeated his usual advice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can decide whether or not you wish to push the matter in time terms, which will involve professional time and costs, or continue to wait it out. CNRL may be playing a tactical game here, or may not be viewing the matter as urgent. The choice is again between spending time or money at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would have to ask at this point: why </w:t>
      </w:r>
      <w:r>
        <w:rPr>
          <w:rFonts w:ascii="arial" w:eastAsia="arial" w:hAnsi="arial" w:cs="arial"/>
          <w:i/>
          <w:color w:val="000000"/>
          <w:sz w:val="20"/>
          <w:lang w:val="en-US" w:eastAsia="en-US" w:bidi="ar-SA"/>
        </w:rPr>
        <w:t>would</w:t>
      </w:r>
      <w:r>
        <w:rPr>
          <w:rFonts w:ascii="arial" w:eastAsia="arial" w:hAnsi="arial" w:cs="arial"/>
          <w:color w:val="000000"/>
          <w:sz w:val="20"/>
          <w:lang w:val="en-US" w:eastAsia="en-US" w:bidi="ar-SA"/>
        </w:rPr>
        <w:t xml:space="preserve"> the defendant, given the carriage of the plaintiffs' case to that point, "view the matter as urgent"? In respect of the elusive expert's report, he advised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can't require production of the report. It is CNRL's property, to put forward or not prior to trial if they see fit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fact, of course, the defendant was obliged, should it wish to use the report at trial, to deliver it to the plaintiffs at least 60 days before being used in evidence</w:t>
      </w:r>
      <w:bookmarkStart w:id="331" w:name="Backward_fnref_fnr-17"/>
      <w:hyperlink w:anchor="Forward_fnref_fnr-17" w:history="1">
        <w:r>
          <w:rPr>
            <w:rFonts w:ascii="arial" w:eastAsia="arial" w:hAnsi="arial" w:cs="arial"/>
            <w:b/>
            <w:color w:val="BE161D"/>
            <w:sz w:val="20"/>
            <w:shd w:val="clear" w:color="auto" w:fill="FFFFFF"/>
            <w:vertAlign w:val="superscript"/>
            <w:lang w:val="en-US" w:eastAsia="en-US" w:bidi="ar-SA"/>
          </w:rPr>
          <w:t>17</w:t>
        </w:r>
      </w:hyperlink>
      <w:bookmarkEnd w:id="331"/>
      <w:r>
        <w:rPr>
          <w:rFonts w:ascii="arial" w:eastAsia="arial" w:hAnsi="arial" w:cs="arial"/>
          <w:color w:val="000000"/>
          <w:sz w:val="20"/>
          <w:lang w:val="en-US" w:eastAsia="en-US" w:bidi="ar-SA"/>
        </w:rPr>
        <w:t>. Moreover, Mr. Cosburn and the plaintiffs were entitled to the data, objective measurements taken, or the facts upon which the opinion is based</w:t>
      </w:r>
      <w:bookmarkStart w:id="332" w:name="Backward_fnref_fnr-18"/>
      <w:hyperlink w:anchor="Forward_fnref_fnr-18" w:history="1">
        <w:r>
          <w:rPr>
            <w:rFonts w:ascii="arial" w:eastAsia="arial" w:hAnsi="arial" w:cs="arial"/>
            <w:b/>
            <w:color w:val="BE161D"/>
            <w:sz w:val="20"/>
            <w:shd w:val="clear" w:color="auto" w:fill="FFFFFF"/>
            <w:vertAlign w:val="superscript"/>
            <w:lang w:val="en-US" w:eastAsia="en-US" w:bidi="ar-SA"/>
          </w:rPr>
          <w:t>18</w:t>
        </w:r>
      </w:hyperlink>
      <w:bookmarkEnd w:id="332"/>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To sum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 the very start the Blatzes made it clear they expected Mr. Cosburn to carry their case through to its finish, including doing the trial if necessary;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consistently, repeatedly, and emphatically instructed him to push the matter, to do what was necessary to press the defendant, and in particular to set a trial date;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paid every account and sent every retainer requested of them over a period of 38 months;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instructed Mr. Cosburn to interview the witnesses they offered (Hadland, Copes, Colwell, and Vince);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instructed Mr. Cosburn to negotiate a resolution;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negotiations were not fruitful, they instructed him to retain the experts he felt necessary to prove their case.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having assured the clients that he intended to see the matter through to completion, Mr. Cosburn made it clear after 29 months that he did not intend to take the matter to trial (or, perhaps, even to bring a chambers motion to compel discovery responses);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instead of pressing the matter Mr. Cosburn consistently recommended and, I find chose, delay and waiting;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trial date was never set nor, from what I can see, ever discussed with the defendant;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is no indication Mr. Cosburn ever interviewed the Blatzes' witnesses;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Cosburn gave clearly incorrect advice to the Blatzes regarding document production and discovery. In fact, I am not satisfied that he properly reviewed, organized, or discussed the Blatzes' documents. The frustrations that apparently arose at Mr. Blatz's examination (paras. 39-42 above) lead to this inference. Nor do I think Mr. Cosburn properly advised the Blatzes on the question of damages or prepared them for that aspect of their examination.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 see no evidence that Mr. Cosburn ever began negotiations in the sense of taking the initiative. He seemed, to the contrary, content to constantly discuss the possibility with the clients, but to wait for the defendant to make an offer which, of course, was never forthcoming.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Despite instructions to seek and retain the requisite experts (par. 23 above) Mr. Cosburn took no steps whatsoever and seemed content that any expert opinion would come from the defendant's side. There is not even evidence of preliminary enquiries or letters, e-mails, or telephone calls to potential experts.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MacInnis, for the Blatzes, argues two essential points:</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Cosburn had no reasonable cause whatsoever to resign from his retainer so that he is entitled to no fee at all or, in the alternative</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usual considerations that apply would justify, at the maximum, a fee of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agree that Mr. Cosburn had no basis for terminating the retainer, and that by late 2009 and early 2010 he was laying the groundwork for his withdrawal, all after longstanding assurances to the Blatzes of his commitment to seeing their case through to its finish. Nothing the Blatzes said, instructed, or did justified his withdrawal.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Having found that to be the case, however, the Blatzes accepted that Mr. Cosburn intended to, and was taking steps to, withdraw. If nothing else they seemed to accede to the matter being transferred to other counsel. They asked, for example, that the new counsel confirm his agreement with Mr. Cosburn's interpretation and advice regarding the SRWs. Perhaps their acceding to a file transfer was the simple result at frustration with nothing being done. Perhaps they concluded that Mr. Cosburn was not committed to fully litigating their case. But in the end they impliedly accepted that he intended to withdraw. I cannot conclude, therefore, that Mr. Cosburn's withdrawal negated any entitlement whatsoever to a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requires</w:t>
      </w:r>
      <w:bookmarkStart w:id="333" w:name="Backward_fnref_fnr-19"/>
      <w:hyperlink w:anchor="Forward_fnref_fnr-19" w:history="1">
        <w:r>
          <w:rPr>
            <w:rFonts w:ascii="arial" w:eastAsia="arial" w:hAnsi="arial" w:cs="arial"/>
            <w:b/>
            <w:color w:val="BE161D"/>
            <w:sz w:val="20"/>
            <w:shd w:val="clear" w:color="auto" w:fill="FFFFFF"/>
            <w:vertAlign w:val="superscript"/>
            <w:lang w:val="en-US" w:eastAsia="en-US" w:bidi="ar-SA"/>
          </w:rPr>
          <w:t>19</w:t>
        </w:r>
      </w:hyperlink>
      <w:bookmarkEnd w:id="333"/>
      <w:r>
        <w:rPr>
          <w:rFonts w:ascii="arial" w:eastAsia="arial" w:hAnsi="arial" w:cs="arial"/>
          <w:color w:val="000000"/>
          <w:sz w:val="20"/>
          <w:lang w:val="en-US" w:eastAsia="en-US" w:bidi="ar-SA"/>
        </w:rPr>
        <w:t xml:space="preserve"> that in fee reviews the court consider</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difficulty or novelty of the issues involved,</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skill, specialized knowledge and responsibility required of the lawyer,</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lawyer's character and standing in the profession,</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reasonably spent,</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has been an agreement that sets a fee rate that is based on an amount per unit of time spent by the lawyer, whether the rate was reasonable,</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matter to the client whose bill is being reviewed, and</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will consider each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Complexity. I cannot see that the fundamental issue presented by the Blatzes i.e. a weed infestation and CNRL's potential liability for it, was overly complex. To be sure, the status of the SRW and the jurisdiction of the MAB presented concerns, but again I cannot see that these in any way justified the delay in moving the matter forward. Within five months of his retainer Mr. Cosburn had chosen the Supreme Court as his venue, resolving any jurisdiction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Skill or specialized knowledge. I have no doubt that Mr. Cosburn has specialized knowledge, but I doubt that it had any real application in this case. His specialty seems to be gas and oil leases and surface rights, not tort litigation. There is an old cliché, that if you're a hammer everything looks like a nail. It is interesting to me that Mr. Cosburn, at the very outset and for a significant time of his total retainer, focussed on the efficacy of the SRW, rather than simply push the claim (in both trespass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the Supreme Court, yet by April 8th, 2010 he had changed his view and significantly reduced the importance of the SRWs to the Blatzes' real concern, the weed. It is clear, however, that in at least one very important respect, the discovery and disclosure of documents Mr. Cosburn's understanding of the law was sorely lacking. Discovery is such a fundamental aspect of civil litigation that it leads to the logical inference that counsel who does not understand it probably does not understand other aspects of litigation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Character and standing. Mr. Cosburn is a member of several legal associations, all of which, it seems, deal with gas and oil rights, licenses, and tenure. There is little in this that relates to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Amount involved. No clear indication of potential damages was given. In his direct evidence Mr. Cosburn said that the Blatzes in 2007 had calculated their damages to be approximately $200,000.00, but he seems to have done nothing to confirm or challenge that estimate, or to determine his own estimate of damages. He seems instead to have criticised the Blatzes for their efforts to quantify their costs or losses. Given what I heard of the tenacity and aggressive aspects of Scentless Camomile, I think that control and eradication would have been relatively expensive.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Time reasonably spent. Mr. Cosburn's recorded time was not challenged. On the other hand, much of that time did very little to advance the Blatzes' case. In fact the 38-month delay may well have </w:t>
      </w:r>
      <w:r>
        <w:rPr>
          <w:rFonts w:ascii="arial" w:eastAsia="arial" w:hAnsi="arial" w:cs="arial"/>
          <w:i/>
          <w:color w:val="000000"/>
          <w:sz w:val="20"/>
          <w:lang w:val="en-US" w:eastAsia="en-US" w:bidi="ar-SA"/>
        </w:rPr>
        <w:t>hurt</w:t>
      </w:r>
      <w:r>
        <w:rPr>
          <w:rFonts w:ascii="arial" w:eastAsia="arial" w:hAnsi="arial" w:cs="arial"/>
          <w:color w:val="000000"/>
          <w:sz w:val="20"/>
          <w:lang w:val="en-US" w:eastAsia="en-US" w:bidi="ar-SA"/>
        </w:rPr>
        <w:t xml:space="preserve"> their case. More particularly, however I have reviewed the 13 accounts before the court. They record 257 individual time entries. Very few of them actually indicate what was </w:t>
      </w:r>
      <w:r>
        <w:rPr>
          <w:rFonts w:ascii="arial" w:eastAsia="arial" w:hAnsi="arial" w:cs="arial"/>
          <w:i/>
          <w:color w:val="000000"/>
          <w:sz w:val="20"/>
          <w:lang w:val="en-US" w:eastAsia="en-US" w:bidi="ar-SA"/>
        </w:rPr>
        <w:t>done</w:t>
      </w:r>
      <w:r>
        <w:rPr>
          <w:rFonts w:ascii="arial" w:eastAsia="arial" w:hAnsi="arial" w:cs="arial"/>
          <w:color w:val="000000"/>
          <w:sz w:val="20"/>
          <w:lang w:val="en-US" w:eastAsia="en-US" w:bidi="ar-SA"/>
        </w:rPr>
        <w:t>. The vast majority are simply generic entries in the nature of "e-mail to clients ... letter to counsel ... telephone call ...". A few that actually tell how the time was spent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7, 2007: "LTO searches" (.8 hour)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22, 2007 "rev. file docs, draft opinion letter (4.6 hours)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18, 2007 "TF from lands" (.7 hour)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"land docs" (.5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January 17, 2008 "rev. client docs, List of Docs, collate ..." (6.1 hours)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February 8, 2008 "finalize collation ..." (2.1 hours)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10, 2008 "prepare for e for d, collate docs and info" (2.3 hours)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13, 2008 "rev docs" (1.9 hours)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13, 2008 "conduct e for d" (4.1 hours)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September 8, 2008 "finalize lt Proudfoot re: photos ..." (.3 hours)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"finalize spreadsheet ..." (.6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December 2, 2008 "review client docs, prep for e for d ..." (1.3 hours)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December 3, 2008 "prepare e for d docs" (.9 hours)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offer these as an exhaustive list of all the time, for example, Mr. Coburn recorded reviewing documents or preparing for examinations, but the list does incorporate most of the time described as such. It is interesting that in the 257 entries I did not see any reflecting meetings, interviews, or telephone conversations with any witnesses other than the Blatzes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Given my view of the ineffectiveness of Mr. Cosburn's time spent in the litigation process I had hoped that it might be possible to address the time recorded that seemed to be ineffective. Given the generic aspect of most time entries, I do not think that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Reasonableness of fee rate. Had the matter concerned the area in which Mr. Cosburn seems experienced, namely gas and oil licensing, tenure, surface rights and the like, his rate ($300.00 per hour) would be appropriate. It was not, in my view, appropriate to charge that rate for Supreme Court litigation, as his skills were simply not in evidence. He as much as admitted this when, despite earlier assurances to the Blatzes of his constancy, he insisted after almost 2 1/2 years that the matter be transferred to litigation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Importance to the client. There is no doubt the infestation was a serious problem to the Blatzes. The SRW/access issue was far less important in their minds, as the well was inactive. I think they were right in that. But the weed posed a real threat to their ranch and had to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Results. This is perhaps the most obvious and singular failing on Mr. Cosburn's part. I cannot see that his 38 months' representation of the Blatzes significantly advanced their case. Despite repeated instructions from them to push the matter forward, retain experts, set a trial date or the like he did none of these things. It is hard to see how, after 38 months, their position had improved in any marked way. As I say, it may have actually worsened by the delay brought on through counsel's inactivity.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have concluded from all of the above that, at most, 40 hours of Mr. Cosburn's total time might reasonably have assisted the Blatzes. His account will be allowed, therefore at $12,000.00 and the total ($52,020.00, par. 5 above) reduced accordingly together with the appropriate reduction in tax thereon.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the accounts have been reduced by more than 1/6th, the Blatzes are entitled to the costs of these proceedings</w:t>
      </w:r>
      <w:bookmarkStart w:id="334" w:name="Backward_fnref_fnr-20"/>
      <w:hyperlink w:anchor="Forward_fnref_fnr-20" w:history="1">
        <w:r>
          <w:rPr>
            <w:rFonts w:ascii="arial" w:eastAsia="arial" w:hAnsi="arial" w:cs="arial"/>
            <w:b/>
            <w:color w:val="BE161D"/>
            <w:sz w:val="20"/>
            <w:shd w:val="clear" w:color="auto" w:fill="FFFFFF"/>
            <w:vertAlign w:val="superscript"/>
            <w:lang w:val="en-US" w:eastAsia="en-US" w:bidi="ar-SA"/>
          </w:rPr>
          <w:t>20</w:t>
        </w:r>
      </w:hyperlink>
      <w:bookmarkEnd w:id="334"/>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D. BAKER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257" style="position:absolute;z-index:251891712"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335"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335"/>
      <w:r>
        <w:rPr>
          <w:rFonts w:ascii="arial" w:eastAsia="arial" w:hAnsi="arial" w:cs="arial"/>
          <w:sz w:val="20"/>
          <w:lang w:val="en-US" w:eastAsia="en-US" w:bidi="ar-SA"/>
        </w:rPr>
        <w:tab/>
      </w:r>
      <w:r>
        <w:rPr>
          <w:rFonts w:ascii="arial" w:eastAsia="arial" w:hAnsi="arial" w:cs="arial"/>
          <w:i/>
          <w:color w:val="6D6E71"/>
          <w:sz w:val="18"/>
          <w:lang w:val="en-US" w:eastAsia="en-US" w:bidi="ar-SA"/>
        </w:rPr>
        <w:t>S.B.C. 1998 c. 9</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336" w:name="Forward_fnref_fnr-2_0"/>
      <w:hyperlink w:anchor="Backward_fnref_fnr-2" w:history="1">
        <w:r>
          <w:rPr>
            <w:rFonts w:ascii="arial" w:eastAsia="arial" w:hAnsi="arial" w:cs="arial"/>
            <w:b/>
            <w:color w:val="BE161D"/>
            <w:sz w:val="18"/>
            <w:shd w:val="clear" w:color="auto" w:fill="FFFFFF"/>
            <w:lang w:val="en-US" w:eastAsia="en-US" w:bidi="ar-SA"/>
          </w:rPr>
          <w:t>2</w:t>
        </w:r>
      </w:hyperlink>
      <w:bookmarkEnd w:id="336"/>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constituted under s. 16 of the </w:t>
      </w:r>
      <w:r>
        <w:rPr>
          <w:rFonts w:ascii="arial" w:eastAsia="arial" w:hAnsi="arial" w:cs="arial"/>
          <w:i/>
          <w:color w:val="6D6E71"/>
          <w:sz w:val="18"/>
          <w:lang w:val="en-US" w:eastAsia="en-US" w:bidi="ar-SA"/>
        </w:rPr>
        <w:t>Petroleum and Natural Gas Act</w:t>
      </w:r>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R.S.B.C. 1996 ch. 361</w:t>
      </w:r>
      <w:r>
        <w:rPr>
          <w:rFonts w:ascii="arial" w:eastAsia="arial" w:hAnsi="arial" w:cs="arial"/>
          <w:color w:val="6D6E71"/>
          <w:sz w:val="18"/>
          <w:lang w:val="en-US" w:eastAsia="en-US" w:bidi="ar-SA"/>
        </w:rPr>
        <w:t>, now repealed.</w:t>
      </w:r>
    </w:p>
    <w:p>
      <w:pPr>
        <w:spacing w:before="120" w:after="20" w:line="240" w:lineRule="atLeast"/>
        <w:ind w:left="720" w:hanging="360"/>
        <w:jc w:val="both"/>
        <w:rPr>
          <w:rFonts w:ascii="arial" w:eastAsia="arial" w:hAnsi="arial" w:cs="arial"/>
          <w:sz w:val="20"/>
          <w:lang w:val="en-US" w:eastAsia="en-US" w:bidi="ar-SA"/>
        </w:rPr>
      </w:pPr>
      <w:bookmarkStart w:id="337" w:name="Forward_fnref_fnr-3_0"/>
      <w:hyperlink w:anchor="Backward_fnref_fnr-3" w:history="1">
        <w:r>
          <w:rPr>
            <w:rFonts w:ascii="arial" w:eastAsia="arial" w:hAnsi="arial" w:cs="arial"/>
            <w:b/>
            <w:color w:val="BE161D"/>
            <w:sz w:val="18"/>
            <w:shd w:val="clear" w:color="auto" w:fill="FFFFFF"/>
            <w:lang w:val="en-US" w:eastAsia="en-US" w:bidi="ar-SA"/>
          </w:rPr>
          <w:t>3</w:t>
        </w:r>
      </w:hyperlink>
      <w:bookmarkEnd w:id="337"/>
      <w:r>
        <w:rPr>
          <w:rFonts w:ascii="arial" w:eastAsia="arial" w:hAnsi="arial" w:cs="arial"/>
          <w:sz w:val="20"/>
          <w:lang w:val="en-US" w:eastAsia="en-US" w:bidi="ar-SA"/>
        </w:rPr>
        <w:tab/>
      </w:r>
      <w:r>
        <w:rPr>
          <w:rFonts w:ascii="arial" w:eastAsia="arial" w:hAnsi="arial" w:cs="arial"/>
          <w:color w:val="6D6E71"/>
          <w:sz w:val="18"/>
          <w:lang w:val="en-US" w:eastAsia="en-US" w:bidi="ar-SA"/>
        </w:rPr>
        <w:t>Cosburn/Dellow e-mail March 7, 2007 Ex. 3.</w:t>
      </w:r>
    </w:p>
    <w:p>
      <w:pPr>
        <w:spacing w:before="120" w:after="20" w:line="240" w:lineRule="atLeast"/>
        <w:ind w:left="720" w:hanging="360"/>
        <w:jc w:val="both"/>
        <w:rPr>
          <w:rFonts w:ascii="arial" w:eastAsia="arial" w:hAnsi="arial" w:cs="arial"/>
          <w:sz w:val="20"/>
          <w:lang w:val="en-US" w:eastAsia="en-US" w:bidi="ar-SA"/>
        </w:rPr>
      </w:pPr>
      <w:bookmarkStart w:id="338"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338"/>
      <w:r>
        <w:rPr>
          <w:rFonts w:ascii="arial" w:eastAsia="arial" w:hAnsi="arial" w:cs="arial"/>
          <w:sz w:val="20"/>
          <w:lang w:val="en-US" w:eastAsia="en-US" w:bidi="ar-SA"/>
        </w:rPr>
        <w:tab/>
      </w:r>
      <w:r>
        <w:rPr>
          <w:rFonts w:ascii="arial" w:eastAsia="arial" w:hAnsi="arial" w:cs="arial"/>
          <w:color w:val="6D6E71"/>
          <w:sz w:val="18"/>
          <w:lang w:val="en-US" w:eastAsia="en-US" w:bidi="ar-SA"/>
        </w:rPr>
        <w:t>Ibid.</w:t>
      </w:r>
    </w:p>
    <w:p>
      <w:pPr>
        <w:spacing w:before="120" w:after="20" w:line="240" w:lineRule="atLeast"/>
        <w:ind w:left="720" w:hanging="360"/>
        <w:jc w:val="both"/>
        <w:rPr>
          <w:rFonts w:ascii="arial" w:eastAsia="arial" w:hAnsi="arial" w:cs="arial"/>
          <w:sz w:val="20"/>
          <w:lang w:val="en-US" w:eastAsia="en-US" w:bidi="ar-SA"/>
        </w:rPr>
      </w:pPr>
      <w:bookmarkStart w:id="339"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339"/>
      <w:r>
        <w:rPr>
          <w:rFonts w:ascii="arial" w:eastAsia="arial" w:hAnsi="arial" w:cs="arial"/>
          <w:sz w:val="20"/>
          <w:lang w:val="en-US" w:eastAsia="en-US" w:bidi="ar-SA"/>
        </w:rPr>
        <w:tab/>
      </w:r>
      <w:r>
        <w:rPr>
          <w:rFonts w:ascii="arial" w:eastAsia="arial" w:hAnsi="arial" w:cs="arial"/>
          <w:color w:val="6D6E71"/>
          <w:sz w:val="18"/>
          <w:lang w:val="en-US" w:eastAsia="en-US" w:bidi="ar-SA"/>
        </w:rPr>
        <w:t>Exhibit 3, Tab 17.</w:t>
      </w:r>
    </w:p>
    <w:p>
      <w:pPr>
        <w:spacing w:before="120" w:after="20" w:line="240" w:lineRule="atLeast"/>
        <w:ind w:left="720" w:hanging="360"/>
        <w:jc w:val="both"/>
        <w:rPr>
          <w:rFonts w:ascii="arial" w:eastAsia="arial" w:hAnsi="arial" w:cs="arial"/>
          <w:sz w:val="20"/>
          <w:lang w:val="en-US" w:eastAsia="en-US" w:bidi="ar-SA"/>
        </w:rPr>
      </w:pPr>
      <w:bookmarkStart w:id="340"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340"/>
      <w:r>
        <w:rPr>
          <w:rFonts w:ascii="arial" w:eastAsia="arial" w:hAnsi="arial" w:cs="arial"/>
          <w:sz w:val="20"/>
          <w:lang w:val="en-US" w:eastAsia="en-US" w:bidi="ar-SA"/>
        </w:rPr>
        <w:tab/>
      </w:r>
      <w:r>
        <w:rPr>
          <w:rFonts w:ascii="arial" w:eastAsia="arial" w:hAnsi="arial" w:cs="arial"/>
          <w:color w:val="6D6E71"/>
          <w:sz w:val="18"/>
          <w:lang w:val="en-US" w:eastAsia="en-US" w:bidi="ar-SA"/>
        </w:rPr>
        <w:t>"I have not, for the purposes of this letter, gone through your file materials in great detail. Doing so ... would be very time consuming and expensive ... I have not reviewed the contents of the cd included ..." Par. 4.</w:t>
      </w:r>
    </w:p>
    <w:p>
      <w:pPr>
        <w:spacing w:before="120" w:after="20" w:line="240" w:lineRule="atLeast"/>
        <w:ind w:left="720" w:hanging="360"/>
        <w:jc w:val="both"/>
        <w:rPr>
          <w:rFonts w:ascii="arial" w:eastAsia="arial" w:hAnsi="arial" w:cs="arial"/>
          <w:sz w:val="20"/>
          <w:lang w:val="en-US" w:eastAsia="en-US" w:bidi="ar-SA"/>
        </w:rPr>
      </w:pPr>
      <w:bookmarkStart w:id="341"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341"/>
      <w:r>
        <w:rPr>
          <w:rFonts w:ascii="arial" w:eastAsia="arial" w:hAnsi="arial" w:cs="arial"/>
          <w:sz w:val="20"/>
          <w:lang w:val="en-US" w:eastAsia="en-US" w:bidi="ar-SA"/>
        </w:rPr>
        <w:tab/>
      </w:r>
      <w:r>
        <w:rPr>
          <w:rFonts w:ascii="arial" w:eastAsia="arial" w:hAnsi="arial" w:cs="arial"/>
          <w:color w:val="6D6E71"/>
          <w:sz w:val="18"/>
          <w:lang w:val="en-US" w:eastAsia="en-US" w:bidi="ar-SA"/>
        </w:rPr>
        <w:t>"e-Quest and Golder" par. 6 of the e-mail.</w:t>
      </w:r>
    </w:p>
    <w:p>
      <w:pPr>
        <w:spacing w:before="120" w:after="20" w:line="240" w:lineRule="atLeast"/>
        <w:ind w:left="720" w:hanging="360"/>
        <w:jc w:val="both"/>
        <w:rPr>
          <w:rFonts w:ascii="arial" w:eastAsia="arial" w:hAnsi="arial" w:cs="arial"/>
          <w:sz w:val="20"/>
          <w:lang w:val="en-US" w:eastAsia="en-US" w:bidi="ar-SA"/>
        </w:rPr>
      </w:pPr>
      <w:bookmarkStart w:id="342" w:name="Forward_fnref_fnr-8"/>
      <w:hyperlink w:anchor="Backward_fnref_fnr-8" w:history="1">
        <w:r>
          <w:rPr>
            <w:rFonts w:ascii="arial" w:eastAsia="arial" w:hAnsi="arial" w:cs="arial"/>
            <w:b/>
            <w:color w:val="BE161D"/>
            <w:sz w:val="18"/>
            <w:shd w:val="clear" w:color="auto" w:fill="FFFFFF"/>
            <w:lang w:val="en-US" w:eastAsia="en-US" w:bidi="ar-SA"/>
          </w:rPr>
          <w:t>8</w:t>
        </w:r>
      </w:hyperlink>
      <w:bookmarkEnd w:id="342"/>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In fact, that is </w:t>
      </w:r>
      <w:r>
        <w:rPr>
          <w:rFonts w:ascii="arial" w:eastAsia="arial" w:hAnsi="arial" w:cs="arial"/>
          <w:i/>
          <w:color w:val="6D6E71"/>
          <w:sz w:val="18"/>
          <w:lang w:val="en-US" w:eastAsia="en-US" w:bidi="ar-SA"/>
        </w:rPr>
        <w:t>exactly</w:t>
      </w:r>
      <w:r>
        <w:rPr>
          <w:rFonts w:ascii="arial" w:eastAsia="arial" w:hAnsi="arial" w:cs="arial"/>
          <w:color w:val="6D6E71"/>
          <w:sz w:val="18"/>
          <w:lang w:val="en-US" w:eastAsia="en-US" w:bidi="ar-SA"/>
        </w:rPr>
        <w:t xml:space="preserve"> what Mr. Cosburn said in an e-mail to the Blatzes August 27, 2009, and how he described the case when he first consulted Mr. Tatchell as trial counsel: "... essentially a nuisance action for damages resulting from the spread of a noxious weed from a CNRL wellsite onto the Plaintiffs' bison grazing lands." No reference to SRWs, title, or surface leases. By April 8, 2010 Mr. Cosburn is far more blunt: "I have advised you with respect to the srw validity issue, and its irrelevance to your claims for damages arising out of the weed infestation ... from the beginning of the file ...". With respect, his initial opinion and approach would not reflect that.</w:t>
      </w:r>
    </w:p>
    <w:p>
      <w:pPr>
        <w:spacing w:before="120" w:after="20" w:line="240" w:lineRule="atLeast"/>
        <w:ind w:left="720" w:hanging="360"/>
        <w:jc w:val="both"/>
        <w:rPr>
          <w:rFonts w:ascii="arial" w:eastAsia="arial" w:hAnsi="arial" w:cs="arial"/>
          <w:sz w:val="20"/>
          <w:lang w:val="en-US" w:eastAsia="en-US" w:bidi="ar-SA"/>
        </w:rPr>
      </w:pPr>
      <w:bookmarkStart w:id="343" w:name="Forward_fnref_fnr-9"/>
      <w:hyperlink w:anchor="Backward_fnref_fnr-9" w:history="1">
        <w:r>
          <w:rPr>
            <w:rFonts w:ascii="arial" w:eastAsia="arial" w:hAnsi="arial" w:cs="arial"/>
            <w:b/>
            <w:color w:val="BE161D"/>
            <w:sz w:val="18"/>
            <w:shd w:val="clear" w:color="auto" w:fill="FFFFFF"/>
            <w:lang w:val="en-US" w:eastAsia="en-US" w:bidi="ar-SA"/>
          </w:rPr>
          <w:t>9</w:t>
        </w:r>
      </w:hyperlink>
      <w:bookmarkEnd w:id="343"/>
      <w:r>
        <w:rPr>
          <w:rFonts w:ascii="arial" w:eastAsia="arial" w:hAnsi="arial" w:cs="arial"/>
          <w:sz w:val="20"/>
          <w:lang w:val="en-US" w:eastAsia="en-US" w:bidi="ar-SA"/>
        </w:rPr>
        <w:tab/>
      </w:r>
      <w:r>
        <w:rPr>
          <w:rFonts w:ascii="arial" w:eastAsia="arial" w:hAnsi="arial" w:cs="arial"/>
          <w:color w:val="6D6E71"/>
          <w:sz w:val="18"/>
          <w:lang w:val="en-US" w:eastAsia="en-US" w:bidi="ar-SA"/>
        </w:rPr>
        <w:t>Exhibit 3 tab 40, e-mail to clients December 5, 2007.</w:t>
      </w:r>
    </w:p>
    <w:p>
      <w:pPr>
        <w:spacing w:before="120" w:after="20" w:line="240" w:lineRule="atLeast"/>
        <w:ind w:left="720" w:hanging="360"/>
        <w:jc w:val="both"/>
        <w:rPr>
          <w:rFonts w:ascii="arial" w:eastAsia="arial" w:hAnsi="arial" w:cs="arial"/>
          <w:sz w:val="20"/>
          <w:lang w:val="en-US" w:eastAsia="en-US" w:bidi="ar-SA"/>
        </w:rPr>
      </w:pPr>
      <w:bookmarkStart w:id="344" w:name="Forward_fnref_fnr-10"/>
      <w:hyperlink w:anchor="Backward_fnref_fnr-10" w:history="1">
        <w:r>
          <w:rPr>
            <w:rFonts w:ascii="arial" w:eastAsia="arial" w:hAnsi="arial" w:cs="arial"/>
            <w:b/>
            <w:color w:val="BE161D"/>
            <w:sz w:val="18"/>
            <w:shd w:val="clear" w:color="auto" w:fill="FFFFFF"/>
            <w:lang w:val="en-US" w:eastAsia="en-US" w:bidi="ar-SA"/>
          </w:rPr>
          <w:t>10</w:t>
        </w:r>
      </w:hyperlink>
      <w:bookmarkEnd w:id="344"/>
      <w:r>
        <w:rPr>
          <w:rFonts w:ascii="arial" w:eastAsia="arial" w:hAnsi="arial" w:cs="arial"/>
          <w:sz w:val="20"/>
          <w:lang w:val="en-US" w:eastAsia="en-US" w:bidi="ar-SA"/>
        </w:rPr>
        <w:tab/>
      </w:r>
      <w:hyperlink r:id="rId773" w:history="1">
        <w:r>
          <w:rPr>
            <w:rFonts w:ascii="arial" w:eastAsia="arial" w:hAnsi="arial" w:cs="arial"/>
            <w:i/>
            <w:color w:val="0077CC"/>
            <w:sz w:val="18"/>
            <w:u w:val="single"/>
            <w:shd w:val="clear" w:color="auto" w:fill="FFFFFF"/>
            <w:lang w:val="en-US" w:eastAsia="en-US" w:bidi="ar-SA"/>
          </w:rPr>
          <w:t>(1981) 34 B.C.L.R. 7</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345" w:name="Forward_fnref_fnr-11"/>
      <w:hyperlink w:anchor="Backward_fnref_fnr-11" w:history="1">
        <w:r>
          <w:rPr>
            <w:rFonts w:ascii="arial" w:eastAsia="arial" w:hAnsi="arial" w:cs="arial"/>
            <w:b/>
            <w:color w:val="BE161D"/>
            <w:sz w:val="18"/>
            <w:shd w:val="clear" w:color="auto" w:fill="FFFFFF"/>
            <w:lang w:val="en-US" w:eastAsia="en-US" w:bidi="ar-SA"/>
          </w:rPr>
          <w:t>11</w:t>
        </w:r>
      </w:hyperlink>
      <w:bookmarkEnd w:id="345"/>
      <w:r>
        <w:rPr>
          <w:rFonts w:ascii="arial" w:eastAsia="arial" w:hAnsi="arial" w:cs="arial"/>
          <w:sz w:val="20"/>
          <w:lang w:val="en-US" w:eastAsia="en-US" w:bidi="ar-SA"/>
        </w:rPr>
        <w:tab/>
      </w:r>
      <w:hyperlink r:id="rId774" w:history="1">
        <w:r>
          <w:rPr>
            <w:rFonts w:ascii="arial" w:eastAsia="arial" w:hAnsi="arial" w:cs="arial"/>
            <w:i/>
            <w:color w:val="0077CC"/>
            <w:sz w:val="18"/>
            <w:u w:val="single"/>
            <w:shd w:val="clear" w:color="auto" w:fill="FFFFFF"/>
            <w:lang w:val="en-US" w:eastAsia="en-US" w:bidi="ar-SA"/>
          </w:rPr>
          <w:t>(1978), 86 D.L.R. (3d) 671</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346" w:name="Forward_fnref_fnr-12"/>
      <w:hyperlink w:anchor="Backward_fnref_fnr-12" w:history="1">
        <w:r>
          <w:rPr>
            <w:rFonts w:ascii="arial" w:eastAsia="arial" w:hAnsi="arial" w:cs="arial"/>
            <w:b/>
            <w:color w:val="BE161D"/>
            <w:sz w:val="18"/>
            <w:shd w:val="clear" w:color="auto" w:fill="FFFFFF"/>
            <w:lang w:val="en-US" w:eastAsia="en-US" w:bidi="ar-SA"/>
          </w:rPr>
          <w:t>12</w:t>
        </w:r>
      </w:hyperlink>
      <w:bookmarkEnd w:id="346"/>
      <w:r>
        <w:rPr>
          <w:rFonts w:ascii="arial" w:eastAsia="arial" w:hAnsi="arial" w:cs="arial"/>
          <w:sz w:val="20"/>
          <w:lang w:val="en-US" w:eastAsia="en-US" w:bidi="ar-SA"/>
        </w:rPr>
        <w:tab/>
      </w:r>
      <w:r>
        <w:rPr>
          <w:rFonts w:ascii="arial" w:eastAsia="arial" w:hAnsi="arial" w:cs="arial"/>
          <w:color w:val="6D6E71"/>
          <w:sz w:val="18"/>
          <w:lang w:val="en-US" w:eastAsia="en-US" w:bidi="ar-SA"/>
        </w:rPr>
        <w:t>(1882), 11 Q.B.D. 55.</w:t>
      </w:r>
    </w:p>
    <w:p>
      <w:pPr>
        <w:spacing w:before="120" w:after="20" w:line="240" w:lineRule="atLeast"/>
        <w:ind w:left="720" w:hanging="360"/>
        <w:jc w:val="both"/>
        <w:rPr>
          <w:rFonts w:ascii="arial" w:eastAsia="arial" w:hAnsi="arial" w:cs="arial"/>
          <w:sz w:val="20"/>
          <w:lang w:val="en-US" w:eastAsia="en-US" w:bidi="ar-SA"/>
        </w:rPr>
      </w:pPr>
      <w:bookmarkStart w:id="347" w:name="Forward_fnref_fnr-13"/>
      <w:hyperlink w:anchor="Backward_fnref_fnr-13" w:history="1">
        <w:r>
          <w:rPr>
            <w:rFonts w:ascii="arial" w:eastAsia="arial" w:hAnsi="arial" w:cs="arial"/>
            <w:b/>
            <w:color w:val="BE161D"/>
            <w:sz w:val="18"/>
            <w:shd w:val="clear" w:color="auto" w:fill="FFFFFF"/>
            <w:lang w:val="en-US" w:eastAsia="en-US" w:bidi="ar-SA"/>
          </w:rPr>
          <w:t>13</w:t>
        </w:r>
      </w:hyperlink>
      <w:bookmarkEnd w:id="347"/>
      <w:r>
        <w:rPr>
          <w:rFonts w:ascii="arial" w:eastAsia="arial" w:hAnsi="arial" w:cs="arial"/>
          <w:sz w:val="20"/>
          <w:lang w:val="en-US" w:eastAsia="en-US" w:bidi="ar-SA"/>
        </w:rPr>
        <w:tab/>
      </w:r>
      <w:r>
        <w:rPr>
          <w:rFonts w:ascii="arial" w:eastAsia="arial" w:hAnsi="arial" w:cs="arial"/>
          <w:color w:val="6D6E71"/>
          <w:sz w:val="18"/>
          <w:lang w:val="en-US" w:eastAsia="en-US" w:bidi="ar-SA"/>
        </w:rPr>
        <w:t>2004 Cont. Legal Ed. Soc. of B.C. (2nd Ed.), Lyle G. Harris Q.C.</w:t>
      </w:r>
    </w:p>
    <w:p>
      <w:pPr>
        <w:spacing w:before="120" w:after="20" w:line="240" w:lineRule="atLeast"/>
        <w:ind w:left="720" w:hanging="360"/>
        <w:jc w:val="both"/>
        <w:rPr>
          <w:rFonts w:ascii="arial" w:eastAsia="arial" w:hAnsi="arial" w:cs="arial"/>
          <w:sz w:val="20"/>
          <w:lang w:val="en-US" w:eastAsia="en-US" w:bidi="ar-SA"/>
        </w:rPr>
      </w:pPr>
      <w:bookmarkStart w:id="348" w:name="Forward_fnref_fnr-14"/>
      <w:hyperlink w:anchor="Backward_fnref_fnr-14" w:history="1">
        <w:r>
          <w:rPr>
            <w:rFonts w:ascii="arial" w:eastAsia="arial" w:hAnsi="arial" w:cs="arial"/>
            <w:b/>
            <w:color w:val="BE161D"/>
            <w:sz w:val="18"/>
            <w:shd w:val="clear" w:color="auto" w:fill="FFFFFF"/>
            <w:lang w:val="en-US" w:eastAsia="en-US" w:bidi="ar-SA"/>
          </w:rPr>
          <w:t>14</w:t>
        </w:r>
      </w:hyperlink>
      <w:bookmarkEnd w:id="348"/>
      <w:r>
        <w:rPr>
          <w:rFonts w:ascii="arial" w:eastAsia="arial" w:hAnsi="arial" w:cs="arial"/>
          <w:sz w:val="20"/>
          <w:lang w:val="en-US" w:eastAsia="en-US" w:bidi="ar-SA"/>
        </w:rPr>
        <w:tab/>
      </w:r>
      <w:r>
        <w:rPr>
          <w:rFonts w:ascii="arial" w:eastAsia="arial" w:hAnsi="arial" w:cs="arial"/>
          <w:color w:val="6D6E71"/>
          <w:sz w:val="18"/>
          <w:lang w:val="en-US" w:eastAsia="en-US" w:bidi="ar-SA"/>
        </w:rPr>
        <w:t>Exhibit 5, tab B.</w:t>
      </w:r>
    </w:p>
    <w:p>
      <w:pPr>
        <w:spacing w:before="120" w:after="20" w:line="240" w:lineRule="atLeast"/>
        <w:ind w:left="720" w:hanging="360"/>
        <w:jc w:val="both"/>
        <w:rPr>
          <w:rFonts w:ascii="arial" w:eastAsia="arial" w:hAnsi="arial" w:cs="arial"/>
          <w:sz w:val="20"/>
          <w:lang w:val="en-US" w:eastAsia="en-US" w:bidi="ar-SA"/>
        </w:rPr>
      </w:pPr>
      <w:bookmarkStart w:id="349" w:name="Forward_fnref_fnr-15"/>
      <w:hyperlink w:anchor="Backward_fnref_fnr-15" w:history="1">
        <w:r>
          <w:rPr>
            <w:rFonts w:ascii="arial" w:eastAsia="arial" w:hAnsi="arial" w:cs="arial"/>
            <w:b/>
            <w:color w:val="BE161D"/>
            <w:sz w:val="18"/>
            <w:shd w:val="clear" w:color="auto" w:fill="FFFFFF"/>
            <w:lang w:val="en-US" w:eastAsia="en-US" w:bidi="ar-SA"/>
          </w:rPr>
          <w:t>15</w:t>
        </w:r>
      </w:hyperlink>
      <w:bookmarkEnd w:id="349"/>
      <w:r>
        <w:rPr>
          <w:rFonts w:ascii="arial" w:eastAsia="arial" w:hAnsi="arial" w:cs="arial"/>
          <w:sz w:val="20"/>
          <w:lang w:val="en-US" w:eastAsia="en-US" w:bidi="ar-SA"/>
        </w:rPr>
        <w:tab/>
      </w:r>
      <w:r>
        <w:rPr>
          <w:rFonts w:ascii="arial" w:eastAsia="arial" w:hAnsi="arial" w:cs="arial"/>
          <w:color w:val="6D6E71"/>
          <w:sz w:val="18"/>
          <w:lang w:val="en-US" w:eastAsia="en-US" w:bidi="ar-SA"/>
        </w:rPr>
        <w:t>Exhibit 3, tab 48.</w:t>
      </w:r>
    </w:p>
    <w:p>
      <w:pPr>
        <w:spacing w:before="120" w:after="20" w:line="240" w:lineRule="atLeast"/>
        <w:ind w:left="720" w:hanging="360"/>
        <w:jc w:val="both"/>
        <w:rPr>
          <w:rFonts w:ascii="arial" w:eastAsia="arial" w:hAnsi="arial" w:cs="arial"/>
          <w:sz w:val="20"/>
          <w:lang w:val="en-US" w:eastAsia="en-US" w:bidi="ar-SA"/>
        </w:rPr>
      </w:pPr>
      <w:bookmarkStart w:id="350" w:name="Forward_fnref_fnr-16"/>
      <w:hyperlink w:anchor="Backward_fnref_fnr-16" w:history="1">
        <w:r>
          <w:rPr>
            <w:rFonts w:ascii="arial" w:eastAsia="arial" w:hAnsi="arial" w:cs="arial"/>
            <w:b/>
            <w:color w:val="BE161D"/>
            <w:sz w:val="18"/>
            <w:shd w:val="clear" w:color="auto" w:fill="FFFFFF"/>
            <w:lang w:val="en-US" w:eastAsia="en-US" w:bidi="ar-SA"/>
          </w:rPr>
          <w:t>16</w:t>
        </w:r>
      </w:hyperlink>
      <w:bookmarkEnd w:id="350"/>
      <w:r>
        <w:rPr>
          <w:rFonts w:ascii="arial" w:eastAsia="arial" w:hAnsi="arial" w:cs="arial"/>
          <w:sz w:val="20"/>
          <w:lang w:val="en-US" w:eastAsia="en-US" w:bidi="ar-SA"/>
        </w:rPr>
        <w:tab/>
      </w:r>
      <w:r>
        <w:rPr>
          <w:rFonts w:ascii="arial" w:eastAsia="arial" w:hAnsi="arial" w:cs="arial"/>
          <w:color w:val="6D6E71"/>
          <w:sz w:val="18"/>
          <w:lang w:val="en-US" w:eastAsia="en-US" w:bidi="ar-SA"/>
        </w:rPr>
        <w:t>CNRL's proposed expert.</w:t>
      </w:r>
    </w:p>
    <w:p>
      <w:pPr>
        <w:spacing w:before="120" w:after="20" w:line="240" w:lineRule="atLeast"/>
        <w:ind w:left="720" w:hanging="360"/>
        <w:jc w:val="both"/>
        <w:rPr>
          <w:rFonts w:ascii="arial" w:eastAsia="arial" w:hAnsi="arial" w:cs="arial"/>
          <w:sz w:val="20"/>
          <w:lang w:val="en-US" w:eastAsia="en-US" w:bidi="ar-SA"/>
        </w:rPr>
      </w:pPr>
      <w:bookmarkStart w:id="351" w:name="Forward_fnref_fnr-17"/>
      <w:hyperlink w:anchor="Backward_fnref_fnr-17" w:history="1">
        <w:r>
          <w:rPr>
            <w:rFonts w:ascii="arial" w:eastAsia="arial" w:hAnsi="arial" w:cs="arial"/>
            <w:b/>
            <w:color w:val="BE161D"/>
            <w:sz w:val="18"/>
            <w:shd w:val="clear" w:color="auto" w:fill="FFFFFF"/>
            <w:lang w:val="en-US" w:eastAsia="en-US" w:bidi="ar-SA"/>
          </w:rPr>
          <w:t>17</w:t>
        </w:r>
      </w:hyperlink>
      <w:bookmarkEnd w:id="351"/>
      <w:r>
        <w:rPr>
          <w:rFonts w:ascii="arial" w:eastAsia="arial" w:hAnsi="arial" w:cs="arial"/>
          <w:sz w:val="20"/>
          <w:lang w:val="en-US" w:eastAsia="en-US" w:bidi="ar-SA"/>
        </w:rPr>
        <w:tab/>
      </w:r>
      <w:r>
        <w:rPr>
          <w:rFonts w:ascii="arial" w:eastAsia="arial" w:hAnsi="arial" w:cs="arial"/>
          <w:color w:val="6D6E71"/>
          <w:sz w:val="18"/>
          <w:lang w:val="en-US" w:eastAsia="en-US" w:bidi="ar-SA"/>
        </w:rPr>
        <w:t>Rule 40A(2) Rules of Court (</w:t>
      </w:r>
      <w:r>
        <w:rPr>
          <w:rFonts w:ascii="arial" w:eastAsia="arial" w:hAnsi="arial" w:cs="arial"/>
          <w:i/>
          <w:color w:val="6D6E71"/>
          <w:sz w:val="18"/>
          <w:lang w:val="en-US" w:eastAsia="en-US" w:bidi="ar-SA"/>
        </w:rPr>
        <w:t>B.C. Reg. 221/90</w:t>
      </w:r>
      <w:r>
        <w:rPr>
          <w:rFonts w:ascii="arial" w:eastAsia="arial" w:hAnsi="arial" w:cs="arial"/>
          <w:color w:val="6D6E71"/>
          <w:sz w:val="18"/>
          <w:lang w:val="en-US" w:eastAsia="en-US" w:bidi="ar-SA"/>
        </w:rPr>
        <w:t>) as applying at the time.</w:t>
      </w:r>
    </w:p>
    <w:p>
      <w:pPr>
        <w:spacing w:before="120" w:after="20" w:line="240" w:lineRule="atLeast"/>
        <w:ind w:left="720" w:hanging="360"/>
        <w:jc w:val="both"/>
        <w:rPr>
          <w:rFonts w:ascii="arial" w:eastAsia="arial" w:hAnsi="arial" w:cs="arial"/>
          <w:sz w:val="20"/>
          <w:lang w:val="en-US" w:eastAsia="en-US" w:bidi="ar-SA"/>
        </w:rPr>
      </w:pPr>
      <w:bookmarkStart w:id="352" w:name="Forward_fnref_fnr-18"/>
      <w:hyperlink w:anchor="Backward_fnref_fnr-18" w:history="1">
        <w:r>
          <w:rPr>
            <w:rFonts w:ascii="arial" w:eastAsia="arial" w:hAnsi="arial" w:cs="arial"/>
            <w:b/>
            <w:color w:val="BE161D"/>
            <w:sz w:val="18"/>
            <w:shd w:val="clear" w:color="auto" w:fill="FFFFFF"/>
            <w:lang w:val="en-US" w:eastAsia="en-US" w:bidi="ar-SA"/>
          </w:rPr>
          <w:t>18</w:t>
        </w:r>
      </w:hyperlink>
      <w:bookmarkEnd w:id="352"/>
      <w:r>
        <w:rPr>
          <w:rFonts w:ascii="arial" w:eastAsia="arial" w:hAnsi="arial" w:cs="arial"/>
          <w:sz w:val="20"/>
          <w:lang w:val="en-US" w:eastAsia="en-US" w:bidi="ar-SA"/>
        </w:rPr>
        <w:tab/>
      </w:r>
      <w:r>
        <w:rPr>
          <w:rFonts w:ascii="arial" w:eastAsia="arial" w:hAnsi="arial" w:cs="arial"/>
          <w:b/>
          <w:i/>
          <w:color w:val="6D6E71"/>
          <w:sz w:val="18"/>
          <w:lang w:val="en-US" w:eastAsia="en-US" w:bidi="ar-SA"/>
        </w:rPr>
        <w:t>Milne v. Dorais</w:t>
      </w:r>
      <w:r>
        <w:rPr>
          <w:rFonts w:ascii="arial" w:eastAsia="arial" w:hAnsi="arial" w:cs="arial"/>
          <w:color w:val="6D6E71"/>
          <w:sz w:val="18"/>
          <w:lang w:val="en-US" w:eastAsia="en-US" w:bidi="ar-SA"/>
        </w:rPr>
        <w:t xml:space="preserve">, </w:t>
      </w:r>
      <w:hyperlink r:id="rId775" w:history="1">
        <w:r>
          <w:rPr>
            <w:rFonts w:ascii="arial" w:eastAsia="arial" w:hAnsi="arial" w:cs="arial"/>
            <w:i/>
            <w:color w:val="0077CC"/>
            <w:sz w:val="18"/>
            <w:u w:val="single"/>
            <w:shd w:val="clear" w:color="auto" w:fill="FFFFFF"/>
            <w:lang w:val="en-US" w:eastAsia="en-US" w:bidi="ar-SA"/>
          </w:rPr>
          <w:t>[1999] B.C.J. No. 913</w:t>
        </w:r>
      </w:hyperlink>
      <w:r>
        <w:rPr>
          <w:rFonts w:ascii="arial" w:eastAsia="arial" w:hAnsi="arial" w:cs="arial"/>
          <w:color w:val="6D6E71"/>
          <w:sz w:val="18"/>
          <w:lang w:val="en-US" w:eastAsia="en-US" w:bidi="ar-SA"/>
        </w:rPr>
        <w:t>, (1999) Civ. L.D. 292.</w:t>
      </w:r>
    </w:p>
    <w:p>
      <w:pPr>
        <w:spacing w:before="120" w:after="20" w:line="240" w:lineRule="atLeast"/>
        <w:ind w:left="720" w:hanging="360"/>
        <w:jc w:val="both"/>
        <w:rPr>
          <w:rFonts w:ascii="arial" w:eastAsia="arial" w:hAnsi="arial" w:cs="arial"/>
          <w:sz w:val="20"/>
          <w:lang w:val="en-US" w:eastAsia="en-US" w:bidi="ar-SA"/>
        </w:rPr>
      </w:pPr>
      <w:bookmarkStart w:id="353" w:name="Forward_fnref_fnr-19"/>
      <w:hyperlink w:anchor="Backward_fnref_fnr-19" w:history="1">
        <w:r>
          <w:rPr>
            <w:rFonts w:ascii="arial" w:eastAsia="arial" w:hAnsi="arial" w:cs="arial"/>
            <w:b/>
            <w:color w:val="BE161D"/>
            <w:sz w:val="18"/>
            <w:shd w:val="clear" w:color="auto" w:fill="FFFFFF"/>
            <w:lang w:val="en-US" w:eastAsia="en-US" w:bidi="ar-SA"/>
          </w:rPr>
          <w:t>19</w:t>
        </w:r>
      </w:hyperlink>
      <w:bookmarkEnd w:id="353"/>
      <w:r>
        <w:rPr>
          <w:rFonts w:ascii="arial" w:eastAsia="arial" w:hAnsi="arial" w:cs="arial"/>
          <w:sz w:val="20"/>
          <w:lang w:val="en-US" w:eastAsia="en-US" w:bidi="ar-SA"/>
        </w:rPr>
        <w:tab/>
      </w:r>
      <w:r>
        <w:rPr>
          <w:rFonts w:ascii="arial" w:eastAsia="arial" w:hAnsi="arial" w:cs="arial"/>
          <w:color w:val="6D6E71"/>
          <w:sz w:val="18"/>
          <w:lang w:val="en-US" w:eastAsia="en-US" w:bidi="ar-SA"/>
        </w:rPr>
        <w:t>s. 71(4).</w:t>
      </w:r>
    </w:p>
    <w:p>
      <w:pPr>
        <w:spacing w:before="120" w:after="20" w:line="240" w:lineRule="atLeast"/>
        <w:ind w:left="720" w:hanging="360"/>
        <w:jc w:val="both"/>
        <w:rPr>
          <w:rFonts w:ascii="arial" w:eastAsia="arial" w:hAnsi="arial" w:cs="arial"/>
          <w:sz w:val="20"/>
          <w:lang w:val="en-US" w:eastAsia="en-US" w:bidi="ar-SA"/>
        </w:rPr>
      </w:pPr>
      <w:bookmarkStart w:id="354" w:name="Forward_fnref_fnr-20"/>
      <w:hyperlink w:anchor="Backward_fnref_fnr-20" w:history="1">
        <w:r>
          <w:rPr>
            <w:rFonts w:ascii="arial" w:eastAsia="arial" w:hAnsi="arial" w:cs="arial"/>
            <w:b/>
            <w:color w:val="BE161D"/>
            <w:sz w:val="18"/>
            <w:shd w:val="clear" w:color="auto" w:fill="FFFFFF"/>
            <w:lang w:val="en-US" w:eastAsia="en-US" w:bidi="ar-SA"/>
          </w:rPr>
          <w:t>20</w:t>
        </w:r>
      </w:hyperlink>
      <w:bookmarkEnd w:id="354"/>
      <w:r>
        <w:rPr>
          <w:rFonts w:ascii="arial" w:eastAsia="arial" w:hAnsi="arial" w:cs="arial"/>
          <w:sz w:val="20"/>
          <w:lang w:val="en-US" w:eastAsia="en-US" w:bidi="ar-SA"/>
        </w:rPr>
        <w:tab/>
      </w:r>
      <w:r>
        <w:rPr>
          <w:rFonts w:ascii="arial" w:eastAsia="arial" w:hAnsi="arial" w:cs="arial"/>
          <w:color w:val="6D6E71"/>
          <w:sz w:val="18"/>
          <w:lang w:val="en-US" w:eastAsia="en-US" w:bidi="ar-SA"/>
        </w:rPr>
        <w:t>s. 72(1)(a), Legal Profession Act.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58" style="position:absolute;z-index:25189376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Grahovac v. Hartfiel, [2015] B.C.J. No. 1494</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Great White North Bar &amp; Grill Inc. v. Tompkins, [2010] B.C.J. No. 2173</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Houghton (Litigation Guardian of) v. Zalesky, [2008] B.C.J. No. 477</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Hunter West Consulting Group Inc. v. 0748697 B.C. Ltd., [2019] B.C.J. No. 678</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Keene v. British Columbia (Ministry of Children and Family Development), [2003] B.C.J. No. 2338</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Lawson 2005 Holdings Trust v. 0772835 B.C. Ltd. (c.o.b. Brook), [2016] B.C.J. No. 2126</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Northland Road Services Ltd. v. British Columbia (Minister of Transportation and Highways), [2001] B.C.J. No. 1419</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3539 v. Ng, [2016] B.C.J. No. 2773</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Sage v. Renner, [2007] B.C.J. No. 1992</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Schray v. Jim Pattison Industries Ltd. (c.o.b. Save-On-Foods), [2010] B.C.J. No. 315</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Simon v. Piercey, [2001] B.C.J. No. 968</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Spencer v. Rozon, [2000] B.C.J. No. 893</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Spitale v. Insurance Corp. of British Columbia, [2003] B.C.J. No. 1813</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Strother v. Darc, [2017] B.C.J. No. 419</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Svangtun (Litigation guardian of) v. Pacific National Exhibition, [2018] B.C.J. No. 760</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Taylor v. Liong, [2007] B.C.J. No. 330</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 Etten v. British Columbia (Provincial Health Officer), [2007] B.C.J. No. 1415</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Wong v. Jang, [2015] B.C.J. No. 1861</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Wong v. Transamerica Life Canada, [2013] B.C.J. No. 2120</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Fochler v. Dancer-Poulin, [2007] B.C.J. No. 2862</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Park v. El Malak, [2015] B.C.J. No. 266</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Aberdeen v. Langley (Township), [2006] B.C.J. No. 3408</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Barton v. Canada (Royal Canadian Mounted Police), [2000] B.C.J. No. 2661</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Bodnarchuk v. Dearin Estate, [2002] B.C.J. No. 3096</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Cahoon v. Wendy's Restaurant of Canada Inc., [2000] B.C.J. No. 762</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Carlson v. Steeves, 2008 CHFL para. 15,528</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Harandi v. Khan, [2003] B.C.J. No. 1068</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Hart Building Supplies Ltd. v. Deloitte &amp; Touche, [2004] B.C.J. No. 49</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Lindsay v. Bank of Montreal, [2001] B.C.J. No. 1439</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Louis (Guardian ad litem of) v. Lawrence, [2002] B.C.J. No. 1698</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Lowden v. Rajendra, [2000] B.C.J. No. 1551</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Neufeld v. McCrae, [2008] B.C.J. No. 773</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Patterson v. Puri, [2008] B.C.J. No. 506</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Robinson v. Taves, [2002] B.C.J. No. 2384</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Russell v. Wang, [2000] B.C.J. No. 686</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Schweighardt v. Palamara, [2003] B.C.J. No. 1761</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Simon (Guardian ad litem of) v. Portsmith, [2005] B.C.J. No. 1948</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Singh (Guardian ad litem of) v. Saragoca, [2004] B.C.J. No. 2126</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Speers v. Drake, [2000] B.C.J. No. 1527</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NW 3341 v. Canlan Ice Sports Corp., [2001] B.C.J. No. 2661</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Torgerson v. Bouchir, [2003] B.C.J. No. 1789</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Turcotte v. Global Securities Corp., [2000] B.C.J. No. 1667</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Vukorep v. Bartulin, [2004] B.C.J. No. 878</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Aderichin v. Michaels (c.o.b. Michaels Wealth Management Group), [2011] B.C.J. No. 1552</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Apex Mountain Resort Ltd. v. British Columbia, [2000] B.C.J. No. 1099</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Atco Lumber Ltd. v. Leech, [2006] B.C.J. No. 707</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Barreiro v. Arana, [2002] B.C.J. No. 363</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Beazer East, Inc. v. British Columbia (Environmental Appeal Board), [2000] B.C.J. No. 2358</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Blanco v. Whistler (Resort Municipality), [2018] B.C.J. No. 7092</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Blatz v. Cosburn and Associates, [2011] B.C.J. No. 950</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7"/>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0"/>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18."/>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47."/>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6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6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6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6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1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4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4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4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5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5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5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7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2"/>
      <w:numFmt w:val="low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3"/>
      <w:numFmt w:val="low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low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2"/>
      <w:numFmt w:val="low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3"/>
      <w:numFmt w:val="low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4"/>
      <w:numFmt w:val="low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low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2"/>
      <w:numFmt w:val="low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3"/>
      <w:numFmt w:val="low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8B92F1"/>
    <w:multiLevelType w:val="multilevel"/>
    <w:tmpl w:val="00000001"/>
    <w:lvl w:ilvl="0">
      <w:start w:val="1"/>
      <w:numFmt w:val="decimal"/>
      <w:lvlText w:val="(2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48F752C"/>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59DB162"/>
    <w:multiLevelType w:val="multilevel"/>
    <w:tmpl w:val="00000001"/>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9052AE8"/>
    <w:multiLevelType w:val="multilevel"/>
    <w:tmpl w:val="00000001"/>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926805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E47579B"/>
    <w:multiLevelType w:val="multilevel"/>
    <w:tmpl w:val="00000001"/>
    <w:lvl w:ilvl="0">
      <w:start w:val="1"/>
      <w:numFmt w:val="decimal"/>
      <w:lvlText w:val="8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170C5A57"/>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18A4B2B6"/>
    <w:multiLevelType w:val="multilevel"/>
    <w:tmpl w:val="00000001"/>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23A2DBB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2523A5B0"/>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27E020F8"/>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29716515"/>
    <w:multiLevelType w:val="multilevel"/>
    <w:tmpl w:val="00000001"/>
    <w:lvl w:ilvl="0">
      <w:start w:val="1"/>
      <w:numFmt w:val="decimal"/>
      <w:lvlText w:val="4.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2D1E34EC"/>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303A99B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32F66612"/>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33D2EAAA"/>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3567000C"/>
    <w:multiLevelType w:val="multilevel"/>
    <w:tmpl w:val="00000001"/>
    <w:lvl w:ilvl="0">
      <w:start w:val="1"/>
      <w:numFmt w:val="decimal"/>
      <w:lvlText w:val="39(27)"/>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3AEF81B6"/>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3EAD166A"/>
    <w:multiLevelType w:val="multilevel"/>
    <w:tmpl w:val="00000001"/>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3EFD6E9F"/>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3F80FA8F"/>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44863767"/>
    <w:multiLevelType w:val="multilevel"/>
    <w:tmpl w:val="00000001"/>
    <w:lvl w:ilvl="0">
      <w:start w:val="1"/>
      <w:numFmt w:val="decimal"/>
      <w:lvlText w:val="86(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4857AC6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49903DDF"/>
    <w:multiLevelType w:val="multilevel"/>
    <w:tmpl w:val="00000001"/>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4A5E6F1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504C2217"/>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513C7319"/>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52EB9DBF"/>
    <w:multiLevelType w:val="multilevel"/>
    <w:tmpl w:val="00000001"/>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63C56CB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6A2267B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759FADBF"/>
    <w:multiLevelType w:val="multilevel"/>
    <w:tmpl w:val="00000001"/>
    <w:lvl w:ilvl="0">
      <w:start w:val="1"/>
      <w:numFmt w:val="decimal"/>
      <w:lvlText w:val="7(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782E4185"/>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7A062B4E"/>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7D3A9DF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81"/>
  </w:num>
  <w:num w:numId="23">
    <w:abstractNumId w:val="83"/>
  </w:num>
  <w:num w:numId="24">
    <w:abstractNumId w:val="65"/>
  </w:num>
  <w:num w:numId="25">
    <w:abstractNumId w:val="21"/>
  </w:num>
  <w:num w:numId="26">
    <w:abstractNumId w:val="22"/>
  </w:num>
  <w:num w:numId="27">
    <w:abstractNumId w:val="23"/>
  </w:num>
  <w:num w:numId="28">
    <w:abstractNumId w:val="24"/>
  </w:num>
  <w:num w:numId="29">
    <w:abstractNumId w:val="25"/>
  </w:num>
  <w:num w:numId="30">
    <w:abstractNumId w:val="26"/>
  </w:num>
  <w:num w:numId="31">
    <w:abstractNumId w:val="27"/>
  </w:num>
  <w:num w:numId="32">
    <w:abstractNumId w:val="28"/>
  </w:num>
  <w:num w:numId="33">
    <w:abstractNumId w:val="29"/>
  </w:num>
  <w:num w:numId="34">
    <w:abstractNumId w:val="30"/>
  </w:num>
  <w:num w:numId="35">
    <w:abstractNumId w:val="31"/>
  </w:num>
  <w:num w:numId="36">
    <w:abstractNumId w:val="32"/>
  </w:num>
  <w:num w:numId="37">
    <w:abstractNumId w:val="33"/>
  </w:num>
  <w:num w:numId="38">
    <w:abstractNumId w:val="85"/>
  </w:num>
  <w:num w:numId="39">
    <w:abstractNumId w:val="34"/>
  </w:num>
  <w:num w:numId="40">
    <w:abstractNumId w:val="35"/>
  </w:num>
  <w:num w:numId="41">
    <w:abstractNumId w:val="36"/>
  </w:num>
  <w:num w:numId="42">
    <w:abstractNumId w:val="37"/>
  </w:num>
  <w:num w:numId="43">
    <w:abstractNumId w:val="38"/>
  </w:num>
  <w:num w:numId="44">
    <w:abstractNumId w:val="39"/>
  </w:num>
  <w:num w:numId="45">
    <w:abstractNumId w:val="40"/>
  </w:num>
  <w:num w:numId="46">
    <w:abstractNumId w:val="41"/>
  </w:num>
  <w:num w:numId="47">
    <w:abstractNumId w:val="42"/>
  </w:num>
  <w:num w:numId="48">
    <w:abstractNumId w:val="43"/>
  </w:num>
  <w:num w:numId="49">
    <w:abstractNumId w:val="44"/>
  </w:num>
  <w:num w:numId="50">
    <w:abstractNumId w:val="45"/>
  </w:num>
  <w:num w:numId="51">
    <w:abstractNumId w:val="46"/>
  </w:num>
  <w:num w:numId="52">
    <w:abstractNumId w:val="47"/>
  </w:num>
  <w:num w:numId="53">
    <w:abstractNumId w:val="48"/>
  </w:num>
  <w:num w:numId="54">
    <w:abstractNumId w:val="49"/>
  </w:num>
  <w:num w:numId="55">
    <w:abstractNumId w:val="50"/>
  </w:num>
  <w:num w:numId="56">
    <w:abstractNumId w:val="51"/>
  </w:num>
  <w:num w:numId="57">
    <w:abstractNumId w:val="68"/>
  </w:num>
  <w:num w:numId="58">
    <w:abstractNumId w:val="63"/>
  </w:num>
  <w:num w:numId="59">
    <w:abstractNumId w:val="86"/>
  </w:num>
  <w:num w:numId="60">
    <w:abstractNumId w:val="77"/>
  </w:num>
  <w:num w:numId="61">
    <w:abstractNumId w:val="74"/>
  </w:num>
  <w:num w:numId="62">
    <w:abstractNumId w:val="88"/>
  </w:num>
  <w:num w:numId="63">
    <w:abstractNumId w:val="69"/>
  </w:num>
  <w:num w:numId="64">
    <w:abstractNumId w:val="93"/>
  </w:num>
  <w:num w:numId="65">
    <w:abstractNumId w:val="73"/>
  </w:num>
  <w:num w:numId="66">
    <w:abstractNumId w:val="95"/>
  </w:num>
  <w:num w:numId="67">
    <w:abstractNumId w:val="71"/>
  </w:num>
  <w:num w:numId="68">
    <w:abstractNumId w:val="72"/>
  </w:num>
  <w:num w:numId="69">
    <w:abstractNumId w:val="78"/>
  </w:num>
  <w:num w:numId="70">
    <w:abstractNumId w:val="91"/>
  </w:num>
  <w:num w:numId="71">
    <w:abstractNumId w:val="94"/>
  </w:num>
  <w:num w:numId="72">
    <w:abstractNumId w:val="96"/>
  </w:num>
  <w:num w:numId="73">
    <w:abstractNumId w:val="84"/>
  </w:num>
  <w:num w:numId="74">
    <w:abstractNumId w:val="87"/>
  </w:num>
  <w:num w:numId="75">
    <w:abstractNumId w:val="92"/>
  </w:num>
  <w:num w:numId="76">
    <w:abstractNumId w:val="76"/>
  </w:num>
  <w:num w:numId="77">
    <w:abstractNumId w:val="66"/>
  </w:num>
  <w:num w:numId="78">
    <w:abstractNumId w:val="90"/>
  </w:num>
  <w:num w:numId="79">
    <w:abstractNumId w:val="79"/>
  </w:num>
  <w:num w:numId="80">
    <w:abstractNumId w:val="80"/>
  </w:num>
  <w:num w:numId="81">
    <w:abstractNumId w:val="70"/>
  </w:num>
  <w:num w:numId="82">
    <w:abstractNumId w:val="82"/>
  </w:num>
  <w:num w:numId="83">
    <w:abstractNumId w:val="75"/>
  </w:num>
  <w:num w:numId="84">
    <w:abstractNumId w:val="89"/>
  </w:num>
  <w:num w:numId="85">
    <w:abstractNumId w:val="64"/>
  </w:num>
  <w:num w:numId="86">
    <w:abstractNumId w:val="52"/>
  </w:num>
  <w:num w:numId="87">
    <w:abstractNumId w:val="53"/>
  </w:num>
  <w:num w:numId="88">
    <w:abstractNumId w:val="54"/>
  </w:num>
  <w:num w:numId="89">
    <w:abstractNumId w:val="55"/>
  </w:num>
  <w:num w:numId="90">
    <w:abstractNumId w:val="56"/>
  </w:num>
  <w:num w:numId="91">
    <w:abstractNumId w:val="57"/>
  </w:num>
  <w:num w:numId="92">
    <w:abstractNumId w:val="58"/>
  </w:num>
  <w:num w:numId="93">
    <w:abstractNumId w:val="59"/>
  </w:num>
  <w:num w:numId="94">
    <w:abstractNumId w:val="60"/>
  </w:num>
  <w:num w:numId="95">
    <w:abstractNumId w:val="61"/>
  </w:num>
  <w:num w:numId="96">
    <w:abstractNumId w:val="62"/>
  </w:num>
  <w:num w:numId="97">
    <w:abstractNumId w:val="6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GJ2-WXC1-F4GK-M3PF-00000-00&amp;context=" TargetMode="External" /><Relationship Id="rId100" Type="http://schemas.openxmlformats.org/officeDocument/2006/relationships/header" Target="header18.xml" /><Relationship Id="rId101" Type="http://schemas.openxmlformats.org/officeDocument/2006/relationships/footer" Target="footer18.xml" /><Relationship Id="rId102" Type="http://schemas.openxmlformats.org/officeDocument/2006/relationships/hyperlink" Target="https://advance.lexis.com/api/document?collection=cases-ca&amp;id=urn:contentItem:5M0F-RTK1-JBT7-X1XJ-00000-00&amp;context=" TargetMode="External" /><Relationship Id="rId103" Type="http://schemas.openxmlformats.org/officeDocument/2006/relationships/hyperlink" Target="https://advance.lexis.com/api/document?collection=cases-ca&amp;id=urn:contentItem:5F7T-S7H1-FCSB-S3D0-00000-00&amp;context=" TargetMode="External" /><Relationship Id="rId104" Type="http://schemas.openxmlformats.org/officeDocument/2006/relationships/hyperlink" Target="https://advance.lexis.com/api/document?collection=cases-ca&amp;id=urn:contentItem:5F7T-S7H1-JFKM-62BT-00000-00&amp;context=" TargetMode="External" /><Relationship Id="rId105" Type="http://schemas.openxmlformats.org/officeDocument/2006/relationships/hyperlink" Target="https://advance.lexis.com/api/document?collection=cases-ca&amp;id=urn:contentItem:5F7T-S7H1-K054-G2G3-00000-00&amp;context=" TargetMode="External" /><Relationship Id="rId106" Type="http://schemas.openxmlformats.org/officeDocument/2006/relationships/hyperlink" Target="https://advance.lexis.com/api/document?collection=cases-ca&amp;id=urn:contentItem:5F7T-S7G1-JPP5-21PN-00000-00&amp;context=" TargetMode="External" /><Relationship Id="rId107" Type="http://schemas.openxmlformats.org/officeDocument/2006/relationships/hyperlink" Target="https://advance.lexis.com/api/document?collection=cases-ca&amp;id=urn:contentItem:5F7T-S7M1-JCRC-B1RP-00000-00&amp;context=" TargetMode="External" /><Relationship Id="rId108" Type="http://schemas.openxmlformats.org/officeDocument/2006/relationships/hyperlink" Target="https://advance.lexis.com/api/document?collection=cases-ca&amp;id=urn:contentItem:5F7T-S7P1-F2TK-2364-00000-00&amp;context=" TargetMode="External" /><Relationship Id="rId109" Type="http://schemas.openxmlformats.org/officeDocument/2006/relationships/hyperlink" Target="https://advance.lexis.com/api/document?collection=cases-ca&amp;id=urn:contentItem:5F7T-S7G1-JWR6-S1NV-00000-00&amp;context=" TargetMode="External" /><Relationship Id="rId11" Type="http://schemas.openxmlformats.org/officeDocument/2006/relationships/hyperlink" Target="https://advance.lexis.com/api/document?collection=legislation-ca&amp;id=urn:contentItem:5F41-1FM1-FCK4-G02P-00000-00&amp;context=" TargetMode="External" /><Relationship Id="rId110" Type="http://schemas.openxmlformats.org/officeDocument/2006/relationships/hyperlink" Target="https://advance.lexis.com/api/document?collection=cases-ca&amp;id=urn:contentItem:5F7T-S7N1-JGHR-M3D9-00000-00&amp;context=" TargetMode="External" /><Relationship Id="rId111" Type="http://schemas.openxmlformats.org/officeDocument/2006/relationships/hyperlink" Target="https://advance.lexis.com/api/document?collection=cases-ca&amp;id=urn:contentItem:5F8T-N3S1-JT99-24N1-00000-00&amp;context=" TargetMode="External" /><Relationship Id="rId112" Type="http://schemas.openxmlformats.org/officeDocument/2006/relationships/hyperlink" Target="https://advance.lexis.com/api/document?collection=cases-ca&amp;id=urn:contentItem:5F7V-3DG1-JJK6-S3K7-00000-00&amp;context=" TargetMode="External" /><Relationship Id="rId113" Type="http://schemas.openxmlformats.org/officeDocument/2006/relationships/hyperlink" Target="https://advance.lexis.com/api/document?collection=cases-ca&amp;id=urn:contentItem:5F7V-3DG1-JJK6-S3YV-00000-00&amp;context=" TargetMode="External" /><Relationship Id="rId114" Type="http://schemas.openxmlformats.org/officeDocument/2006/relationships/hyperlink" Target="https://advance.lexis.com/api/document?collection=cases-ca&amp;id=urn:contentItem:5H7G-7T31-F016-S1GJ-00000-00&amp;context=" TargetMode="External" /><Relationship Id="rId115" Type="http://schemas.openxmlformats.org/officeDocument/2006/relationships/hyperlink" Target="https://advance.lexis.com/api/document?collection=cases-ca&amp;id=urn:contentItem:5F7T-XPW1-F65M-62S2-00000-00&amp;context=" TargetMode="External" /><Relationship Id="rId116" Type="http://schemas.openxmlformats.org/officeDocument/2006/relationships/hyperlink" Target="https://advance.lexis.com/api/document?collection=cases-ca&amp;id=urn:contentItem:5F7T-S7P1-JCRC-B269-00000-00&amp;context=" TargetMode="External" /><Relationship Id="rId117" Type="http://schemas.openxmlformats.org/officeDocument/2006/relationships/hyperlink" Target="https://advance.lexis.com/api/document?collection=cases-ca&amp;id=urn:contentItem:5G6C-VP51-F7VM-S0MW-00000-00&amp;context=" TargetMode="External" /><Relationship Id="rId118" Type="http://schemas.openxmlformats.org/officeDocument/2006/relationships/header" Target="header19.xml" /><Relationship Id="rId119" Type="http://schemas.openxmlformats.org/officeDocument/2006/relationships/header" Target="header20.xml" /><Relationship Id="rId12" Type="http://schemas.openxmlformats.org/officeDocument/2006/relationships/hyperlink" Target="https://advance.lexis.com/api/document?collection=cases-ca&amp;id=urn:contentItem:5F7T-S7M1-F4W2-622C-00000-00&amp;context=" TargetMode="External" /><Relationship Id="rId120" Type="http://schemas.openxmlformats.org/officeDocument/2006/relationships/footer" Target="footer19.xml" /><Relationship Id="rId121" Type="http://schemas.openxmlformats.org/officeDocument/2006/relationships/footer" Target="footer20.xml" /><Relationship Id="rId122" Type="http://schemas.openxmlformats.org/officeDocument/2006/relationships/header" Target="header21.xml" /><Relationship Id="rId123" Type="http://schemas.openxmlformats.org/officeDocument/2006/relationships/footer" Target="footer21.xml" /><Relationship Id="rId124" Type="http://schemas.openxmlformats.org/officeDocument/2006/relationships/hyperlink" Target="https://advance.lexis.com/api/document?collection=cases-ca&amp;id=urn:contentItem:5F7T-S781-F7G6-63TC-00000-00&amp;context=" TargetMode="External" /><Relationship Id="rId125" Type="http://schemas.openxmlformats.org/officeDocument/2006/relationships/hyperlink" Target="https://advance.lexis.com/api/document?collection=cases-ca&amp;id=urn:contentItem:5F7T-S711-JNS1-M0R9-00000-00&amp;context=" TargetMode="External" /><Relationship Id="rId126" Type="http://schemas.openxmlformats.org/officeDocument/2006/relationships/hyperlink" Target="https://advance.lexis.com/api/document?collection=cases-ca&amp;id=urn:contentItem:5F7T-S771-F361-M1HH-00000-00&amp;context=" TargetMode="External" /><Relationship Id="rId127" Type="http://schemas.openxmlformats.org/officeDocument/2006/relationships/header" Target="header22.xml" /><Relationship Id="rId128" Type="http://schemas.openxmlformats.org/officeDocument/2006/relationships/header" Target="header23.xml" /><Relationship Id="rId129" Type="http://schemas.openxmlformats.org/officeDocument/2006/relationships/footer" Target="footer22.xml" /><Relationship Id="rId13" Type="http://schemas.openxmlformats.org/officeDocument/2006/relationships/hyperlink" Target="https://advance.lexis.com/api/document?collection=cases-ca&amp;id=urn:contentItem:5GB3-MY31-JX3N-B2CM-00000-00&amp;context=" TargetMode="External" /><Relationship Id="rId130" Type="http://schemas.openxmlformats.org/officeDocument/2006/relationships/footer" Target="footer23.xml" /><Relationship Id="rId131" Type="http://schemas.openxmlformats.org/officeDocument/2006/relationships/header" Target="header24.xml" /><Relationship Id="rId132" Type="http://schemas.openxmlformats.org/officeDocument/2006/relationships/footer" Target="footer24.xml" /><Relationship Id="rId133" Type="http://schemas.openxmlformats.org/officeDocument/2006/relationships/hyperlink" Target="https://advance.lexis.com/api/document?collection=cases-ca&amp;id=urn:contentItem:5MNV-YV11-JGPY-X1HY-00000-00&amp;context=" TargetMode="External" /><Relationship Id="rId134" Type="http://schemas.openxmlformats.org/officeDocument/2006/relationships/hyperlink" Target="https://advance.lexis.com/api/document?collection=cases-ca&amp;id=urn:contentItem:5F7T-S7H1-JS5Y-B2YV-00000-00&amp;context=" TargetMode="External" /><Relationship Id="rId135" Type="http://schemas.openxmlformats.org/officeDocument/2006/relationships/hyperlink" Target="https://advance.lexis.com/api/document?collection=cases-ca&amp;id=urn:contentItem:5F7T-S721-F8D9-M10Y-00000-00&amp;context=" TargetMode="External" /><Relationship Id="rId136" Type="http://schemas.openxmlformats.org/officeDocument/2006/relationships/hyperlink" Target="https://advance.lexis.com/api/document?collection=cases-ca&amp;id=urn:contentItem:5F7T-S7K1-DY33-B1BJ-00000-00&amp;context=" TargetMode="External" /><Relationship Id="rId137" Type="http://schemas.openxmlformats.org/officeDocument/2006/relationships/hyperlink" Target="https://advance.lexis.com/api/document?collection=cases-ca&amp;id=urn:contentItem:5F8T-N3V1-JTGH-B1GY-00000-00&amp;context=" TargetMode="External" /><Relationship Id="rId138" Type="http://schemas.openxmlformats.org/officeDocument/2006/relationships/hyperlink" Target="https://advance.lexis.com/api/document?collection=cases-ca&amp;id=urn:contentItem:5F8P-SFX1-DY33-B27X-00000-00&amp;context=" TargetMode="External" /><Relationship Id="rId139" Type="http://schemas.openxmlformats.org/officeDocument/2006/relationships/hyperlink" Target="https://advance.lexis.com/api/document?collection=cases-ca&amp;id=urn:contentItem:5F7T-S6X1-FJDY-X1F2-00000-00&amp;context=" TargetMode="External" /><Relationship Id="rId14" Type="http://schemas.openxmlformats.org/officeDocument/2006/relationships/hyperlink" Target="https://advance.lexis.com/api/document?collection=cases-ca&amp;id=urn:contentItem:5F7T-S7C1-FGRY-B07F-00000-00&amp;context=" TargetMode="External" /><Relationship Id="rId140" Type="http://schemas.openxmlformats.org/officeDocument/2006/relationships/hyperlink" Target="https://advance.lexis.com/api/document?collection=cases-ca&amp;id=urn:contentItem:5F7T-S6V1-JTNR-M3G9-00000-00&amp;context=" TargetMode="External" /><Relationship Id="rId141" Type="http://schemas.openxmlformats.org/officeDocument/2006/relationships/header" Target="header25.xml" /><Relationship Id="rId142" Type="http://schemas.openxmlformats.org/officeDocument/2006/relationships/header" Target="header26.xml" /><Relationship Id="rId143" Type="http://schemas.openxmlformats.org/officeDocument/2006/relationships/footer" Target="footer25.xml" /><Relationship Id="rId144" Type="http://schemas.openxmlformats.org/officeDocument/2006/relationships/footer" Target="footer26.xml" /><Relationship Id="rId145" Type="http://schemas.openxmlformats.org/officeDocument/2006/relationships/header" Target="header27.xml" /><Relationship Id="rId146" Type="http://schemas.openxmlformats.org/officeDocument/2006/relationships/footer" Target="footer27.xml" /><Relationship Id="rId147" Type="http://schemas.openxmlformats.org/officeDocument/2006/relationships/hyperlink" Target="https://advance.lexis.com/api/document?collection=cases-ca&amp;id=urn:contentItem:5F7T-S7G1-F5KY-B19R-00000-00&amp;context=" TargetMode="External" /><Relationship Id="rId148" Type="http://schemas.openxmlformats.org/officeDocument/2006/relationships/hyperlink" Target="https://advance.lexis.com/api/document?collection=cases-ca&amp;id=urn:contentItem:5F7T-S7G1-JBT7-X40C-00000-00&amp;context=" TargetMode="External" /><Relationship Id="rId149" Type="http://schemas.openxmlformats.org/officeDocument/2006/relationships/hyperlink" Target="https://advance.lexis.com/api/document?collection=cases-ca&amp;id=urn:contentItem:5F8T-N3V1-JF75-M3S6-00000-00&amp;context=" TargetMode="External" /><Relationship Id="rId15" Type="http://schemas.openxmlformats.org/officeDocument/2006/relationships/hyperlink" Target="https://advance.lexis.com/api/document?collection=cases-ca&amp;id=urn:contentItem:5F7T-S7M1-DYMS-6263-00000-00&amp;context=" TargetMode="External" /><Relationship Id="rId150" Type="http://schemas.openxmlformats.org/officeDocument/2006/relationships/hyperlink" Target="https://advance.lexis.com/api/document?collection=cases-ca&amp;id=urn:contentItem:5F7T-S7D1-JG02-S32G-00000-00&amp;context=" TargetMode="External" /><Relationship Id="rId151" Type="http://schemas.openxmlformats.org/officeDocument/2006/relationships/hyperlink" Target="https://advance.lexis.com/api/document?collection=cases-ca&amp;id=urn:contentItem:5F7T-S7D1-FBFS-S1M7-00000-00&amp;context=" TargetMode="External" /><Relationship Id="rId152" Type="http://schemas.openxmlformats.org/officeDocument/2006/relationships/hyperlink" Target="https://advance.lexis.com/api/document?collection=cases-ca&amp;id=urn:contentItem:5F7T-S771-F81W-22T1-00000-00&amp;context=" TargetMode="External" /><Relationship Id="rId153" Type="http://schemas.openxmlformats.org/officeDocument/2006/relationships/hyperlink" Target="https://advance.lexis.com/api/document?collection=cases-ca&amp;id=urn:contentItem:5F7T-S731-F016-S39B-00000-00&amp;context=" TargetMode="External" /><Relationship Id="rId154" Type="http://schemas.openxmlformats.org/officeDocument/2006/relationships/hyperlink" Target="https://advance.lexis.com/api/document?collection=cases-ca&amp;id=urn:contentItem:5F7T-S6W1-JYYX-61TX-00000-00&amp;context=" TargetMode="External" /><Relationship Id="rId155" Type="http://schemas.openxmlformats.org/officeDocument/2006/relationships/header" Target="header28.xml" /><Relationship Id="rId156" Type="http://schemas.openxmlformats.org/officeDocument/2006/relationships/header" Target="header29.xml" /><Relationship Id="rId157" Type="http://schemas.openxmlformats.org/officeDocument/2006/relationships/footer" Target="footer28.xml" /><Relationship Id="rId158" Type="http://schemas.openxmlformats.org/officeDocument/2006/relationships/footer" Target="footer29.xml" /><Relationship Id="rId159" Type="http://schemas.openxmlformats.org/officeDocument/2006/relationships/header" Target="header30.xml" /><Relationship Id="rId16" Type="http://schemas.openxmlformats.org/officeDocument/2006/relationships/hyperlink" Target="https://advance.lexis.com/api/document?collection=cases-ca&amp;id=urn:contentItem:5G53-RJN1-FBFS-S4TW-00000-00&amp;context=" TargetMode="External" /><Relationship Id="rId160" Type="http://schemas.openxmlformats.org/officeDocument/2006/relationships/footer" Target="footer30.xml" /><Relationship Id="rId161" Type="http://schemas.openxmlformats.org/officeDocument/2006/relationships/hyperlink" Target="https://advance.lexis.com/api/document?collection=cases-ca&amp;id=urn:contentItem:5F7T-S7K1-JSJC-X0YT-00000-00&amp;context=" TargetMode="External" /><Relationship Id="rId162" Type="http://schemas.openxmlformats.org/officeDocument/2006/relationships/hyperlink" Target="https://advance.lexis.com/api/document?collection=legislation-ca&amp;id=urn:contentItem:5F41-1FJ1-JKPJ-G0P7-00000-00&amp;context=" TargetMode="External" /><Relationship Id="rId163" Type="http://schemas.openxmlformats.org/officeDocument/2006/relationships/hyperlink" Target="https://advance.lexis.com/api/document?collection=cases-ca&amp;id=urn:contentItem:5F7T-S7F1-FJTD-G39C-00000-00&amp;context=" TargetMode="External" /><Relationship Id="rId164" Type="http://schemas.openxmlformats.org/officeDocument/2006/relationships/hyperlink" Target="https://advance.lexis.com/api/document?collection=cases-ca&amp;id=urn:contentItem:5F7T-S7G1-F5KY-B1TD-00000-00&amp;context=" TargetMode="External" /><Relationship Id="rId165" Type="http://schemas.openxmlformats.org/officeDocument/2006/relationships/hyperlink" Target="https://advance.lexis.com/api/document?collection=cases-ca&amp;id=urn:contentItem:5F7T-S701-F8KH-X150-00000-00&amp;context=" TargetMode="External" /><Relationship Id="rId166" Type="http://schemas.openxmlformats.org/officeDocument/2006/relationships/hyperlink" Target="https://advance.lexis.com/api/document?collection=cases-ca&amp;id=urn:contentItem:5F7T-S6V1-F2TK-22G9-00000-00&amp;context=" TargetMode="External" /><Relationship Id="rId167" Type="http://schemas.openxmlformats.org/officeDocument/2006/relationships/hyperlink" Target="https://advance.lexis.com/api/document?collection=cases-ca&amp;id=urn:contentItem:5F7T-S701-JJ6S-61KT-00000-00&amp;context=" TargetMode="External" /><Relationship Id="rId168" Type="http://schemas.openxmlformats.org/officeDocument/2006/relationships/hyperlink" Target="https://advance.lexis.com/api/document?collection=cases-ca&amp;id=urn:contentItem:5F7T-S6Y1-JP9P-G1KG-00000-00&amp;context=" TargetMode="External" /><Relationship Id="rId169" Type="http://schemas.openxmlformats.org/officeDocument/2006/relationships/hyperlink" Target="https://advance.lexis.com/api/document?collection=cases-ca&amp;id=urn:contentItem:5F7T-S7D1-DY89-M42S-00000-00&amp;context=" TargetMode="External" /><Relationship Id="rId17" Type="http://schemas.openxmlformats.org/officeDocument/2006/relationships/hyperlink" Target="https://advance.lexis.com/api/document?collection=cases-ca&amp;id=urn:contentItem:5F7T-S7K1-JX3N-B35M-00000-00&amp;context=" TargetMode="External" /><Relationship Id="rId170" Type="http://schemas.openxmlformats.org/officeDocument/2006/relationships/hyperlink" Target="https://advance.lexis.com/api/document?collection=cases-ca&amp;id=urn:contentItem:5F7T-S761-F81W-21SY-00000-00&amp;context=" TargetMode="External" /><Relationship Id="rId171" Type="http://schemas.openxmlformats.org/officeDocument/2006/relationships/hyperlink" Target="https://advance.lexis.com/api/document?collection=cases-ca&amp;id=urn:contentItem:5F7T-S6X1-K054-G1HC-00000-00&amp;context=" TargetMode="External" /><Relationship Id="rId172" Type="http://schemas.openxmlformats.org/officeDocument/2006/relationships/hyperlink" Target="https://advance.lexis.com/api/document?collection=cases-ca&amp;id=urn:contentItem:5F7T-S6Y1-JNY7-X2P3-00000-00&amp;context=" TargetMode="External" /><Relationship Id="rId173" Type="http://schemas.openxmlformats.org/officeDocument/2006/relationships/hyperlink" Target="https://advance.lexis.com/api/document?collection=cases-ca&amp;id=urn:contentItem:5F7T-S6Y1-FJDY-X23K-00000-00&amp;context=" TargetMode="External" /><Relationship Id="rId174" Type="http://schemas.openxmlformats.org/officeDocument/2006/relationships/hyperlink" Target="https://advance.lexis.com/api/document?collection=cases-ca&amp;id=urn:contentItem:5F7T-S771-JSJC-X060-00000-00&amp;context="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collection=cases-ca&amp;id=urn:contentItem:5F8P-SDH1-JBDT-B2GT-00000-00&amp;context=" TargetMode="External" /><Relationship Id="rId180" Type="http://schemas.openxmlformats.org/officeDocument/2006/relationships/footer" Target="footer33.xml" /><Relationship Id="rId181" Type="http://schemas.openxmlformats.org/officeDocument/2006/relationships/hyperlink" Target="https://advance.lexis.com/api/document?collection=cases-ca&amp;id=urn:contentItem:5F7T-S781-F7G6-639M-00000-00&amp;context=" TargetMode="External" /><Relationship Id="rId182" Type="http://schemas.openxmlformats.org/officeDocument/2006/relationships/hyperlink" Target="https://advance.lexis.com/api/document?collection=cases-ca&amp;id=urn:contentItem:5F7T-S6V1-JFKM-6133-00000-00&amp;context=" TargetMode="External" /><Relationship Id="rId183" Type="http://schemas.openxmlformats.org/officeDocument/2006/relationships/hyperlink" Target="https://advance.lexis.com/api/document?collection=cases-ca&amp;id=urn:contentItem:5F7T-S721-FD4T-B0MF-00000-00&amp;context=" TargetMode="External" /><Relationship Id="rId184" Type="http://schemas.openxmlformats.org/officeDocument/2006/relationships/header" Target="header34.xml" /><Relationship Id="rId185" Type="http://schemas.openxmlformats.org/officeDocument/2006/relationships/header" Target="header35.xml" /><Relationship Id="rId186" Type="http://schemas.openxmlformats.org/officeDocument/2006/relationships/footer" Target="footer34.xml" /><Relationship Id="rId187" Type="http://schemas.openxmlformats.org/officeDocument/2006/relationships/footer" Target="footer35.xml" /><Relationship Id="rId188" Type="http://schemas.openxmlformats.org/officeDocument/2006/relationships/header" Target="header36.xml" /><Relationship Id="rId189" Type="http://schemas.openxmlformats.org/officeDocument/2006/relationships/footer" Target="footer36.xml" /><Relationship Id="rId19" Type="http://schemas.openxmlformats.org/officeDocument/2006/relationships/hyperlink" Target="https://advance.lexis.com/api/document?collection=cases-ca&amp;id=urn:contentItem:5F8P-SDW1-F57G-S0W5-00000-00&amp;context=" TargetMode="External" /><Relationship Id="rId190" Type="http://schemas.openxmlformats.org/officeDocument/2006/relationships/hyperlink" Target="https://advance.lexis.com/api/document?collection=cases-ca&amp;id=urn:contentItem:5F7T-S771-JWBS-61CD-00000-00&amp;context=" TargetMode="External" /><Relationship Id="rId191" Type="http://schemas.openxmlformats.org/officeDocument/2006/relationships/hyperlink" Target="https://advance.lexis.com/api/document?collection=legislation-ca&amp;id=urn:contentItem:5F41-1FJ1-JBDT-B069-00000-00&amp;context=" TargetMode="External" /><Relationship Id="rId192" Type="http://schemas.openxmlformats.org/officeDocument/2006/relationships/hyperlink" Target="https://advance.lexis.com/api/document?collection=cases-ca&amp;id=urn:contentItem:5F7T-S711-F4GK-M2M0-00000-00&amp;context=" TargetMode="External" /><Relationship Id="rId193" Type="http://schemas.openxmlformats.org/officeDocument/2006/relationships/hyperlink" Target="https://advance.lexis.com/api/document?collection=cases-ca&amp;id=urn:contentItem:5F7T-S731-FFFC-B0K2-00000-00&amp;context=" TargetMode="External" /><Relationship Id="rId194" Type="http://schemas.openxmlformats.org/officeDocument/2006/relationships/hyperlink" Target="https://advance.lexis.com/api/document?collection=cases-ca&amp;id=urn:contentItem:5F7T-S741-F7VM-S30C-00000-00&amp;context=" TargetMode="External" /><Relationship Id="rId195" Type="http://schemas.openxmlformats.org/officeDocument/2006/relationships/hyperlink" Target="https://advance.lexis.com/api/document?collection=cases-ca&amp;id=urn:contentItem:5F8T-N3V1-JF75-M3K1-00000-00&amp;context=" TargetMode="External" /><Relationship Id="rId196" Type="http://schemas.openxmlformats.org/officeDocument/2006/relationships/header" Target="header37.xml" /><Relationship Id="rId197" Type="http://schemas.openxmlformats.org/officeDocument/2006/relationships/header" Target="header38.xml" /><Relationship Id="rId198" Type="http://schemas.openxmlformats.org/officeDocument/2006/relationships/footer" Target="footer37.xml" /><Relationship Id="rId199" Type="http://schemas.openxmlformats.org/officeDocument/2006/relationships/footer" Target="footer38.xml" /><Relationship Id="rId2" Type="http://schemas.openxmlformats.org/officeDocument/2006/relationships/webSettings" Target="webSettings.xml" /><Relationship Id="rId20" Type="http://schemas.openxmlformats.org/officeDocument/2006/relationships/header" Target="header4.xml" /><Relationship Id="rId200" Type="http://schemas.openxmlformats.org/officeDocument/2006/relationships/header" Target="header39.xml" /><Relationship Id="rId201" Type="http://schemas.openxmlformats.org/officeDocument/2006/relationships/footer" Target="footer39.xml" /><Relationship Id="rId202" Type="http://schemas.openxmlformats.org/officeDocument/2006/relationships/hyperlink" Target="https://advance.lexis.com/api/document?collection=cases-ca&amp;id=urn:contentItem:5F7T-S7C1-JCJ5-20C7-00000-00&amp;context=" TargetMode="External" /><Relationship Id="rId203" Type="http://schemas.openxmlformats.org/officeDocument/2006/relationships/hyperlink" Target="https://advance.lexis.com/api/document?collection=cases-ca&amp;id=urn:contentItem:5F7T-S701-JF75-M4J3-00000-00&amp;context=" TargetMode="External" /><Relationship Id="rId204" Type="http://schemas.openxmlformats.org/officeDocument/2006/relationships/hyperlink" Target="https://advance.lexis.com/api/document?collection=legislation-ca&amp;id=urn:contentItem:5F41-1FG1-FC1F-M0TW-00000-00&amp;context=" TargetMode="External" /><Relationship Id="rId205" Type="http://schemas.openxmlformats.org/officeDocument/2006/relationships/hyperlink" Target="https://advance.lexis.com/api/document?collection=cases-ca&amp;id=urn:contentItem:5F7T-S741-F528-G21K-00000-00&amp;context=" TargetMode="External" /><Relationship Id="rId206" Type="http://schemas.openxmlformats.org/officeDocument/2006/relationships/hyperlink" Target="https://advance.lexis.com/api/document?collection=cases-ca&amp;id=urn:contentItem:5F7T-S771-JN14-G2DF-00000-00&amp;context=" TargetMode="External" /><Relationship Id="rId207" Type="http://schemas.openxmlformats.org/officeDocument/2006/relationships/hyperlink" Target="https://advance.lexis.com/api/document?collection=cases-ca&amp;id=urn:contentItem:5F7T-S771-JW5H-X1S9-00000-00&amp;context=" TargetMode="External" /><Relationship Id="rId208" Type="http://schemas.openxmlformats.org/officeDocument/2006/relationships/hyperlink" Target="https://advance.lexis.com/api/document?collection=cases-ca&amp;id=urn:contentItem:5F7T-S701-JJ6S-61P3-00000-00&amp;context=" TargetMode="External" /><Relationship Id="rId209" Type="http://schemas.openxmlformats.org/officeDocument/2006/relationships/hyperlink" Target="https://advance.lexis.com/api/document?collection=cases-ca&amp;id=urn:contentItem:5F7T-S7C1-JCJ5-20BV-00000-00&amp;context=" TargetMode="External" /><Relationship Id="rId21" Type="http://schemas.openxmlformats.org/officeDocument/2006/relationships/header" Target="header5.xml" /><Relationship Id="rId210" Type="http://schemas.openxmlformats.org/officeDocument/2006/relationships/header" Target="header40.xml" /><Relationship Id="rId211" Type="http://schemas.openxmlformats.org/officeDocument/2006/relationships/header" Target="header41.xml" /><Relationship Id="rId212" Type="http://schemas.openxmlformats.org/officeDocument/2006/relationships/footer" Target="footer40.xml" /><Relationship Id="rId213" Type="http://schemas.openxmlformats.org/officeDocument/2006/relationships/footer" Target="footer41.xml" /><Relationship Id="rId214" Type="http://schemas.openxmlformats.org/officeDocument/2006/relationships/header" Target="header42.xml" /><Relationship Id="rId215" Type="http://schemas.openxmlformats.org/officeDocument/2006/relationships/footer" Target="footer42.xml" /><Relationship Id="rId216" Type="http://schemas.openxmlformats.org/officeDocument/2006/relationships/hyperlink" Target="https://advance.lexis.com/api/document?collection=cases-ca&amp;id=urn:contentItem:5N29-KD81-F1P7-B4GS-00000-00&amp;context=" TargetMode="External" /><Relationship Id="rId217" Type="http://schemas.openxmlformats.org/officeDocument/2006/relationships/hyperlink" Target="https://advance.lexis.com/api/document?collection=cases-ca&amp;id=urn:contentItem:5KMV-YFM1-FJDY-X3RM-00000-00&amp;context=" TargetMode="External" /><Relationship Id="rId218" Type="http://schemas.openxmlformats.org/officeDocument/2006/relationships/hyperlink" Target="https://advance.lexis.com/api/document?collection=cases-ca&amp;id=urn:contentItem:5HYH-NGC1-F5T5-M2H4-00000-00&amp;context=" TargetMode="External" /><Relationship Id="rId219" Type="http://schemas.openxmlformats.org/officeDocument/2006/relationships/hyperlink" Target="https://advance.lexis.com/api/document?collection=cases-ca&amp;id=urn:contentItem:5K74-X2M1-JX8W-M2G0-00000-00&amp;context=" TargetMode="External" /><Relationship Id="rId22" Type="http://schemas.openxmlformats.org/officeDocument/2006/relationships/footer" Target="footer4.xml" /><Relationship Id="rId220" Type="http://schemas.openxmlformats.org/officeDocument/2006/relationships/hyperlink" Target="https://advance.lexis.com/api/document?collection=cases-ca&amp;id=urn:contentItem:5F7T-S7N1-JGHR-M2W4-00000-00&amp;context=" TargetMode="External" /><Relationship Id="rId221" Type="http://schemas.openxmlformats.org/officeDocument/2006/relationships/hyperlink" Target="https://advance.lexis.com/api/document?collection=cases-ca&amp;id=urn:contentItem:5F7T-S7M1-JNCK-22P9-00000-00&amp;context=" TargetMode="External" /><Relationship Id="rId222" Type="http://schemas.openxmlformats.org/officeDocument/2006/relationships/hyperlink" Target="https://advance.lexis.com/api/document?collection=cases-ca&amp;id=urn:contentItem:5GY5-93C1-JJK6-S3TT-00000-00&amp;context=" TargetMode="External" /><Relationship Id="rId223" Type="http://schemas.openxmlformats.org/officeDocument/2006/relationships/hyperlink" Target="https://advance.lexis.com/api/document?collection=cases-ca&amp;id=urn:contentItem:5F7T-S7M1-JFSV-G3V3-00000-00&amp;context=" TargetMode="External" /><Relationship Id="rId224" Type="http://schemas.openxmlformats.org/officeDocument/2006/relationships/hyperlink" Target="https://advance.lexis.com/api/document?collection=cases-ca&amp;id=urn:contentItem:5F7T-S7H1-JCRC-B14X-00000-00&amp;context=" TargetMode="External" /><Relationship Id="rId225" Type="http://schemas.openxmlformats.org/officeDocument/2006/relationships/hyperlink" Target="https://advance.lexis.com/api/document?collection=cases-ca&amp;id=urn:contentItem:5F7T-S7H1-JS5Y-B2VJ-00000-00&amp;context=" TargetMode="External" /><Relationship Id="rId226" Type="http://schemas.openxmlformats.org/officeDocument/2006/relationships/hyperlink" Target="https://advance.lexis.com/api/document?collection=cases-ca&amp;id=urn:contentItem:5F7T-S7M1-JNCK-22JW-00000-00&amp;context=" TargetMode="External" /><Relationship Id="rId227" Type="http://schemas.openxmlformats.org/officeDocument/2006/relationships/hyperlink" Target="https://advance.lexis.com/api/document?collection=cases-ca&amp;id=urn:contentItem:5F8T-N3V1-FC1F-M41M-00000-00&amp;context=" TargetMode="External" /><Relationship Id="rId228" Type="http://schemas.openxmlformats.org/officeDocument/2006/relationships/hyperlink" Target="https://advance.lexis.com/api/document?collection=cases-ca&amp;id=urn:contentItem:5F7T-S7F1-FJTD-G3CT-00000-00&amp;context=" TargetMode="External" /><Relationship Id="rId229" Type="http://schemas.openxmlformats.org/officeDocument/2006/relationships/hyperlink" Target="https://advance.lexis.com/api/document?collection=cases-ca&amp;id=urn:contentItem:5F7T-S7F1-F7VM-S40K-00000-00&amp;context=" TargetMode="External" /><Relationship Id="rId23" Type="http://schemas.openxmlformats.org/officeDocument/2006/relationships/footer" Target="footer5.xml" /><Relationship Id="rId230" Type="http://schemas.openxmlformats.org/officeDocument/2006/relationships/hyperlink" Target="https://advance.lexis.com/api/document?collection=cases-ca&amp;id=urn:contentItem:5F82-1SH1-JCBX-S3GJ-00000-00&amp;context=" TargetMode="External" /><Relationship Id="rId231" Type="http://schemas.openxmlformats.org/officeDocument/2006/relationships/hyperlink" Target="https://advance.lexis.com/api/document?collection=cases-ca&amp;id=urn:contentItem:5F7T-S6T1-F361-M02B-00000-00&amp;context=" TargetMode="External" /><Relationship Id="rId232" Type="http://schemas.openxmlformats.org/officeDocument/2006/relationships/hyperlink" Target="https://advance.lexis.com/api/document?collection=cases-ca&amp;id=urn:contentItem:5F7T-S7C1-JSRM-60TH-00000-00&amp;context=" TargetMode="External" /><Relationship Id="rId233" Type="http://schemas.openxmlformats.org/officeDocument/2006/relationships/hyperlink" Target="https://advance.lexis.com/api/document?collection=cases-ca&amp;id=urn:contentItem:5F16-93B1-F4GK-M3X0-00000-00&amp;context=" TargetMode="External" /><Relationship Id="rId234" Type="http://schemas.openxmlformats.org/officeDocument/2006/relationships/hyperlink" Target="https://advance.lexis.com/api/document?collection=cases-ca&amp;id=urn:contentItem:5F7T-S7H1-JFKM-6275-00000-00&amp;context=" TargetMode="External" /><Relationship Id="rId235" Type="http://schemas.openxmlformats.org/officeDocument/2006/relationships/hyperlink" Target="https://advance.lexis.com/api/document?collection=cases-ca&amp;id=urn:contentItem:5F7T-S6R1-F4GK-M0H6-00000-00&amp;context=" TargetMode="External" /><Relationship Id="rId236" Type="http://schemas.openxmlformats.org/officeDocument/2006/relationships/hyperlink" Target="https://advance.lexis.com/api/document?collection=cases-ca&amp;id=urn:contentItem:5G68-9741-FCYK-21KX-00000-00&amp;context=" TargetMode="External" /><Relationship Id="rId237" Type="http://schemas.openxmlformats.org/officeDocument/2006/relationships/hyperlink" Target="https://advance.lexis.com/api/document?collection=cases-ca&amp;id=urn:contentItem:5F8P-SBV1-DXWW-2288-00000-00&amp;context=" TargetMode="External" /><Relationship Id="rId238" Type="http://schemas.openxmlformats.org/officeDocument/2006/relationships/hyperlink" Target="https://advance.lexis.com/api/document?collection=cases-ca&amp;id=urn:contentItem:5F8T-N3V1-JTGH-B18J-00000-00&amp;context=" TargetMode="External" /><Relationship Id="rId239" Type="http://schemas.openxmlformats.org/officeDocument/2006/relationships/hyperlink" Target="https://iclr.co.uk/pubrefLookup/redirectTo?ref=1964+P.+181" TargetMode="External" /><Relationship Id="rId24" Type="http://schemas.openxmlformats.org/officeDocument/2006/relationships/header" Target="header6.xml" /><Relationship Id="rId240" Type="http://schemas.openxmlformats.org/officeDocument/2006/relationships/image" Target="media/image2.png" /><Relationship Id="rId241" Type="http://schemas.openxmlformats.org/officeDocument/2006/relationships/hyperlink" Target="https://advance.lexis.com/api/document?collection=cases-ca&amp;id=urn:contentItem:5F7T-S7C1-F4NT-X44M-00000-00&amp;context=" TargetMode="External" /><Relationship Id="rId242" Type="http://schemas.openxmlformats.org/officeDocument/2006/relationships/hyperlink" Target="https://advance.lexis.com/api/document?collection=cases-ca&amp;id=urn:contentItem:5J9B-77X1-F8D9-M2RS-00000-00&amp;context=" TargetMode="External" /><Relationship Id="rId243" Type="http://schemas.openxmlformats.org/officeDocument/2006/relationships/hyperlink" Target="https://advance.lexis.com/api/document?collection=cases-ca&amp;id=urn:contentItem:5F7T-S7K1-JWXF-211H-00000-00&amp;context=" TargetMode="External" /><Relationship Id="rId244" Type="http://schemas.openxmlformats.org/officeDocument/2006/relationships/hyperlink" Target="https://advance.lexis.com/api/document?collection=cases-ca&amp;id=urn:contentItem:5J7V-J841-JBDT-B3FG-00000-00&amp;context=" TargetMode="External" /><Relationship Id="rId245" Type="http://schemas.openxmlformats.org/officeDocument/2006/relationships/hyperlink" Target="https://advance.lexis.com/api/document?collection=cases-ca&amp;id=urn:contentItem:5F7T-S7B1-JSRM-6046-00000-00&amp;context=" TargetMode="External" /><Relationship Id="rId246" Type="http://schemas.openxmlformats.org/officeDocument/2006/relationships/hyperlink" Target="https://advance.lexis.com/api/document?collection=cases-ca&amp;id=urn:contentItem:5F8T-N3V1-FC1F-M48G-00000-00&amp;context=" TargetMode="External" /><Relationship Id="rId247" Type="http://schemas.openxmlformats.org/officeDocument/2006/relationships/hyperlink" Target="https://advance.lexis.com/api/document?collection=cases-ca&amp;id=urn:contentItem:5N4F-4BW1-F81W-236X-00000-00&amp;context=" TargetMode="External" /><Relationship Id="rId248" Type="http://schemas.openxmlformats.org/officeDocument/2006/relationships/hyperlink" Target="https://advance.lexis.com/api/document?collection=cases-ca&amp;id=urn:contentItem:5F7T-S741-FJM6-61DR-00000-00&amp;context=" TargetMode="External" /><Relationship Id="rId249" Type="http://schemas.openxmlformats.org/officeDocument/2006/relationships/hyperlink" Target="https://advance.lexis.com/api/document?collection=cases-ca&amp;id=urn:contentItem:5F7T-S721-F5T5-M28H-00000-00&amp;context=" TargetMode="External" /><Relationship Id="rId25" Type="http://schemas.openxmlformats.org/officeDocument/2006/relationships/footer" Target="footer6.xml" /><Relationship Id="rId250" Type="http://schemas.openxmlformats.org/officeDocument/2006/relationships/hyperlink" Target="https://advance.lexis.com/api/document?collection=cases-ca&amp;id=urn:contentItem:5MTP-GH21-JX8W-M4T5-00000-00&amp;context=" TargetMode="External" /><Relationship Id="rId251" Type="http://schemas.openxmlformats.org/officeDocument/2006/relationships/hyperlink" Target="https://advance.lexis.com/api/document?collection=cases-ca&amp;id=urn:contentItem:5F7T-S7J1-JGBH-B2F5-00000-00&amp;context=" TargetMode="External" /><Relationship Id="rId252" Type="http://schemas.openxmlformats.org/officeDocument/2006/relationships/hyperlink" Target="https://advance.lexis.com/api/document?collection=cases-ca&amp;id=urn:contentItem:5F82-1SJ1-JWXF-21C5-00000-00&amp;context=" TargetMode="External" /><Relationship Id="rId253" Type="http://schemas.openxmlformats.org/officeDocument/2006/relationships/hyperlink" Target="https://advance.lexis.com/api/document?collection=cases-ca&amp;id=urn:contentItem:5F7T-S7M1-JJK6-S1WX-00000-00&amp;context=" TargetMode="External" /><Relationship Id="rId254" Type="http://schemas.openxmlformats.org/officeDocument/2006/relationships/hyperlink" Target="https://advance.lexis.com/api/document?collection=cases-ca&amp;id=urn:contentItem:5F7T-S7M1-F4W2-622S-00000-00&amp;context=" TargetMode="External" /><Relationship Id="rId255" Type="http://schemas.openxmlformats.org/officeDocument/2006/relationships/hyperlink" Target="https://advance.lexis.com/api/document?collection=cases-ca&amp;id=urn:contentItem:5F82-1SJ1-K0BB-S2YY-00000-00&amp;context=" TargetMode="External" /><Relationship Id="rId256" Type="http://schemas.openxmlformats.org/officeDocument/2006/relationships/hyperlink" Target="https://advance.lexis.com/api/document?collection=cases-ca&amp;id=urn:contentItem:5F7T-S7J1-JNS1-M212-00000-00&amp;context=" TargetMode="External" /><Relationship Id="rId257" Type="http://schemas.openxmlformats.org/officeDocument/2006/relationships/hyperlink" Target="https://advance.lexis.com/api/document?collection=cases-ca&amp;id=urn:contentItem:5F7T-S7B1-JCJ5-203X-00000-00&amp;context=" TargetMode="External" /><Relationship Id="rId258" Type="http://schemas.openxmlformats.org/officeDocument/2006/relationships/hyperlink" Target="https://advance.lexis.com/api/document?collection=cases-ca&amp;id=urn:contentItem:5F7T-S7H1-JFKM-6243-00000-00&amp;context=" TargetMode="External" /><Relationship Id="rId259" Type="http://schemas.openxmlformats.org/officeDocument/2006/relationships/hyperlink" Target="https://advance.lexis.com/api/document?collection=cases-ca&amp;id=urn:contentItem:5F81-YH61-JJ1H-X06M-00000-00&amp;context=" TargetMode="External" /><Relationship Id="rId26" Type="http://schemas.openxmlformats.org/officeDocument/2006/relationships/hyperlink" Target="https://advance.lexis.com/api/document?collection=cases-ca&amp;id=urn:contentItem:5F7T-S7K1-JX3N-B35F-00000-00&amp;context=" TargetMode="External" /><Relationship Id="rId260" Type="http://schemas.openxmlformats.org/officeDocument/2006/relationships/header" Target="header43.xml" /><Relationship Id="rId261" Type="http://schemas.openxmlformats.org/officeDocument/2006/relationships/header" Target="header44.xml" /><Relationship Id="rId262" Type="http://schemas.openxmlformats.org/officeDocument/2006/relationships/footer" Target="footer43.xml" /><Relationship Id="rId263" Type="http://schemas.openxmlformats.org/officeDocument/2006/relationships/footer" Target="footer44.xml" /><Relationship Id="rId264" Type="http://schemas.openxmlformats.org/officeDocument/2006/relationships/header" Target="header45.xml" /><Relationship Id="rId265" Type="http://schemas.openxmlformats.org/officeDocument/2006/relationships/footer" Target="footer45.xml" /><Relationship Id="rId266" Type="http://schemas.openxmlformats.org/officeDocument/2006/relationships/hyperlink" Target="https://advance.lexis.com/api/document?collection=cases-ca&amp;id=urn:contentItem:5S7F-C2F1-F06F-24JN-00000-00&amp;context=" TargetMode="External" /><Relationship Id="rId267" Type="http://schemas.openxmlformats.org/officeDocument/2006/relationships/hyperlink" Target="https://advance.lexis.com/api/document?collection=cases-ca&amp;id=urn:contentItem:5F7T-S7P1-JBDT-B11K-00000-00&amp;context=" TargetMode="External" /><Relationship Id="rId268" Type="http://schemas.openxmlformats.org/officeDocument/2006/relationships/hyperlink" Target="https://advance.lexis.com/api/document?collection=cases-ca&amp;id=urn:contentItem:5F7T-S781-F06F-23X6-00000-00&amp;context=" TargetMode="External" /><Relationship Id="rId269" Type="http://schemas.openxmlformats.org/officeDocument/2006/relationships/hyperlink" Target="https://advance.lexis.com/api/document?collection=cases-ca&amp;id=urn:contentItem:5F7T-S7H1-F4GK-M39T-00000-00&amp;context=" TargetMode="External" /><Relationship Id="rId27" Type="http://schemas.openxmlformats.org/officeDocument/2006/relationships/hyperlink" Target="https://advance.lexis.com/api/document?collection=cases-ca&amp;id=urn:contentItem:5F7T-S771-JW5H-X1YD-00000-00&amp;context=" TargetMode="External" /><Relationship Id="rId270" Type="http://schemas.openxmlformats.org/officeDocument/2006/relationships/hyperlink" Target="https://advance.lexis.com/api/document?collection=cases-ca&amp;id=urn:contentItem:5F8P-SDP1-JJ1H-X1GN-00000-00&amp;context=" TargetMode="External" /><Relationship Id="rId271" Type="http://schemas.openxmlformats.org/officeDocument/2006/relationships/hyperlink" Target="https://advance.lexis.com/api/document?collection=cases-ca&amp;id=urn:contentItem:5F7T-S7N1-JC5P-G1YW-00000-00&amp;context=" TargetMode="External" /><Relationship Id="rId272" Type="http://schemas.openxmlformats.org/officeDocument/2006/relationships/hyperlink" Target="https://advance.lexis.com/api/document?collection=cases-ca&amp;id=urn:contentItem:5F7T-S7J1-JGBH-B2DR-00000-00&amp;context=" TargetMode="External" /><Relationship Id="rId273" Type="http://schemas.openxmlformats.org/officeDocument/2006/relationships/hyperlink" Target="https://advance.lexis.com/api/document?collection=cases-ca&amp;id=urn:contentItem:5F7T-S741-DXPM-S14K-00000-00&amp;context=" TargetMode="External" /><Relationship Id="rId274" Type="http://schemas.openxmlformats.org/officeDocument/2006/relationships/hyperlink" Target="https://advance.lexis.com/api/document?collection=cases-ca&amp;id=urn:contentItem:5F7T-S7N1-JWR6-S230-00000-00&amp;context=" TargetMode="External" /><Relationship Id="rId275" Type="http://schemas.openxmlformats.org/officeDocument/2006/relationships/hyperlink" Target="https://advance.lexis.com/api/document?collection=cases-ca&amp;id=urn:contentItem:5F7T-S7D1-FCSB-S2SD-00000-00&amp;context=" TargetMode="External" /><Relationship Id="rId276" Type="http://schemas.openxmlformats.org/officeDocument/2006/relationships/header" Target="header46.xml" /><Relationship Id="rId277" Type="http://schemas.openxmlformats.org/officeDocument/2006/relationships/header" Target="header47.xml" /><Relationship Id="rId278" Type="http://schemas.openxmlformats.org/officeDocument/2006/relationships/footer" Target="footer46.xml" /><Relationship Id="rId279" Type="http://schemas.openxmlformats.org/officeDocument/2006/relationships/footer" Target="footer47.xml" /><Relationship Id="rId28" Type="http://schemas.openxmlformats.org/officeDocument/2006/relationships/hyperlink" Target="https://advance.lexis.com/api/document?collection=cases-ca&amp;id=urn:contentItem:5F7T-S701-JBT7-X2FG-00000-00&amp;context=" TargetMode="External" /><Relationship Id="rId280" Type="http://schemas.openxmlformats.org/officeDocument/2006/relationships/header" Target="header48.xml" /><Relationship Id="rId281" Type="http://schemas.openxmlformats.org/officeDocument/2006/relationships/footer" Target="footer48.xml" /><Relationship Id="rId282" Type="http://schemas.openxmlformats.org/officeDocument/2006/relationships/hyperlink" Target="https://advance.lexis.com/api/document?collection=cases-ca&amp;id=urn:contentItem:5F7T-S7F1-F7VM-S40D-00000-00&amp;context=" TargetMode="External" /><Relationship Id="rId283" Type="http://schemas.openxmlformats.org/officeDocument/2006/relationships/hyperlink" Target="https://advance.lexis.com/api/document?collection=cases-ca&amp;id=urn:contentItem:5F8T-N3V1-JF75-M3D0-00000-00&amp;context=" TargetMode="External" /><Relationship Id="rId284" Type="http://schemas.openxmlformats.org/officeDocument/2006/relationships/hyperlink" Target="https://advance.lexis.com/api/document?collection=cases-ca&amp;id=urn:contentItem:5F8T-N3T1-JGHR-M29B-00000-00&amp;context=" TargetMode="External" /><Relationship Id="rId285" Type="http://schemas.openxmlformats.org/officeDocument/2006/relationships/hyperlink" Target="https://advance.lexis.com/api/document?collection=cases-ca&amp;id=urn:contentItem:5F8T-N3T1-JJSF-23FN-00000-00&amp;context=" TargetMode="External" /><Relationship Id="rId286" Type="http://schemas.openxmlformats.org/officeDocument/2006/relationships/hyperlink" Target="https://advance.lexis.com/api/document?collection=cases-ca&amp;id=urn:contentItem:5F8P-SF11-JGPY-X3X7-00000-00&amp;context=" TargetMode="External" /><Relationship Id="rId287" Type="http://schemas.openxmlformats.org/officeDocument/2006/relationships/hyperlink" Target="https://advance.lexis.com/api/document?collection=cases-ca&amp;id=urn:contentItem:5F7T-S751-JBM1-M2HH-00000-00&amp;context=" TargetMode="External" /><Relationship Id="rId288" Type="http://schemas.openxmlformats.org/officeDocument/2006/relationships/hyperlink" Target="https://advance.lexis.com/api/document?collection=cases-ca&amp;id=urn:contentItem:5F8P-SCR1-JXG3-X35J-00000-00&amp;context=" TargetMode="External" /><Relationship Id="rId289" Type="http://schemas.openxmlformats.org/officeDocument/2006/relationships/hyperlink" Target="https://advance.lexis.com/api/document?collection=cases-ca&amp;id=urn:contentItem:5F7T-S711-JC0G-62XM-00000-00&amp;context=" TargetMode="External" /><Relationship Id="rId29" Type="http://schemas.openxmlformats.org/officeDocument/2006/relationships/hyperlink" Target="https://advance.lexis.com/api/document?collection=cases-ca&amp;id=urn:contentItem:5F7T-S721-F57G-S1C0-00000-00&amp;context=" TargetMode="External" /><Relationship Id="rId290" Type="http://schemas.openxmlformats.org/officeDocument/2006/relationships/hyperlink" Target="https://advance.lexis.com/api/document?collection=cases-ca&amp;id=urn:contentItem:5F8P-SCV1-F22N-X558-00000-00&amp;context=" TargetMode="External" /><Relationship Id="rId291" Type="http://schemas.openxmlformats.org/officeDocument/2006/relationships/hyperlink" Target="https://advance.lexis.com/api/document?collection=cases-ca&amp;id=urn:contentItem:5F8P-T8W1-F1H1-22N0-00000-00&amp;context=" TargetMode="External" /><Relationship Id="rId292" Type="http://schemas.openxmlformats.org/officeDocument/2006/relationships/hyperlink" Target="https://advance.lexis.com/api/document?collection=cases-ca&amp;id=urn:contentItem:5F8P-SCX1-F5KY-B3JP-00000-00&amp;context=" TargetMode="External" /><Relationship Id="rId293" Type="http://schemas.openxmlformats.org/officeDocument/2006/relationships/hyperlink" Target="https://advance.lexis.com/api/document?collection=cases-ca&amp;id=urn:contentItem:5F8P-T8W1-F4GK-M4TY-00000-00&amp;context=" TargetMode="External" /><Relationship Id="rId294" Type="http://schemas.openxmlformats.org/officeDocument/2006/relationships/hyperlink" Target="https://advance.lexis.com/api/document?collection=cases-ca&amp;id=urn:contentItem:5F8P-SDS1-JKB3-X11C-00000-00&amp;context=" TargetMode="External" /><Relationship Id="rId295" Type="http://schemas.openxmlformats.org/officeDocument/2006/relationships/hyperlink" Target="https://advance.lexis.com/api/document?collection=cases-ca&amp;id=urn:contentItem:5F81-VJX1-FFTT-X1C4-00000-00&amp;context=" TargetMode="External" /><Relationship Id="rId296" Type="http://schemas.openxmlformats.org/officeDocument/2006/relationships/hyperlink" Target="https://advance.lexis.com/api/document?collection=cases-ca&amp;id=urn:contentItem:5F8T-N3V1-FC1F-M440-00000-00&amp;context=" TargetMode="External" /><Relationship Id="rId297" Type="http://schemas.openxmlformats.org/officeDocument/2006/relationships/hyperlink" Target="https://advance.lexis.com/api/document?collection=cases-ca&amp;id=urn:contentItem:5F8T-N3V1-FC1F-M461-00000-00&amp;context=" TargetMode="External" /><Relationship Id="rId298" Type="http://schemas.openxmlformats.org/officeDocument/2006/relationships/header" Target="header49.xml" /><Relationship Id="rId299" Type="http://schemas.openxmlformats.org/officeDocument/2006/relationships/header" Target="header50.xm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01-FJDY-X2FC-00000-00&amp;context=" TargetMode="External" /><Relationship Id="rId300" Type="http://schemas.openxmlformats.org/officeDocument/2006/relationships/footer" Target="footer49.xml" /><Relationship Id="rId301" Type="http://schemas.openxmlformats.org/officeDocument/2006/relationships/footer" Target="footer50.xml" /><Relationship Id="rId302" Type="http://schemas.openxmlformats.org/officeDocument/2006/relationships/header" Target="header51.xml" /><Relationship Id="rId303" Type="http://schemas.openxmlformats.org/officeDocument/2006/relationships/footer" Target="footer51.xml" /><Relationship Id="rId304" Type="http://schemas.openxmlformats.org/officeDocument/2006/relationships/hyperlink" Target="https://advance.lexis.com/api/document?collection=cases-ca&amp;id=urn:contentItem:5F7T-S7F1-FBN1-21S7-00000-00&amp;context=" TargetMode="External" /><Relationship Id="rId305" Type="http://schemas.openxmlformats.org/officeDocument/2006/relationships/hyperlink" Target="https://advance.lexis.com/api/document?collection=cases-ca&amp;id=urn:contentItem:5F7T-S731-JC0G-63FP-00000-00&amp;context=" TargetMode="External" /><Relationship Id="rId306" Type="http://schemas.openxmlformats.org/officeDocument/2006/relationships/hyperlink" Target="https://advance.lexis.com/api/document?collection=cases-ca&amp;id=urn:contentItem:5F7T-S781-F7G6-637H-00000-00&amp;context=" TargetMode="External" /><Relationship Id="rId307" Type="http://schemas.openxmlformats.org/officeDocument/2006/relationships/header" Target="header52.xml" /><Relationship Id="rId308" Type="http://schemas.openxmlformats.org/officeDocument/2006/relationships/header" Target="header53.xml" /><Relationship Id="rId309" Type="http://schemas.openxmlformats.org/officeDocument/2006/relationships/footer" Target="footer52.xml" /><Relationship Id="rId31" Type="http://schemas.openxmlformats.org/officeDocument/2006/relationships/hyperlink" Target="https://advance.lexis.com/api/document?collection=cases-ca&amp;id=urn:contentItem:5F7T-S7K1-JX3N-B2MX-00000-00&amp;context=" TargetMode="External" /><Relationship Id="rId310" Type="http://schemas.openxmlformats.org/officeDocument/2006/relationships/footer" Target="footer53.xml" /><Relationship Id="rId311" Type="http://schemas.openxmlformats.org/officeDocument/2006/relationships/header" Target="header54.xml" /><Relationship Id="rId312" Type="http://schemas.openxmlformats.org/officeDocument/2006/relationships/footer" Target="footer54.xml" /><Relationship Id="rId313" Type="http://schemas.openxmlformats.org/officeDocument/2006/relationships/hyperlink" Target="https://advance.lexis.com/api/document?collection=cases-ca&amp;id=urn:contentItem:5GXH-CVG1-F2F4-G0MB-00000-00&amp;context=" TargetMode="External" /><Relationship Id="rId314" Type="http://schemas.openxmlformats.org/officeDocument/2006/relationships/hyperlink" Target="https://advance.lexis.com/api/document?collection=cases-ca&amp;id=urn:contentItem:5F7T-S7M1-JNCK-22GY-00000-00&amp;context=" TargetMode="External" /><Relationship Id="rId315" Type="http://schemas.openxmlformats.org/officeDocument/2006/relationships/hyperlink" Target="https://advance.lexis.com/api/document?collection=cases-ca&amp;id=urn:contentItem:5F7T-S7J1-FGCG-S04V-00000-00&amp;context=" TargetMode="External" /><Relationship Id="rId316" Type="http://schemas.openxmlformats.org/officeDocument/2006/relationships/image" Target="media/image3.jpeg" /><Relationship Id="rId317" Type="http://schemas.openxmlformats.org/officeDocument/2006/relationships/hyperlink" Target="https://advance.lexis.com/api/document?collection=cases-ca&amp;id=urn:contentItem:5F7T-S7M1-JCRC-B1XV-00000-00&amp;context=" TargetMode="External" /><Relationship Id="rId318" Type="http://schemas.openxmlformats.org/officeDocument/2006/relationships/hyperlink" Target="https://advance.lexis.com/api/document?collection=cases-ca&amp;id=urn:contentItem:5F7T-S7N1-JGHR-M2WS-00000-00&amp;context=" TargetMode="External" /><Relationship Id="rId319" Type="http://schemas.openxmlformats.org/officeDocument/2006/relationships/hyperlink" Target="https://advance.lexis.com/api/document?collection=cases-ca&amp;id=urn:contentItem:5F8T-N3V1-FC1F-M4CP-00000-00&amp;context=" TargetMode="External" /><Relationship Id="rId32" Type="http://schemas.openxmlformats.org/officeDocument/2006/relationships/hyperlink" Target="https://advance.lexis.com/api/document?collection=cases-ca&amp;id=urn:contentItem:5F7T-S7K1-JKHB-62WT-00000-00&amp;context=" TargetMode="External" /><Relationship Id="rId320" Type="http://schemas.openxmlformats.org/officeDocument/2006/relationships/hyperlink" Target="https://advance.lexis.com/api/document?collection=cases-ca&amp;id=urn:contentItem:5F8P-SGC1-JG02-S243-00000-00&amp;context=" TargetMode="External" /><Relationship Id="rId321" Type="http://schemas.openxmlformats.org/officeDocument/2006/relationships/header" Target="header55.xml" /><Relationship Id="rId322" Type="http://schemas.openxmlformats.org/officeDocument/2006/relationships/header" Target="header56.xml" /><Relationship Id="rId323" Type="http://schemas.openxmlformats.org/officeDocument/2006/relationships/footer" Target="footer55.xml" /><Relationship Id="rId324" Type="http://schemas.openxmlformats.org/officeDocument/2006/relationships/footer" Target="footer56.xml" /><Relationship Id="rId325" Type="http://schemas.openxmlformats.org/officeDocument/2006/relationships/header" Target="header57.xml" /><Relationship Id="rId326" Type="http://schemas.openxmlformats.org/officeDocument/2006/relationships/footer" Target="footer57.xml" /><Relationship Id="rId327" Type="http://schemas.openxmlformats.org/officeDocument/2006/relationships/hyperlink" Target="https://advance.lexis.com/api/document?collection=cases-ca&amp;id=urn:contentItem:5F7T-S7P1-F2TK-23DD-00000-00&amp;context=" TargetMode="External" /><Relationship Id="rId328" Type="http://schemas.openxmlformats.org/officeDocument/2006/relationships/hyperlink" Target="https://advance.lexis.com/api/document?collection=cases-ca&amp;id=urn:contentItem:5F7T-S7H1-FCSB-S3G7-00000-00&amp;context=" TargetMode="External" /><Relationship Id="rId329" Type="http://schemas.openxmlformats.org/officeDocument/2006/relationships/hyperlink" Target="https://advance.lexis.com/api/document?collection=cases-ca&amp;id=urn:contentItem:5F7T-S7H1-JFSV-G34Y-00000-00&amp;context=" TargetMode="External" /><Relationship Id="rId33" Type="http://schemas.openxmlformats.org/officeDocument/2006/relationships/hyperlink" Target="https://advance.lexis.com/api/document?collection=cases-ca&amp;id=urn:contentItem:5F7T-S6Y1-F4GK-M24V-00000-00&amp;context=" TargetMode="External" /><Relationship Id="rId330" Type="http://schemas.openxmlformats.org/officeDocument/2006/relationships/hyperlink" Target="https://advance.lexis.com/api/document?collection=cases-ca&amp;id=urn:contentItem:5F7T-S7D1-JG02-S2PC-00000-00&amp;context=" TargetMode="External" /><Relationship Id="rId331" Type="http://schemas.openxmlformats.org/officeDocument/2006/relationships/hyperlink" Target="https://advance.lexis.com/api/document?collection=cases-ca&amp;id=urn:contentItem:5F7T-S781-JSC5-M4GK-00000-00&amp;context=" TargetMode="External" /><Relationship Id="rId332" Type="http://schemas.openxmlformats.org/officeDocument/2006/relationships/hyperlink" Target="https://advance.lexis.com/api/document?collection=cases-ca&amp;id=urn:contentItem:5F7T-S7H1-K054-G2CT-00000-00&amp;context=" TargetMode="External" /><Relationship Id="rId333" Type="http://schemas.openxmlformats.org/officeDocument/2006/relationships/hyperlink" Target="https://advance.lexis.com/api/document?collection=cases-ca&amp;id=urn:contentItem:5F7T-S7F1-JFKM-6207-00000-00&amp;context=" TargetMode="External" /><Relationship Id="rId334" Type="http://schemas.openxmlformats.org/officeDocument/2006/relationships/header" Target="header58.xml" /><Relationship Id="rId335" Type="http://schemas.openxmlformats.org/officeDocument/2006/relationships/header" Target="header59.xml" /><Relationship Id="rId336" Type="http://schemas.openxmlformats.org/officeDocument/2006/relationships/footer" Target="footer58.xml" /><Relationship Id="rId337" Type="http://schemas.openxmlformats.org/officeDocument/2006/relationships/footer" Target="footer59.xml" /><Relationship Id="rId338" Type="http://schemas.openxmlformats.org/officeDocument/2006/relationships/header" Target="header60.xml" /><Relationship Id="rId339" Type="http://schemas.openxmlformats.org/officeDocument/2006/relationships/footer" Target="footer60.xml" /><Relationship Id="rId34" Type="http://schemas.openxmlformats.org/officeDocument/2006/relationships/hyperlink" Target="https://advance.lexis.com/api/document?collection=cases-ca&amp;id=urn:contentItem:5F7T-S741-FJM6-61HR-00000-00&amp;context=" TargetMode="External" /><Relationship Id="rId340" Type="http://schemas.openxmlformats.org/officeDocument/2006/relationships/hyperlink" Target="https://advance.lexis.com/api/document?collection=cases-ca&amp;id=urn:contentItem:5F7T-S7G1-FCYK-20G3-00000-00&amp;context=" TargetMode="External" /><Relationship Id="rId341" Type="http://schemas.openxmlformats.org/officeDocument/2006/relationships/hyperlink" Target="https://advance.lexis.com/api/document?collection=cases-ca&amp;id=urn:contentItem:5F7T-S7C1-F4NT-X3WJ-00000-00&amp;context=" TargetMode="External" /><Relationship Id="rId342" Type="http://schemas.openxmlformats.org/officeDocument/2006/relationships/hyperlink" Target="https://advance.lexis.com/api/document?collection=cases-ca&amp;id=urn:contentItem:5F7H-KW61-DXPM-S05F-00000-00&amp;context=" TargetMode="External" /><Relationship Id="rId343" Type="http://schemas.openxmlformats.org/officeDocument/2006/relationships/hyperlink" Target="https://advance.lexis.com/api/document?collection=cases-ca&amp;id=urn:contentItem:5F7H-KW51-JS0R-20F4-00000-00&amp;context=" TargetMode="External" /><Relationship Id="rId344" Type="http://schemas.openxmlformats.org/officeDocument/2006/relationships/hyperlink" Target="https://advance.lexis.com/api/document?collection=cases-ca&amp;id=urn:contentItem:5F7T-XPY1-DY33-B2FG-00000-00&amp;context=" TargetMode="External" /><Relationship Id="rId345" Type="http://schemas.openxmlformats.org/officeDocument/2006/relationships/hyperlink" Target="https://advance.lexis.com/api/document?collection=cases-ca&amp;id=urn:contentItem:5F7H-KW51-FG12-603G-00000-00&amp;context=" TargetMode="External" /><Relationship Id="rId346" Type="http://schemas.openxmlformats.org/officeDocument/2006/relationships/hyperlink" Target="https://advance.lexis.com/api/document?collection=cases-ca&amp;id=urn:contentItem:5F7T-XPY1-DY33-B24H-00000-00&amp;context=" TargetMode="External" /><Relationship Id="rId347" Type="http://schemas.openxmlformats.org/officeDocument/2006/relationships/hyperlink" Target="https://advance.lexis.com/api/document?collection=cases-ca&amp;id=urn:contentItem:5F7T-XPY1-DY33-B2FP-00000-00&amp;context=" TargetMode="External" /><Relationship Id="rId348" Type="http://schemas.openxmlformats.org/officeDocument/2006/relationships/hyperlink" Target="https://advance.lexis.com/api/document?collection=cases-ca&amp;id=urn:contentItem:5F8T-N3R1-FJDY-X38P-00000-00&amp;context=" TargetMode="External" /><Relationship Id="rId349" Type="http://schemas.openxmlformats.org/officeDocument/2006/relationships/hyperlink" Target="https://advance.lexis.com/api/document?collection=cases-ca&amp;id=urn:contentItem:5F7T-XPY1-DY33-B254-00000-00&amp;context=" TargetMode="External" /><Relationship Id="rId35" Type="http://schemas.openxmlformats.org/officeDocument/2006/relationships/hyperlink" Target="https://advance.lexis.com/api/document?collection=cases-ca&amp;id=urn:contentItem:5F7T-S731-F016-S3K6-00000-00&amp;context=" TargetMode="External" /><Relationship Id="rId350" Type="http://schemas.openxmlformats.org/officeDocument/2006/relationships/hyperlink" Target="https://advance.lexis.com/api/document?collection=cases-ca&amp;id=urn:contentItem:5F7V-3DH1-JF1Y-B1KB-00000-00&amp;context=" TargetMode="External" /><Relationship Id="rId351" Type="http://schemas.openxmlformats.org/officeDocument/2006/relationships/hyperlink" Target="https://advance.lexis.com/api/document?collection=cases-ca&amp;id=urn:contentItem:5F7T-S741-F57G-S21R-00000-00&amp;context=" TargetMode="External" /><Relationship Id="rId352" Type="http://schemas.openxmlformats.org/officeDocument/2006/relationships/hyperlink" Target="https://advance.lexis.com/api/document?collection=cases-ca&amp;id=urn:contentItem:5F7T-S771-JTGH-B11S-00000-00&amp;context=" TargetMode="External" /><Relationship Id="rId353" Type="http://schemas.openxmlformats.org/officeDocument/2006/relationships/hyperlink" Target="https://advance.lexis.com/api/document?collection=cases-ca&amp;id=urn:contentItem:5F7T-S731-JNJT-B1P6-00000-00&amp;context=" TargetMode="External" /><Relationship Id="rId354" Type="http://schemas.openxmlformats.org/officeDocument/2006/relationships/hyperlink" Target="https://advance.lexis.com/api/document?collection=cases-ca&amp;id=urn:contentItem:5F7T-S7C1-FCSB-S28S-00000-00&amp;context=" TargetMode="External" /><Relationship Id="rId355" Type="http://schemas.openxmlformats.org/officeDocument/2006/relationships/hyperlink" Target="https://advance.lexis.com/api/document?collection=cases-ca&amp;id=urn:contentItem:5F7T-S771-JWBS-61CR-00000-00&amp;context=" TargetMode="External" /><Relationship Id="rId356" Type="http://schemas.openxmlformats.org/officeDocument/2006/relationships/hyperlink" Target="https://advance.lexis.com/api/document?collection=cases-ca&amp;id=urn:contentItem:5F7T-S6Y1-F7G6-633B-00000-00&amp;context=" TargetMode="External" /><Relationship Id="rId357" Type="http://schemas.openxmlformats.org/officeDocument/2006/relationships/hyperlink" Target="https://advance.lexis.com/api/document?collection=cases-ca&amp;id=urn:contentItem:5F7T-S711-JNS1-M134-00000-00&amp;context=" TargetMode="External" /><Relationship Id="rId358" Type="http://schemas.openxmlformats.org/officeDocument/2006/relationships/hyperlink" Target="https://advance.lexis.com/api/document?collection=cases-ca&amp;id=urn:contentItem:5F7T-S7C1-F30T-B235-00000-00&amp;context=" TargetMode="External" /><Relationship Id="rId359" Type="http://schemas.openxmlformats.org/officeDocument/2006/relationships/hyperlink" Target="https://advance.lexis.com/api/document?collection=cases-ca&amp;id=urn:contentItem:5F7T-S731-FFFC-B0KN-00000-00&amp;context=" TargetMode="External" /><Relationship Id="rId36" Type="http://schemas.openxmlformats.org/officeDocument/2006/relationships/header" Target="header7.xml" /><Relationship Id="rId360" Type="http://schemas.openxmlformats.org/officeDocument/2006/relationships/hyperlink" Target="https://advance.lexis.com/api/document?collection=cases-ca&amp;id=urn:contentItem:5F7T-S6V1-JWR6-S0Y1-00000-00&amp;context=" TargetMode="External" /><Relationship Id="rId361" Type="http://schemas.openxmlformats.org/officeDocument/2006/relationships/hyperlink" Target="https://advance.lexis.com/api/document?collection=cases-ca&amp;id=urn:contentItem:5F7T-S731-F1WF-M265-00000-00&amp;context=" TargetMode="External" /><Relationship Id="rId362" Type="http://schemas.openxmlformats.org/officeDocument/2006/relationships/header" Target="header61.xml" /><Relationship Id="rId363" Type="http://schemas.openxmlformats.org/officeDocument/2006/relationships/header" Target="header62.xml" /><Relationship Id="rId364" Type="http://schemas.openxmlformats.org/officeDocument/2006/relationships/footer" Target="footer61.xml" /><Relationship Id="rId365" Type="http://schemas.openxmlformats.org/officeDocument/2006/relationships/footer" Target="footer62.xml" /><Relationship Id="rId366" Type="http://schemas.openxmlformats.org/officeDocument/2006/relationships/header" Target="header63.xml" /><Relationship Id="rId367" Type="http://schemas.openxmlformats.org/officeDocument/2006/relationships/footer" Target="footer63.xml" /><Relationship Id="rId368" Type="http://schemas.openxmlformats.org/officeDocument/2006/relationships/hyperlink" Target="https://advance.lexis.com/api/document?collection=cases-ca&amp;id=urn:contentItem:5GCC-XVC1-F900-G4SR-00000-00&amp;context=" TargetMode="External" /><Relationship Id="rId369" Type="http://schemas.openxmlformats.org/officeDocument/2006/relationships/hyperlink" Target="https://advance.lexis.com/api/document?collection=cases-ca&amp;id=urn:contentItem:5F7T-S7K1-JKHB-6307-00000-00&amp;context=" TargetMode="External" /><Relationship Id="rId37" Type="http://schemas.openxmlformats.org/officeDocument/2006/relationships/header" Target="header8.xml" /><Relationship Id="rId370" Type="http://schemas.openxmlformats.org/officeDocument/2006/relationships/hyperlink" Target="https://advance.lexis.com/api/document?collection=cases-ca&amp;id=urn:contentItem:5F7T-S7C1-FGRY-B081-00000-00&amp;context=" TargetMode="External" /><Relationship Id="rId371" Type="http://schemas.openxmlformats.org/officeDocument/2006/relationships/hyperlink" Target="https://advance.lexis.com/api/document?collection=cases-ca&amp;id=urn:contentItem:5F7T-S781-FH4C-X2V6-00000-00&amp;context=" TargetMode="External" /><Relationship Id="rId372" Type="http://schemas.openxmlformats.org/officeDocument/2006/relationships/hyperlink" Target="https://advance.lexis.com/api/document?collection=cases-ca&amp;id=urn:contentItem:5F7T-S7B1-F7ND-G4YG-00000-00&amp;context=" TargetMode="External" /><Relationship Id="rId373" Type="http://schemas.openxmlformats.org/officeDocument/2006/relationships/hyperlink" Target="https://advance.lexis.com/api/document?collection=cases-ca&amp;id=urn:contentItem:5F7T-S7G1-JPP5-21NY-00000-00&amp;context=" TargetMode="External" /><Relationship Id="rId374" Type="http://schemas.openxmlformats.org/officeDocument/2006/relationships/hyperlink" Target="https://advance.lexis.com/api/document?collection=cases-ca&amp;id=urn:contentItem:5F8P-SCK1-JCJ5-22YM-00000-00&amp;context=" TargetMode="External" /><Relationship Id="rId375" Type="http://schemas.openxmlformats.org/officeDocument/2006/relationships/hyperlink" Target="https://advance.lexis.com/api/document?collection=cases-ca&amp;id=urn:contentItem:5F7T-S7D1-JN6B-S131-00000-00&amp;context=" TargetMode="External" /><Relationship Id="rId376" Type="http://schemas.openxmlformats.org/officeDocument/2006/relationships/hyperlink" Target="https://advance.lexis.com/api/document?collection=cases-ca&amp;id=urn:contentItem:5F7T-S7M1-JFSV-G3M0-00000-00&amp;context=" TargetMode="External" /><Relationship Id="rId377" Type="http://schemas.openxmlformats.org/officeDocument/2006/relationships/hyperlink" Target="https://advance.lexis.com/api/document?collection=cases-ca&amp;id=urn:contentItem:5F7T-S7M1-F4W2-625H-00000-00&amp;context=" TargetMode="External" /><Relationship Id="rId378" Type="http://schemas.openxmlformats.org/officeDocument/2006/relationships/hyperlink" Target="https://advance.lexis.com/api/document?collection=cases-ca&amp;id=urn:contentItem:5F7T-S7P1-JNJT-B2RM-00000-00&amp;context=" TargetMode="External" /><Relationship Id="rId379" Type="http://schemas.openxmlformats.org/officeDocument/2006/relationships/hyperlink" Target="https://advance.lexis.com/api/document?collection=cases-ca&amp;id=urn:contentItem:5F7T-S7N1-JJ1H-X2RV-00000-00&amp;context=" TargetMode="External" /><Relationship Id="rId38" Type="http://schemas.openxmlformats.org/officeDocument/2006/relationships/footer" Target="footer7.xml" /><Relationship Id="rId380" Type="http://schemas.openxmlformats.org/officeDocument/2006/relationships/hyperlink" Target="https://advance.lexis.com/api/document?collection=cases-ca&amp;id=urn:contentItem:5F7T-S7M1-JNCK-22H1-00000-00&amp;context=" TargetMode="External" /><Relationship Id="rId381" Type="http://schemas.openxmlformats.org/officeDocument/2006/relationships/hyperlink" Target="https://advance.lexis.com/api/document?collection=cases-ca&amp;id=urn:contentItem:5F7T-S7K1-JSJC-X168-00000-00&amp;context=" TargetMode="External" /><Relationship Id="rId382" Type="http://schemas.openxmlformats.org/officeDocument/2006/relationships/hyperlink" Target="https://advance.lexis.com/api/document?collection=cases-ca&amp;id=urn:contentItem:5F7T-S7F1-F7VM-S475-00000-00&amp;context=" TargetMode="External" /><Relationship Id="rId383" Type="http://schemas.openxmlformats.org/officeDocument/2006/relationships/hyperlink" Target="https://advance.lexis.com/api/document?collection=cases-ca&amp;id=urn:contentItem:5F7T-S7G1-FCYK-207V-00000-00&amp;context=" TargetMode="External" /><Relationship Id="rId384" Type="http://schemas.openxmlformats.org/officeDocument/2006/relationships/hyperlink" Target="https://advance.lexis.com/api/document?collection=cases-ca&amp;id=urn:contentItem:5F7T-S7K1-JSJC-X0R5-00000-00&amp;context=" TargetMode="External" /><Relationship Id="rId385" Type="http://schemas.openxmlformats.org/officeDocument/2006/relationships/hyperlink" Target="https://advance.lexis.com/api/document?collection=cases-ca&amp;id=urn:contentItem:5F7T-S701-JF75-M4N2-00000-00&amp;context=" TargetMode="External" /><Relationship Id="rId386" Type="http://schemas.openxmlformats.org/officeDocument/2006/relationships/hyperlink" Target="https://advance.lexis.com/api/document?collection=cases-ca&amp;id=urn:contentItem:5F7T-S761-F81W-21RK-00000-00&amp;context=" TargetMode="External" /><Relationship Id="rId387" Type="http://schemas.openxmlformats.org/officeDocument/2006/relationships/hyperlink" Target="https://advance.lexis.com/api/document?collection=cases-ca&amp;id=urn:contentItem:5F7T-S7N1-JC5P-G2DS-00000-00&amp;context=" TargetMode="External" /><Relationship Id="rId388" Type="http://schemas.openxmlformats.org/officeDocument/2006/relationships/hyperlink" Target="https://advance.lexis.com/api/document?collection=cases-ca&amp;id=urn:contentItem:5F7T-S7M1-DYMS-6290-00000-00&amp;context=" TargetMode="External" /><Relationship Id="rId389" Type="http://schemas.openxmlformats.org/officeDocument/2006/relationships/hyperlink" Target="https://advance.lexis.com/api/document?collection=cases-ca&amp;id=urn:contentItem:5F7T-S6W1-JB7K-21F4-00000-00&amp;context=" TargetMode="External" /><Relationship Id="rId39" Type="http://schemas.openxmlformats.org/officeDocument/2006/relationships/footer" Target="footer8.xml" /><Relationship Id="rId390" Type="http://schemas.openxmlformats.org/officeDocument/2006/relationships/hyperlink" Target="https://advance.lexis.com/api/document?collection=cases-ca&amp;id=urn:contentItem:5F8T-N3S1-JT99-250Y-00000-00&amp;context=" TargetMode="External" /><Relationship Id="rId391" Type="http://schemas.openxmlformats.org/officeDocument/2006/relationships/hyperlink" Target="https://advance.lexis.com/api/document?collection=cases-ca&amp;id=urn:contentItem:5F7T-S7N1-F57G-S2D4-00000-00&amp;context=" TargetMode="External" /><Relationship Id="rId392" Type="http://schemas.openxmlformats.org/officeDocument/2006/relationships/hyperlink" Target="https://advance.lexis.com/api/document?collection=cases-ca&amp;id=urn:contentItem:5F8T-N3S1-JT99-250W-00000-00&amp;context=" TargetMode="External" /><Relationship Id="rId393" Type="http://schemas.openxmlformats.org/officeDocument/2006/relationships/hyperlink" Target="https://advance.lexis.com/api/document?collection=cases-ca&amp;id=urn:contentItem:5F7T-S7H1-FCSB-S3RY-00000-00&amp;context=" TargetMode="External" /><Relationship Id="rId394" Type="http://schemas.openxmlformats.org/officeDocument/2006/relationships/header" Target="header64.xml" /><Relationship Id="rId395" Type="http://schemas.openxmlformats.org/officeDocument/2006/relationships/header" Target="header65.xml" /><Relationship Id="rId396" Type="http://schemas.openxmlformats.org/officeDocument/2006/relationships/footer" Target="footer64.xml" /><Relationship Id="rId397" Type="http://schemas.openxmlformats.org/officeDocument/2006/relationships/footer" Target="footer65.xml" /><Relationship Id="rId398" Type="http://schemas.openxmlformats.org/officeDocument/2006/relationships/header" Target="header66.xml" /><Relationship Id="rId399" Type="http://schemas.openxmlformats.org/officeDocument/2006/relationships/footer" Target="footer66.xml" /><Relationship Id="rId4" Type="http://schemas.openxmlformats.org/officeDocument/2006/relationships/header" Target="header1.xml" /><Relationship Id="rId40" Type="http://schemas.openxmlformats.org/officeDocument/2006/relationships/header" Target="header9.xml" /><Relationship Id="rId400" Type="http://schemas.openxmlformats.org/officeDocument/2006/relationships/hyperlink" Target="https://advance.lexis.com/api/document?collection=cases-ca&amp;id=urn:contentItem:5F7T-S7F1-F7VM-S3WF-00000-00&amp;context=" TargetMode="External" /><Relationship Id="rId401" Type="http://schemas.openxmlformats.org/officeDocument/2006/relationships/header" Target="header67.xml" /><Relationship Id="rId402" Type="http://schemas.openxmlformats.org/officeDocument/2006/relationships/header" Target="header68.xml" /><Relationship Id="rId403" Type="http://schemas.openxmlformats.org/officeDocument/2006/relationships/footer" Target="footer67.xml" /><Relationship Id="rId404" Type="http://schemas.openxmlformats.org/officeDocument/2006/relationships/footer" Target="footer68.xml" /><Relationship Id="rId405" Type="http://schemas.openxmlformats.org/officeDocument/2006/relationships/header" Target="header69.xml" /><Relationship Id="rId406" Type="http://schemas.openxmlformats.org/officeDocument/2006/relationships/footer" Target="footer69.xml" /><Relationship Id="rId407" Type="http://schemas.openxmlformats.org/officeDocument/2006/relationships/hyperlink" Target="https://advance.lexis.com/api/document?collection=cases-ca&amp;id=urn:contentItem:5F7T-S771-JN14-G2PT-00000-00&amp;context=" TargetMode="External" /><Relationship Id="rId408" Type="http://schemas.openxmlformats.org/officeDocument/2006/relationships/hyperlink" Target="https://advance.lexis.com/api/document?collection=cases-ca&amp;id=urn:contentItem:5F7T-S751-F361-M0V6-00000-00&amp;context=" TargetMode="External" /><Relationship Id="rId409" Type="http://schemas.openxmlformats.org/officeDocument/2006/relationships/hyperlink" Target="https://advance.lexis.com/api/document?collection=cases-ca&amp;id=urn:contentItem:5F7T-S6X1-F7ND-G3F1-00000-00&amp;context=" TargetMode="External" /><Relationship Id="rId41" Type="http://schemas.openxmlformats.org/officeDocument/2006/relationships/footer" Target="footer9.xml" /><Relationship Id="rId410" Type="http://schemas.openxmlformats.org/officeDocument/2006/relationships/header" Target="header70.xml" /><Relationship Id="rId411" Type="http://schemas.openxmlformats.org/officeDocument/2006/relationships/header" Target="header71.xml" /><Relationship Id="rId412" Type="http://schemas.openxmlformats.org/officeDocument/2006/relationships/footer" Target="footer70.xml" /><Relationship Id="rId413" Type="http://schemas.openxmlformats.org/officeDocument/2006/relationships/footer" Target="footer71.xml" /><Relationship Id="rId414" Type="http://schemas.openxmlformats.org/officeDocument/2006/relationships/header" Target="header72.xml" /><Relationship Id="rId415" Type="http://schemas.openxmlformats.org/officeDocument/2006/relationships/footer" Target="footer72.xml" /><Relationship Id="rId416" Type="http://schemas.openxmlformats.org/officeDocument/2006/relationships/hyperlink" Target="https://advance.lexis.com/api/document?collection=cases-ca&amp;id=urn:contentItem:5F7T-S6T1-DY89-M2JM-00000-00&amp;context=" TargetMode="External" /><Relationship Id="rId417" Type="http://schemas.openxmlformats.org/officeDocument/2006/relationships/header" Target="header73.xml" /><Relationship Id="rId418" Type="http://schemas.openxmlformats.org/officeDocument/2006/relationships/header" Target="header74.xml" /><Relationship Id="rId419" Type="http://schemas.openxmlformats.org/officeDocument/2006/relationships/footer" Target="footer73.xml" /><Relationship Id="rId42" Type="http://schemas.openxmlformats.org/officeDocument/2006/relationships/hyperlink" Target="https://advance.lexis.com/api/document?collection=cases-ca&amp;id=urn:contentItem:5F7T-S7G1-JN6B-S1BY-00000-00&amp;context=" TargetMode="External" /><Relationship Id="rId420" Type="http://schemas.openxmlformats.org/officeDocument/2006/relationships/footer" Target="footer74.xml" /><Relationship Id="rId421" Type="http://schemas.openxmlformats.org/officeDocument/2006/relationships/header" Target="header75.xml" /><Relationship Id="rId422" Type="http://schemas.openxmlformats.org/officeDocument/2006/relationships/footer" Target="footer75.xml" /><Relationship Id="rId423" Type="http://schemas.openxmlformats.org/officeDocument/2006/relationships/hyperlink" Target="https://advance.lexis.com/api/document?collection=cases-ca&amp;id=urn:contentItem:5F7T-S771-JSJC-X0KK-00000-00&amp;context=" TargetMode="External" /><Relationship Id="rId424" Type="http://schemas.openxmlformats.org/officeDocument/2006/relationships/hyperlink" Target="https://advance.lexis.com/api/document?collection=cases-ca&amp;id=urn:contentItem:5F7T-S6X1-JTNR-M3KJ-00000-00&amp;context=" TargetMode="External" /><Relationship Id="rId425" Type="http://schemas.openxmlformats.org/officeDocument/2006/relationships/hyperlink" Target="https://advance.lexis.com/api/document?collection=cases-ca&amp;id=urn:contentItem:5F7T-S6W1-F7ND-G2SS-00000-00&amp;context=" TargetMode="External" /><Relationship Id="rId426" Type="http://schemas.openxmlformats.org/officeDocument/2006/relationships/hyperlink" Target="https://advance.lexis.com/api/document?collection=cases-ca&amp;id=urn:contentItem:5F7T-S6Y1-F65M-602G-00000-00&amp;context=" TargetMode="External" /><Relationship Id="rId427" Type="http://schemas.openxmlformats.org/officeDocument/2006/relationships/hyperlink" Target="https://advance.lexis.com/api/document?collection=cases-ca&amp;id=urn:contentItem:5F7T-S771-JSJC-X02P-00000-00&amp;context=" TargetMode="External" /><Relationship Id="rId428" Type="http://schemas.openxmlformats.org/officeDocument/2006/relationships/header" Target="header76.xml" /><Relationship Id="rId429" Type="http://schemas.openxmlformats.org/officeDocument/2006/relationships/header" Target="header77.xml" /><Relationship Id="rId43" Type="http://schemas.openxmlformats.org/officeDocument/2006/relationships/hyperlink" Target="https://advance.lexis.com/api/document?collection=legislation-ca&amp;id=urn:contentItem:5F41-1FH1-F361-M0H9-00000-00&amp;context=" TargetMode="External" /><Relationship Id="rId430" Type="http://schemas.openxmlformats.org/officeDocument/2006/relationships/footer" Target="footer76.xml" /><Relationship Id="rId431" Type="http://schemas.openxmlformats.org/officeDocument/2006/relationships/footer" Target="footer77.xml" /><Relationship Id="rId432" Type="http://schemas.openxmlformats.org/officeDocument/2006/relationships/header" Target="header78.xml" /><Relationship Id="rId433" Type="http://schemas.openxmlformats.org/officeDocument/2006/relationships/footer" Target="footer78.xml" /><Relationship Id="rId434" Type="http://schemas.openxmlformats.org/officeDocument/2006/relationships/hyperlink" Target="https://advance.lexis.com/api/document?collection=cases-ca&amp;id=urn:contentItem:5K6X-H241-JNS1-M0MV-00000-00&amp;context=" TargetMode="External" /><Relationship Id="rId435" Type="http://schemas.openxmlformats.org/officeDocument/2006/relationships/hyperlink" Target="https://advance.lexis.com/api/document?collection=cases-ca&amp;id=urn:contentItem:5F7T-S7G1-JWR6-S1SV-00000-00&amp;context=" TargetMode="External" /><Relationship Id="rId436" Type="http://schemas.openxmlformats.org/officeDocument/2006/relationships/header" Target="header79.xml" /><Relationship Id="rId437" Type="http://schemas.openxmlformats.org/officeDocument/2006/relationships/header" Target="header80.xml" /><Relationship Id="rId438" Type="http://schemas.openxmlformats.org/officeDocument/2006/relationships/footer" Target="footer79.xml" /><Relationship Id="rId439" Type="http://schemas.openxmlformats.org/officeDocument/2006/relationships/footer" Target="footer80.xml" /><Relationship Id="rId44" Type="http://schemas.openxmlformats.org/officeDocument/2006/relationships/header" Target="header10.xml" /><Relationship Id="rId440" Type="http://schemas.openxmlformats.org/officeDocument/2006/relationships/header" Target="header81.xml" /><Relationship Id="rId441" Type="http://schemas.openxmlformats.org/officeDocument/2006/relationships/footer" Target="footer81.xml" /><Relationship Id="rId442" Type="http://schemas.openxmlformats.org/officeDocument/2006/relationships/hyperlink" Target="https://advance.lexis.com/api/document?collection=cases-ca&amp;id=urn:contentItem:5F7T-S7C1-F4NT-X33B-00000-00&amp;context=" TargetMode="External" /><Relationship Id="rId443" Type="http://schemas.openxmlformats.org/officeDocument/2006/relationships/hyperlink" Target="https://advance.lexis.com/api/document?collection=cases-ca&amp;id=urn:contentItem:5F7T-S751-JBM1-M2BK-00000-00&amp;context=" TargetMode="External" /><Relationship Id="rId444" Type="http://schemas.openxmlformats.org/officeDocument/2006/relationships/hyperlink" Target="https://advance.lexis.com/api/document?collection=cases-ca&amp;id=urn:contentItem:5F7T-S771-JJD0-G19S-00000-00&amp;context=" TargetMode="External" /><Relationship Id="rId445" Type="http://schemas.openxmlformats.org/officeDocument/2006/relationships/hyperlink" Target="https://advance.lexis.com/api/document?collection=cases-ca&amp;id=urn:contentItem:5F7T-S781-JC5P-G1JB-00000-00&amp;context=" TargetMode="External" /><Relationship Id="rId446" Type="http://schemas.openxmlformats.org/officeDocument/2006/relationships/hyperlink" Target="https://advance.lexis.com/api/document?collection=cases-ca&amp;id=urn:contentItem:5F7T-S781-JC5P-G1RW-00000-00&amp;context=" TargetMode="External" /><Relationship Id="rId447" Type="http://schemas.openxmlformats.org/officeDocument/2006/relationships/hyperlink" Target="https://advance.lexis.com/api/document?collection=cases-ca&amp;id=urn:contentItem:5F7T-S771-F2TK-22PD-00000-00&amp;context=" TargetMode="External" /><Relationship Id="rId448" Type="http://schemas.openxmlformats.org/officeDocument/2006/relationships/hyperlink" Target="https://advance.lexis.com/api/document?collection=cases-ca&amp;id=urn:contentItem:5F7T-S781-F27X-6156-00000-00&amp;context=" TargetMode="External" /><Relationship Id="rId449" Type="http://schemas.openxmlformats.org/officeDocument/2006/relationships/hyperlink" Target="https://advance.lexis.com/api/document?collection=cases-ca&amp;id=urn:contentItem:5F7T-S781-JSC5-M3Y6-00000-00&amp;context=" TargetMode="External" /><Relationship Id="rId45" Type="http://schemas.openxmlformats.org/officeDocument/2006/relationships/header" Target="header11.xml" /><Relationship Id="rId450" Type="http://schemas.openxmlformats.org/officeDocument/2006/relationships/header" Target="header82.xml" /><Relationship Id="rId451" Type="http://schemas.openxmlformats.org/officeDocument/2006/relationships/header" Target="header83.xml" /><Relationship Id="rId452" Type="http://schemas.openxmlformats.org/officeDocument/2006/relationships/footer" Target="footer82.xml" /><Relationship Id="rId453" Type="http://schemas.openxmlformats.org/officeDocument/2006/relationships/footer" Target="footer83.xml" /><Relationship Id="rId454" Type="http://schemas.openxmlformats.org/officeDocument/2006/relationships/header" Target="header84.xml" /><Relationship Id="rId455" Type="http://schemas.openxmlformats.org/officeDocument/2006/relationships/footer" Target="footer84.xml" /><Relationship Id="rId456" Type="http://schemas.openxmlformats.org/officeDocument/2006/relationships/hyperlink" Target="https://advance.lexis.com/api/document?collection=cases-ca&amp;id=urn:contentItem:5F7T-S7C1-JSRM-618C-00000-00&amp;context=" TargetMode="External" /><Relationship Id="rId457" Type="http://schemas.openxmlformats.org/officeDocument/2006/relationships/hyperlink" Target="https://advance.lexis.com/api/document?collection=cases-ca&amp;id=urn:contentItem:5F8T-N3T1-JJSF-236V-00000-00&amp;context=" TargetMode="External" /><Relationship Id="rId458" Type="http://schemas.openxmlformats.org/officeDocument/2006/relationships/hyperlink" Target="https://advance.lexis.com/api/document?collection=cases-ca&amp;id=urn:contentItem:5F81-VJX1-JX3N-B1KR-00000-00&amp;context=" TargetMode="External" /><Relationship Id="rId459" Type="http://schemas.openxmlformats.org/officeDocument/2006/relationships/hyperlink" Target="https://advance.lexis.com/api/document?collection=cases-ca&amp;id=urn:contentItem:5F8P-SD51-F1H1-23TM-00000-00&amp;context=" TargetMode="External" /><Relationship Id="rId46" Type="http://schemas.openxmlformats.org/officeDocument/2006/relationships/footer" Target="footer10.xml" /><Relationship Id="rId460" Type="http://schemas.openxmlformats.org/officeDocument/2006/relationships/hyperlink" Target="https://advance.lexis.com/api/document?collection=cases-ca&amp;id=urn:contentItem:5F8P-SF11-JGPY-X3WW-00000-00&amp;context=" TargetMode="External" /><Relationship Id="rId461" Type="http://schemas.openxmlformats.org/officeDocument/2006/relationships/hyperlink" Target="https://advance.lexis.com/api/document?collection=cases-ca&amp;id=urn:contentItem:5F7T-S701-JF75-M4MG-00000-00&amp;context=" TargetMode="External" /><Relationship Id="rId462" Type="http://schemas.openxmlformats.org/officeDocument/2006/relationships/hyperlink" Target="https://advance.lexis.com/api/document?collection=cases-ca&amp;id=urn:contentItem:5F7T-S721-JSC5-M3D7-00000-00&amp;context=" TargetMode="External" /><Relationship Id="rId463" Type="http://schemas.openxmlformats.org/officeDocument/2006/relationships/hyperlink" Target="https://advance.lexis.com/api/document?collection=cases-ca&amp;id=urn:contentItem:5F8T-N3V1-FC1F-M4F1-00000-00&amp;context=" TargetMode="External" /><Relationship Id="rId464" Type="http://schemas.openxmlformats.org/officeDocument/2006/relationships/header" Target="header85.xml" /><Relationship Id="rId465" Type="http://schemas.openxmlformats.org/officeDocument/2006/relationships/header" Target="header86.xml" /><Relationship Id="rId466" Type="http://schemas.openxmlformats.org/officeDocument/2006/relationships/footer" Target="footer85.xml" /><Relationship Id="rId467" Type="http://schemas.openxmlformats.org/officeDocument/2006/relationships/footer" Target="footer86.xml" /><Relationship Id="rId468" Type="http://schemas.openxmlformats.org/officeDocument/2006/relationships/header" Target="header87.xml" /><Relationship Id="rId469" Type="http://schemas.openxmlformats.org/officeDocument/2006/relationships/footer" Target="footer87.xml" /><Relationship Id="rId47" Type="http://schemas.openxmlformats.org/officeDocument/2006/relationships/footer" Target="footer11.xml" /><Relationship Id="rId470" Type="http://schemas.openxmlformats.org/officeDocument/2006/relationships/hyperlink" Target="https://advance.lexis.com/api/document?collection=cases-ca&amp;id=urn:contentItem:5F7T-S781-F06F-23M5-00000-00&amp;context=" TargetMode="External" /><Relationship Id="rId471" Type="http://schemas.openxmlformats.org/officeDocument/2006/relationships/hyperlink" Target="https://advance.lexis.com/api/document?collection=cases-ca&amp;id=urn:contentItem:5F7T-S741-F7VM-S324-00000-00&amp;context=" TargetMode="External" /><Relationship Id="rId472" Type="http://schemas.openxmlformats.org/officeDocument/2006/relationships/header" Target="header88.xml" /><Relationship Id="rId473" Type="http://schemas.openxmlformats.org/officeDocument/2006/relationships/header" Target="header89.xml" /><Relationship Id="rId474" Type="http://schemas.openxmlformats.org/officeDocument/2006/relationships/footer" Target="footer88.xml" /><Relationship Id="rId475" Type="http://schemas.openxmlformats.org/officeDocument/2006/relationships/footer" Target="footer89.xml" /><Relationship Id="rId476" Type="http://schemas.openxmlformats.org/officeDocument/2006/relationships/header" Target="header90.xml" /><Relationship Id="rId477" Type="http://schemas.openxmlformats.org/officeDocument/2006/relationships/footer" Target="footer90.xml" /><Relationship Id="rId478" Type="http://schemas.openxmlformats.org/officeDocument/2006/relationships/hyperlink" Target="https://advance.lexis.com/api/document?collection=cases-ca&amp;id=urn:contentItem:5F7T-S791-JCJ5-250M-00000-00&amp;context=" TargetMode="External" /><Relationship Id="rId479" Type="http://schemas.openxmlformats.org/officeDocument/2006/relationships/hyperlink" Target="https://advance.lexis.com/api/document?collection=cases-ca&amp;id=urn:contentItem:5F7T-S711-F5KY-B13W-00000-00&amp;context=" TargetMode="External" /><Relationship Id="rId48" Type="http://schemas.openxmlformats.org/officeDocument/2006/relationships/header" Target="header12.xml" /><Relationship Id="rId480" Type="http://schemas.openxmlformats.org/officeDocument/2006/relationships/hyperlink" Target="https://advance.lexis.com/api/document?collection=cases-ca&amp;id=urn:contentItem:5F8T-N3R1-FJDY-X3BM-00000-00&amp;context=" TargetMode="External" /><Relationship Id="rId481" Type="http://schemas.openxmlformats.org/officeDocument/2006/relationships/hyperlink" Target="https://advance.lexis.com/api/document?collection=cases-ca&amp;id=urn:contentItem:5F7T-S741-F1H1-21DT-00000-00&amp;context=" TargetMode="External" /><Relationship Id="rId482" Type="http://schemas.openxmlformats.org/officeDocument/2006/relationships/header" Target="header91.xml" /><Relationship Id="rId483" Type="http://schemas.openxmlformats.org/officeDocument/2006/relationships/header" Target="header92.xml" /><Relationship Id="rId484" Type="http://schemas.openxmlformats.org/officeDocument/2006/relationships/footer" Target="footer91.xml" /><Relationship Id="rId485" Type="http://schemas.openxmlformats.org/officeDocument/2006/relationships/footer" Target="footer92.xml" /><Relationship Id="rId486" Type="http://schemas.openxmlformats.org/officeDocument/2006/relationships/header" Target="header93.xml" /><Relationship Id="rId487" Type="http://schemas.openxmlformats.org/officeDocument/2006/relationships/footer" Target="footer93.xml" /><Relationship Id="rId488" Type="http://schemas.openxmlformats.org/officeDocument/2006/relationships/hyperlink" Target="https://advance.lexis.com/api/document?collection=cases-ca&amp;id=urn:contentItem:5F7T-S771-F81W-22KM-00000-00&amp;context=" TargetMode="External" /><Relationship Id="rId489" Type="http://schemas.openxmlformats.org/officeDocument/2006/relationships/hyperlink" Target="https://advance.lexis.com/api/document?collection=legislation-ca&amp;id=urn:contentItem:5F41-1FJ1-JKPJ-G0PC-00000-00&amp;context=" TargetMode="External" /><Relationship Id="rId49" Type="http://schemas.openxmlformats.org/officeDocument/2006/relationships/footer" Target="footer12.xml" /><Relationship Id="rId490" Type="http://schemas.openxmlformats.org/officeDocument/2006/relationships/hyperlink" Target="https://advance.lexis.com/api/document?collection=legislation-ca&amp;id=urn:contentItem:5F41-1FJ1-JK4W-M0GT-00000-00&amp;context=" TargetMode="External" /><Relationship Id="rId491" Type="http://schemas.openxmlformats.org/officeDocument/2006/relationships/header" Target="header94.xml" /><Relationship Id="rId492" Type="http://schemas.openxmlformats.org/officeDocument/2006/relationships/header" Target="header95.xml" /><Relationship Id="rId493" Type="http://schemas.openxmlformats.org/officeDocument/2006/relationships/footer" Target="footer94.xml" /><Relationship Id="rId494" Type="http://schemas.openxmlformats.org/officeDocument/2006/relationships/footer" Target="footer95.xml" /><Relationship Id="rId495" Type="http://schemas.openxmlformats.org/officeDocument/2006/relationships/header" Target="header96.xml" /><Relationship Id="rId496" Type="http://schemas.openxmlformats.org/officeDocument/2006/relationships/footer" Target="footer96.xml" /><Relationship Id="rId497" Type="http://schemas.openxmlformats.org/officeDocument/2006/relationships/hyperlink" Target="https://advance.lexis.com/api/document?collection=cases-ca&amp;id=urn:contentItem:5F7T-S7G1-JX3N-B2FT-00000-00&amp;context=" TargetMode="External" /><Relationship Id="rId498" Type="http://schemas.openxmlformats.org/officeDocument/2006/relationships/hyperlink" Target="https://advance.lexis.com/api/document?collection=legislation-ca&amp;id=urn:contentItem:5GBY-CM31-JYYX-633F-00000-00&amp;context=" TargetMode="External" /><Relationship Id="rId499" Type="http://schemas.openxmlformats.org/officeDocument/2006/relationships/hyperlink" Target="https://advance.lexis.com/api/document?collection=cases-ca&amp;id=urn:contentItem:5F81-YH41-JX8W-M05P-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VYS-YNC1-JF1Y-B10N-00000-00&amp;context=" TargetMode="External" /><Relationship Id="rId500" Type="http://schemas.openxmlformats.org/officeDocument/2006/relationships/hyperlink" Target="https://advance.lexis.com/api/document?collection=cases-ca&amp;id=urn:contentItem:5F7T-S711-F4W2-61WK-00000-00&amp;context=" TargetMode="External" /><Relationship Id="rId501" Type="http://schemas.openxmlformats.org/officeDocument/2006/relationships/hyperlink" Target="https://advance.lexis.com/api/document?collection=cases-ca&amp;id=urn:contentItem:5F7T-S7H1-JG02-S3RS-00000-00&amp;context=" TargetMode="External" /><Relationship Id="rId502" Type="http://schemas.openxmlformats.org/officeDocument/2006/relationships/hyperlink" Target="https://advance.lexis.com/api/document?collection=cases-ca&amp;id=urn:contentItem:5F7T-S751-JG02-S2HX-00000-00&amp;context=" TargetMode="External" /><Relationship Id="rId503" Type="http://schemas.openxmlformats.org/officeDocument/2006/relationships/hyperlink" Target="https://advance.lexis.com/api/document?collection=cases-ca&amp;id=urn:contentItem:5F7T-S741-DY89-M3NS-00000-00&amp;context=" TargetMode="External" /><Relationship Id="rId504" Type="http://schemas.openxmlformats.org/officeDocument/2006/relationships/hyperlink" Target="https://advance.lexis.com/api/document?collection=cases-ca&amp;id=urn:contentItem:5F7T-S771-JWBS-61WN-00000-00&amp;context=" TargetMode="External" /><Relationship Id="rId505" Type="http://schemas.openxmlformats.org/officeDocument/2006/relationships/hyperlink" Target="https://advance.lexis.com/api/document?collection=cases-ca&amp;id=urn:contentItem:5F7T-S6S1-DXHD-G0S7-00000-00&amp;context=" TargetMode="External" /><Relationship Id="rId506" Type="http://schemas.openxmlformats.org/officeDocument/2006/relationships/header" Target="header97.xml" /><Relationship Id="rId507" Type="http://schemas.openxmlformats.org/officeDocument/2006/relationships/header" Target="header98.xml" /><Relationship Id="rId508" Type="http://schemas.openxmlformats.org/officeDocument/2006/relationships/footer" Target="footer97.xml" /><Relationship Id="rId509" Type="http://schemas.openxmlformats.org/officeDocument/2006/relationships/footer" Target="footer98.xml" /><Relationship Id="rId51" Type="http://schemas.openxmlformats.org/officeDocument/2006/relationships/hyperlink" Target="https://advance.lexis.com/api/document?collection=legislation-ca&amp;id=urn:contentItem:5F41-1FJ1-JBDT-B02W-00000-00&amp;context=" TargetMode="External" /><Relationship Id="rId510" Type="http://schemas.openxmlformats.org/officeDocument/2006/relationships/header" Target="header99.xml" /><Relationship Id="rId511" Type="http://schemas.openxmlformats.org/officeDocument/2006/relationships/footer" Target="footer99.xml" /><Relationship Id="rId512" Type="http://schemas.openxmlformats.org/officeDocument/2006/relationships/hyperlink" Target="https://advance.lexis.com/api/document?collection=cases-ca&amp;id=urn:contentItem:5F7T-S7G1-JN6B-S1D0-00000-00&amp;context=" TargetMode="External" /><Relationship Id="rId513" Type="http://schemas.openxmlformats.org/officeDocument/2006/relationships/hyperlink" Target="https://advance.lexis.com/api/document?collection=cases-ca&amp;id=urn:contentItem:5F8T-N3T1-JJSF-235W-00000-00&amp;context=" TargetMode="External" /><Relationship Id="rId514" Type="http://schemas.openxmlformats.org/officeDocument/2006/relationships/hyperlink" Target="https://advance.lexis.com/api/document?collection=cases-ca&amp;id=urn:contentItem:5F7T-S731-JC0G-63S9-00000-00&amp;context=" TargetMode="External" /><Relationship Id="rId515" Type="http://schemas.openxmlformats.org/officeDocument/2006/relationships/hyperlink" Target="https://advance.lexis.com/api/document?collection=cases-ca&amp;id=urn:contentItem:5F7T-S761-JX8W-M2MC-00000-00&amp;context=" TargetMode="External" /><Relationship Id="rId516" Type="http://schemas.openxmlformats.org/officeDocument/2006/relationships/hyperlink" Target="https://advance.lexis.com/api/document?collection=cases-ca&amp;id=urn:contentItem:5F7T-S731-JC0G-639K-00000-00&amp;context=" TargetMode="External" /><Relationship Id="rId517" Type="http://schemas.openxmlformats.org/officeDocument/2006/relationships/hyperlink" Target="https://advance.lexis.com/api/document?collection=cases-ca&amp;id=urn:contentItem:5F7T-S7G1-F5KY-B1JW-00000-00&amp;context=" TargetMode="External" /><Relationship Id="rId518" Type="http://schemas.openxmlformats.org/officeDocument/2006/relationships/header" Target="header100.xml" /><Relationship Id="rId519" Type="http://schemas.openxmlformats.org/officeDocument/2006/relationships/header" Target="header101.xml" /><Relationship Id="rId52" Type="http://schemas.openxmlformats.org/officeDocument/2006/relationships/hyperlink" Target="https://advance.lexis.com/api/document?collection=cases-ca&amp;id=urn:contentItem:5R7H-T5F1-JX3N-B0NV-00000-00&amp;context=" TargetMode="External" /><Relationship Id="rId520" Type="http://schemas.openxmlformats.org/officeDocument/2006/relationships/footer" Target="footer100.xml" /><Relationship Id="rId521" Type="http://schemas.openxmlformats.org/officeDocument/2006/relationships/footer" Target="footer101.xml" /><Relationship Id="rId522" Type="http://schemas.openxmlformats.org/officeDocument/2006/relationships/header" Target="header102.xml" /><Relationship Id="rId523" Type="http://schemas.openxmlformats.org/officeDocument/2006/relationships/footer" Target="footer102.xml" /><Relationship Id="rId524" Type="http://schemas.openxmlformats.org/officeDocument/2006/relationships/hyperlink" Target="https://advance.lexis.com/api/document?collection=cases-ca&amp;id=urn:contentItem:5F7T-S7B1-JSRM-60GM-00000-00&amp;context=" TargetMode="External" /><Relationship Id="rId525" Type="http://schemas.openxmlformats.org/officeDocument/2006/relationships/hyperlink" Target="https://advance.lexis.com/api/document?collection=cases-ca&amp;id=urn:contentItem:5F8T-N3V1-JF75-M3KJ-00000-00&amp;context=" TargetMode="External" /><Relationship Id="rId526" Type="http://schemas.openxmlformats.org/officeDocument/2006/relationships/hyperlink" Target="https://advance.lexis.com/api/document?collection=cases-ca&amp;id=urn:contentItem:5F7T-S761-JX8W-M2XB-00000-00&amp;context=" TargetMode="External" /><Relationship Id="rId527" Type="http://schemas.openxmlformats.org/officeDocument/2006/relationships/hyperlink" Target="https://advance.lexis.com/api/document?collection=cases-ca&amp;id=urn:contentItem:5F81-VJX1-FGCG-S2YY-00000-00&amp;context=" TargetMode="External" /><Relationship Id="rId528" Type="http://schemas.openxmlformats.org/officeDocument/2006/relationships/hyperlink" Target="https://advance.lexis.com/api/document?collection=cases-ca&amp;id=urn:contentItem:5F8T-N3T1-JGHR-M1Y2-00000-00&amp;context=" TargetMode="External" /><Relationship Id="rId529" Type="http://schemas.openxmlformats.org/officeDocument/2006/relationships/hyperlink" Target="https://advance.lexis.com/api/document?collection=cases-ca&amp;id=urn:contentItem:5F8T-N3V1-JF75-M3W7-00000-00&amp;context=" TargetMode="External" /><Relationship Id="rId53" Type="http://schemas.openxmlformats.org/officeDocument/2006/relationships/hyperlink" Target="https://advance.lexis.com/api/document?collection=cases-ca&amp;id=urn:contentItem:5R2T-NSK1-JNCK-20M7-00000-00&amp;context=" TargetMode="External" /><Relationship Id="rId530" Type="http://schemas.openxmlformats.org/officeDocument/2006/relationships/hyperlink" Target="https://advance.lexis.com/api/document?collection=cases-ca&amp;id=urn:contentItem:5F7T-S6V1-F2TK-21YN-00000-00&amp;context=" TargetMode="External" /><Relationship Id="rId531" Type="http://schemas.openxmlformats.org/officeDocument/2006/relationships/header" Target="header103.xml" /><Relationship Id="rId532" Type="http://schemas.openxmlformats.org/officeDocument/2006/relationships/header" Target="header104.xml" /><Relationship Id="rId533" Type="http://schemas.openxmlformats.org/officeDocument/2006/relationships/footer" Target="footer103.xml" /><Relationship Id="rId534" Type="http://schemas.openxmlformats.org/officeDocument/2006/relationships/footer" Target="footer104.xml" /><Relationship Id="rId535" Type="http://schemas.openxmlformats.org/officeDocument/2006/relationships/header" Target="header105.xml" /><Relationship Id="rId536" Type="http://schemas.openxmlformats.org/officeDocument/2006/relationships/footer" Target="footer105.xml" /><Relationship Id="rId537" Type="http://schemas.openxmlformats.org/officeDocument/2006/relationships/hyperlink" Target="https://advance.lexis.com/api/document?collection=cases-ca&amp;id=urn:contentItem:5F7T-S771-JSJC-X0FG-00000-00&amp;context=" TargetMode="External" /><Relationship Id="rId538" Type="http://schemas.openxmlformats.org/officeDocument/2006/relationships/hyperlink" Target="https://advance.lexis.com/api/document?collection=cases-ca&amp;id=urn:contentItem:5F8P-SC81-JN14-G258-00000-00&amp;context=" TargetMode="External" /><Relationship Id="rId539" Type="http://schemas.openxmlformats.org/officeDocument/2006/relationships/hyperlink" Target="https://advance.lexis.com/api/document?collection=cases-ca&amp;id=urn:contentItem:5F81-WC31-F5KY-B4SM-00000-00&amp;context=" TargetMode="External" /><Relationship Id="rId54" Type="http://schemas.openxmlformats.org/officeDocument/2006/relationships/hyperlink" Target="https://advance.lexis.com/api/document?collection=cases-ca&amp;id=urn:contentItem:5K3Y-46B1-JXG3-X0TT-00000-00&amp;context=" TargetMode="External" /><Relationship Id="rId540" Type="http://schemas.openxmlformats.org/officeDocument/2006/relationships/hyperlink" Target="https://advance.lexis.com/api/document?collection=cases-ca&amp;id=urn:contentItem:5F7T-S741-FJM6-61M5-00000-00&amp;context=" TargetMode="External" /><Relationship Id="rId541" Type="http://schemas.openxmlformats.org/officeDocument/2006/relationships/header" Target="header106.xml" /><Relationship Id="rId542" Type="http://schemas.openxmlformats.org/officeDocument/2006/relationships/header" Target="header107.xml" /><Relationship Id="rId543" Type="http://schemas.openxmlformats.org/officeDocument/2006/relationships/footer" Target="footer106.xml" /><Relationship Id="rId544" Type="http://schemas.openxmlformats.org/officeDocument/2006/relationships/footer" Target="footer107.xml" /><Relationship Id="rId545" Type="http://schemas.openxmlformats.org/officeDocument/2006/relationships/header" Target="header108.xml" /><Relationship Id="rId546" Type="http://schemas.openxmlformats.org/officeDocument/2006/relationships/footer" Target="footer108.xml" /><Relationship Id="rId547" Type="http://schemas.openxmlformats.org/officeDocument/2006/relationships/hyperlink" Target="https://advance.lexis.com/api/document?collection=cases-ca&amp;id=urn:contentItem:5F7T-S7C1-JCJ5-2099-00000-00&amp;context=" TargetMode="External" /><Relationship Id="rId548" Type="http://schemas.openxmlformats.org/officeDocument/2006/relationships/hyperlink" Target="https://advance.lexis.com/api/document?collection=legislation-ca&amp;id=urn:contentItem:5F41-1FG1-JJYN-B04K-00000-00&amp;context=" TargetMode="External" /><Relationship Id="rId549" Type="http://schemas.openxmlformats.org/officeDocument/2006/relationships/hyperlink" Target="https://advance.lexis.com/api/document?collection=cases-ca&amp;id=urn:contentItem:5F7T-S781-F27X-611M-00000-00&amp;context=" TargetMode="External" /><Relationship Id="rId55" Type="http://schemas.openxmlformats.org/officeDocument/2006/relationships/image" Target="media/image1.png" /><Relationship Id="rId550" Type="http://schemas.openxmlformats.org/officeDocument/2006/relationships/hyperlink" Target="https://advance.lexis.com/api/document?collection=cases-ca&amp;id=urn:contentItem:5F7T-S741-F7VM-S351-00000-00&amp;context=" TargetMode="External" /><Relationship Id="rId551" Type="http://schemas.openxmlformats.org/officeDocument/2006/relationships/hyperlink" Target="https://advance.lexis.com/api/document?collection=cases-ca&amp;id=urn:contentItem:5F7T-S731-DY33-B0SJ-00000-00&amp;context=" TargetMode="External" /><Relationship Id="rId552" Type="http://schemas.openxmlformats.org/officeDocument/2006/relationships/hyperlink" Target="https://advance.lexis.com/api/document?collection=cases-ca&amp;id=urn:contentItem:5F7T-S6Y1-F06F-22WG-00000-00&amp;context=" TargetMode="External" /><Relationship Id="rId553" Type="http://schemas.openxmlformats.org/officeDocument/2006/relationships/hyperlink" Target="https://advance.lexis.com/api/document?collection=cases-ca&amp;id=urn:contentItem:5F7T-S751-JBM1-M2DN-00000-00&amp;context=" TargetMode="External" /><Relationship Id="rId554" Type="http://schemas.openxmlformats.org/officeDocument/2006/relationships/hyperlink" Target="https://advance.lexis.com/api/document?collection=cases-ca&amp;id=urn:contentItem:5F8T-N3T1-JFKM-655K-00000-00&amp;context=" TargetMode="External" /><Relationship Id="rId555" Type="http://schemas.openxmlformats.org/officeDocument/2006/relationships/hyperlink" Target="https://advance.lexis.com/api/document?collection=cases-ca&amp;id=urn:contentItem:5F7T-S7B1-FH4C-X3ST-00000-00&amp;context=" TargetMode="External" /><Relationship Id="rId556" Type="http://schemas.openxmlformats.org/officeDocument/2006/relationships/hyperlink" Target="https://advance.lexis.com/api/document?collection=cases-ca&amp;id=urn:contentItem:5F7T-S781-DYMS-61KV-00000-00&amp;context=" TargetMode="External" /><Relationship Id="rId557" Type="http://schemas.openxmlformats.org/officeDocument/2006/relationships/hyperlink" Target="https://advance.lexis.com/api/document?collection=cases-ca&amp;id=urn:contentItem:5F7T-S741-F528-G2J5-00000-00&amp;context=" TargetMode="External" /><Relationship Id="rId558" Type="http://schemas.openxmlformats.org/officeDocument/2006/relationships/hyperlink" Target="https://advance.lexis.com/api/document?collection=cases-ca&amp;id=urn:contentItem:5F7T-S781-JSC5-M4D1-00000-00&amp;context=" TargetMode="External" /><Relationship Id="rId559" Type="http://schemas.openxmlformats.org/officeDocument/2006/relationships/hyperlink" Target="https://advance.lexis.com/api/document?collection=cases-ca&amp;id=urn:contentItem:5F7T-S751-JG02-S21H-00000-00&amp;context=" TargetMode="External" /><Relationship Id="rId56" Type="http://schemas.openxmlformats.org/officeDocument/2006/relationships/hyperlink" Target="https://advance.lexis.com/api/document?collection=cases-ca&amp;id=urn:contentItem:5F7T-S7K1-JWXF-20T3-00000-00&amp;context=" TargetMode="External" /><Relationship Id="rId560" Type="http://schemas.openxmlformats.org/officeDocument/2006/relationships/hyperlink" Target="https://advance.lexis.com/api/document?collection=cases-ca&amp;id=urn:contentItem:5F7T-S771-JJD0-G1FK-00000-00&amp;context=" TargetMode="External" /><Relationship Id="rId561" Type="http://schemas.openxmlformats.org/officeDocument/2006/relationships/hyperlink" Target="https://advance.lexis.com/api/document?collection=cases-ca&amp;id=urn:contentItem:5F7T-S781-DYMS-61HP-00000-00&amp;context=" TargetMode="External" /><Relationship Id="rId562" Type="http://schemas.openxmlformats.org/officeDocument/2006/relationships/hyperlink" Target="https://advance.lexis.com/api/document?collection=cases-ca&amp;id=urn:contentItem:5F7T-S791-FJTD-G2MC-00000-00&amp;context=" TargetMode="External" /><Relationship Id="rId563" Type="http://schemas.openxmlformats.org/officeDocument/2006/relationships/hyperlink" Target="https://advance.lexis.com/api/document?collection=cases-ca&amp;id=urn:contentItem:5F7T-S711-FJDY-X38W-00000-00&amp;context=" TargetMode="External" /><Relationship Id="rId564" Type="http://schemas.openxmlformats.org/officeDocument/2006/relationships/hyperlink" Target="https://advance.lexis.com/api/document?collection=cases-ca&amp;id=urn:contentItem:5F7T-S701-JF75-M4DT-00000-00&amp;context=" TargetMode="External" /><Relationship Id="rId565" Type="http://schemas.openxmlformats.org/officeDocument/2006/relationships/hyperlink" Target="https://advance.lexis.com/api/document?collection=cases-ca&amp;id=urn:contentItem:5F7T-S711-F4GK-M2GV-00000-00&amp;context=" TargetMode="External" /><Relationship Id="rId566" Type="http://schemas.openxmlformats.org/officeDocument/2006/relationships/hyperlink" Target="https://advance.lexis.com/api/document?collection=cases-ca&amp;id=urn:contentItem:5F7T-S771-JN14-G2PR-00000-00&amp;context=" TargetMode="External" /><Relationship Id="rId567" Type="http://schemas.openxmlformats.org/officeDocument/2006/relationships/hyperlink" Target="https://advance.lexis.com/api/document?collection=cases-ca&amp;id=urn:contentItem:5F7T-S781-F7G6-63NT-00000-00&amp;context=" TargetMode="External" /><Relationship Id="rId568" Type="http://schemas.openxmlformats.org/officeDocument/2006/relationships/hyperlink" Target="https://advance.lexis.com/api/document?collection=cases-ca&amp;id=urn:contentItem:5F7T-S771-JTGH-B1DX-00000-00&amp;context=" TargetMode="External" /><Relationship Id="rId569" Type="http://schemas.openxmlformats.org/officeDocument/2006/relationships/header" Target="header109.xml" /><Relationship Id="rId57" Type="http://schemas.openxmlformats.org/officeDocument/2006/relationships/hyperlink" Target="https://advance.lexis.com/api/document?collection=cases-ca&amp;id=urn:contentItem:5F7T-S7M1-JJK6-S1N0-00000-00&amp;context=" TargetMode="External" /><Relationship Id="rId570" Type="http://schemas.openxmlformats.org/officeDocument/2006/relationships/header" Target="header110.xml" /><Relationship Id="rId571" Type="http://schemas.openxmlformats.org/officeDocument/2006/relationships/footer" Target="footer109.xml" /><Relationship Id="rId572" Type="http://schemas.openxmlformats.org/officeDocument/2006/relationships/footer" Target="footer110.xml" /><Relationship Id="rId573" Type="http://schemas.openxmlformats.org/officeDocument/2006/relationships/header" Target="header111.xml" /><Relationship Id="rId574" Type="http://schemas.openxmlformats.org/officeDocument/2006/relationships/footer" Target="footer111.xml" /><Relationship Id="rId575" Type="http://schemas.openxmlformats.org/officeDocument/2006/relationships/hyperlink" Target="https://advance.lexis.com/api/document?collection=cases-ca&amp;id=urn:contentItem:5F7T-S7D1-FFFC-B1DX-00000-00&amp;context=" TargetMode="External" /><Relationship Id="rId576" Type="http://schemas.openxmlformats.org/officeDocument/2006/relationships/hyperlink" Target="https://advance.lexis.com/api/document?collection=legislation-ca&amp;id=urn:contentItem:5F41-1FH1-JSRM-60KK-00000-00&amp;context=" TargetMode="External" /><Relationship Id="rId577" Type="http://schemas.openxmlformats.org/officeDocument/2006/relationships/hyperlink" Target="https://advance.lexis.com/api/document?collection=cases-ca&amp;id=urn:contentItem:5F7T-S741-F8D9-M1VS-00000-00&amp;context=" TargetMode="External" /><Relationship Id="rId578" Type="http://schemas.openxmlformats.org/officeDocument/2006/relationships/hyperlink" Target="https://advance.lexis.com/api/document?collection=cases-ca&amp;id=urn:contentItem:5F7T-S781-FH4C-X2KP-00000-00&amp;context=" TargetMode="External" /><Relationship Id="rId579" Type="http://schemas.openxmlformats.org/officeDocument/2006/relationships/hyperlink" Target="https://advance.lexis.com/api/document?collection=cases-ca&amp;id=urn:contentItem:5F7T-S711-JNS1-M0XF-00000-00&amp;context=" TargetMode="External" /><Relationship Id="rId58" Type="http://schemas.openxmlformats.org/officeDocument/2006/relationships/hyperlink" Target="https://advance.lexis.com/api/document?collection=cases-ca&amp;id=urn:contentItem:5F8T-N3V1-JF75-M3VR-00000-00&amp;context=" TargetMode="External" /><Relationship Id="rId580" Type="http://schemas.openxmlformats.org/officeDocument/2006/relationships/hyperlink" Target="https://advance.lexis.com/api/document?collection=cases-ca&amp;id=urn:contentItem:5F7T-S731-F016-S319-00000-00&amp;context=" TargetMode="External" /><Relationship Id="rId581" Type="http://schemas.openxmlformats.org/officeDocument/2006/relationships/header" Target="header112.xml" /><Relationship Id="rId582" Type="http://schemas.openxmlformats.org/officeDocument/2006/relationships/header" Target="header113.xml" /><Relationship Id="rId583" Type="http://schemas.openxmlformats.org/officeDocument/2006/relationships/footer" Target="footer112.xml" /><Relationship Id="rId584" Type="http://schemas.openxmlformats.org/officeDocument/2006/relationships/footer" Target="footer113.xml" /><Relationship Id="rId585" Type="http://schemas.openxmlformats.org/officeDocument/2006/relationships/header" Target="header114.xml" /><Relationship Id="rId586" Type="http://schemas.openxmlformats.org/officeDocument/2006/relationships/footer" Target="footer114.xml" /><Relationship Id="rId587" Type="http://schemas.openxmlformats.org/officeDocument/2006/relationships/hyperlink" Target="https://advance.lexis.com/api/document?collection=cases-ca&amp;id=urn:contentItem:5F7T-S7D1-FCSB-S34T-00000-00&amp;context=" TargetMode="External" /><Relationship Id="rId588" Type="http://schemas.openxmlformats.org/officeDocument/2006/relationships/hyperlink" Target="https://advance.lexis.com/api/document?collection=cases-ca&amp;id=urn:contentItem:5F8P-SCJ1-JJYN-B24F-00000-00&amp;context=" TargetMode="External" /><Relationship Id="rId589" Type="http://schemas.openxmlformats.org/officeDocument/2006/relationships/header" Target="header115.xml" /><Relationship Id="rId59" Type="http://schemas.openxmlformats.org/officeDocument/2006/relationships/hyperlink" Target="https://advance.lexis.com/api/document?collection=cases-ca&amp;id=urn:contentItem:5F8T-N3V1-FH4C-X1XK-00000-00&amp;context=" TargetMode="External" /><Relationship Id="rId590" Type="http://schemas.openxmlformats.org/officeDocument/2006/relationships/header" Target="header116.xml" /><Relationship Id="rId591" Type="http://schemas.openxmlformats.org/officeDocument/2006/relationships/footer" Target="footer115.xml" /><Relationship Id="rId592" Type="http://schemas.openxmlformats.org/officeDocument/2006/relationships/footer" Target="footer116.xml" /><Relationship Id="rId593" Type="http://schemas.openxmlformats.org/officeDocument/2006/relationships/header" Target="header117.xml" /><Relationship Id="rId594" Type="http://schemas.openxmlformats.org/officeDocument/2006/relationships/footer" Target="footer117.xml" /><Relationship Id="rId595" Type="http://schemas.openxmlformats.org/officeDocument/2006/relationships/hyperlink" Target="https://advance.lexis.com/api/document?collection=cases-ca&amp;id=urn:contentItem:5F7T-S771-F81W-22K2-00000-00&amp;context=" TargetMode="External" /><Relationship Id="rId596" Type="http://schemas.openxmlformats.org/officeDocument/2006/relationships/hyperlink" Target="https://advance.lexis.com/api/document?collection=cases-ca&amp;id=urn:contentItem:5F8T-N3R1-JNS1-M11K-00000-00&amp;context=" TargetMode="External" /><Relationship Id="rId597" Type="http://schemas.openxmlformats.org/officeDocument/2006/relationships/hyperlink" Target="https://advance.lexis.com/api/document?collection=cases-ca&amp;id=urn:contentItem:5F7T-S6S1-F60C-X0SM-00000-00&amp;context=" TargetMode="External" /><Relationship Id="rId598" Type="http://schemas.openxmlformats.org/officeDocument/2006/relationships/hyperlink" Target="https://advance.lexis.com/api/document?collection=cases-ca&amp;id=urn:contentItem:5F7T-S751-JX3N-B0R9-00000-00&amp;context=" TargetMode="External" /><Relationship Id="rId599" Type="http://schemas.openxmlformats.org/officeDocument/2006/relationships/hyperlink" Target="https://advance.lexis.com/api/document?collection=cases-ca&amp;id=urn:contentItem:5F7T-S6T1-FJTD-G1PC-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GRD-0501-JSRM-61D4-00000-00&amp;context=" TargetMode="External" /><Relationship Id="rId600" Type="http://schemas.openxmlformats.org/officeDocument/2006/relationships/hyperlink" Target="https://advance.lexis.com/api/document?collection=cases-ca&amp;id=urn:contentItem:5F7T-S6T1-F361-M071-00000-00&amp;context=" TargetMode="External" /><Relationship Id="rId601" Type="http://schemas.openxmlformats.org/officeDocument/2006/relationships/hyperlink" Target="https://advance.lexis.com/api/document?collection=cases-ca&amp;id=urn:contentItem:5F7T-S6T1-JTNR-M298-00000-00&amp;context=" TargetMode="External" /><Relationship Id="rId602" Type="http://schemas.openxmlformats.org/officeDocument/2006/relationships/hyperlink" Target="https://advance.lexis.com/api/document?collection=cases-ca&amp;id=urn:contentItem:5F7T-S6V1-F956-S05H-00000-00&amp;context=" TargetMode="External" /><Relationship Id="rId603" Type="http://schemas.openxmlformats.org/officeDocument/2006/relationships/hyperlink" Target="https://advance.lexis.com/api/document?collection=cases-ca&amp;id=urn:contentItem:5F7T-S6X1-F7G6-623M-00000-00&amp;context=" TargetMode="External" /><Relationship Id="rId604" Type="http://schemas.openxmlformats.org/officeDocument/2006/relationships/header" Target="header118.xml" /><Relationship Id="rId605" Type="http://schemas.openxmlformats.org/officeDocument/2006/relationships/header" Target="header119.xml" /><Relationship Id="rId606" Type="http://schemas.openxmlformats.org/officeDocument/2006/relationships/footer" Target="footer118.xml" /><Relationship Id="rId607" Type="http://schemas.openxmlformats.org/officeDocument/2006/relationships/footer" Target="footer119.xml" /><Relationship Id="rId608" Type="http://schemas.openxmlformats.org/officeDocument/2006/relationships/header" Target="header120.xml" /><Relationship Id="rId609" Type="http://schemas.openxmlformats.org/officeDocument/2006/relationships/footer" Target="footer120.xml" /><Relationship Id="rId61" Type="http://schemas.openxmlformats.org/officeDocument/2006/relationships/hyperlink" Target="https://advance.lexis.com/api/document?collection=cases-ca&amp;id=urn:contentItem:5G77-HXG1-FCK4-G3XK-00000-00&amp;context=" TargetMode="External" /><Relationship Id="rId610" Type="http://schemas.openxmlformats.org/officeDocument/2006/relationships/hyperlink" Target="https://advance.lexis.com/api/document?collection=cases-ca&amp;id=urn:contentItem:5F7T-S781-JSC5-M486-00000-00&amp;context=" TargetMode="External" /><Relationship Id="rId611" Type="http://schemas.openxmlformats.org/officeDocument/2006/relationships/hyperlink" Target="https://advance.lexis.com/api/document?collection=cases-ca&amp;id=urn:contentItem:5F7T-S751-JBM1-M2CY-00000-00&amp;context=" TargetMode="External" /><Relationship Id="rId612" Type="http://schemas.openxmlformats.org/officeDocument/2006/relationships/header" Target="header121.xml" /><Relationship Id="rId613" Type="http://schemas.openxmlformats.org/officeDocument/2006/relationships/header" Target="header122.xml" /><Relationship Id="rId614" Type="http://schemas.openxmlformats.org/officeDocument/2006/relationships/footer" Target="footer121.xml" /><Relationship Id="rId615" Type="http://schemas.openxmlformats.org/officeDocument/2006/relationships/footer" Target="footer122.xml" /><Relationship Id="rId616" Type="http://schemas.openxmlformats.org/officeDocument/2006/relationships/header" Target="header123.xml" /><Relationship Id="rId617" Type="http://schemas.openxmlformats.org/officeDocument/2006/relationships/footer" Target="footer123.xml" /><Relationship Id="rId618" Type="http://schemas.openxmlformats.org/officeDocument/2006/relationships/hyperlink" Target="https://advance.lexis.com/api/document?collection=cases-ca&amp;id=urn:contentItem:5F7T-S7C1-JCJ5-20B9-00000-00&amp;context=" TargetMode="External" /><Relationship Id="rId619" Type="http://schemas.openxmlformats.org/officeDocument/2006/relationships/hyperlink" Target="https://advance.lexis.com/api/document?collection=cases-ca&amp;id=urn:contentItem:5F81-WC31-F5KY-B4TG-00000-00&amp;context=" TargetMode="External" /><Relationship Id="rId62" Type="http://schemas.openxmlformats.org/officeDocument/2006/relationships/hyperlink" Target="https://advance.lexis.com/api/document?collection=cases-ca&amp;id=urn:contentItem:5F8T-N3V1-FC1F-M42R-00000-00&amp;context=" TargetMode="External" /><Relationship Id="rId620" Type="http://schemas.openxmlformats.org/officeDocument/2006/relationships/header" Target="header124.xml" /><Relationship Id="rId621" Type="http://schemas.openxmlformats.org/officeDocument/2006/relationships/header" Target="header125.xml" /><Relationship Id="rId622" Type="http://schemas.openxmlformats.org/officeDocument/2006/relationships/footer" Target="footer124.xml" /><Relationship Id="rId623" Type="http://schemas.openxmlformats.org/officeDocument/2006/relationships/footer" Target="footer125.xml" /><Relationship Id="rId624" Type="http://schemas.openxmlformats.org/officeDocument/2006/relationships/header" Target="header126.xml" /><Relationship Id="rId625" Type="http://schemas.openxmlformats.org/officeDocument/2006/relationships/footer" Target="footer126.xml" /><Relationship Id="rId626" Type="http://schemas.openxmlformats.org/officeDocument/2006/relationships/hyperlink" Target="https://advance.lexis.com/api/document?collection=cases-ca&amp;id=urn:contentItem:5F7T-S771-F81W-22RX-00000-00&amp;context=" TargetMode="External" /><Relationship Id="rId627" Type="http://schemas.openxmlformats.org/officeDocument/2006/relationships/hyperlink" Target="https://advance.lexis.com/api/document?collection=cases-ca&amp;id=urn:contentItem:5F7T-S701-JJYN-B2WC-00000-00&amp;context=" TargetMode="External" /><Relationship Id="rId628" Type="http://schemas.openxmlformats.org/officeDocument/2006/relationships/hyperlink" Target="https://advance.lexis.com/api/document?collection=cases-ca&amp;id=urn:contentItem:5F8T-N3V1-JF75-M3FN-00000-00&amp;context=" TargetMode="External" /><Relationship Id="rId629" Type="http://schemas.openxmlformats.org/officeDocument/2006/relationships/hyperlink" Target="https://advance.lexis.com/api/document?collection=cases-ca&amp;id=urn:contentItem:5F81-VJX1-F5T5-M4HH-00000-00&amp;context=" TargetMode="External" /><Relationship Id="rId63" Type="http://schemas.openxmlformats.org/officeDocument/2006/relationships/hyperlink" Target="https://advance.lexis.com/api/document?collection=cases-ca&amp;id=urn:contentItem:5F7T-S7M1-JCRC-B1P1-00000-00&amp;context=" TargetMode="External" /><Relationship Id="rId630" Type="http://schemas.openxmlformats.org/officeDocument/2006/relationships/hyperlink" Target="https://advance.lexis.com/api/document?collection=cases-ca&amp;id=urn:contentItem:5F7T-S711-F4W2-61FW-00000-00&amp;context=" TargetMode="External" /><Relationship Id="rId631" Type="http://schemas.openxmlformats.org/officeDocument/2006/relationships/hyperlink" Target="https://advance.lexis.com/api/document?collection=cases-ca&amp;id=urn:contentItem:5F8T-N3V1-JFKM-6052-00000-00&amp;context=" TargetMode="External" /><Relationship Id="rId632" Type="http://schemas.openxmlformats.org/officeDocument/2006/relationships/header" Target="header127.xml" /><Relationship Id="rId633" Type="http://schemas.openxmlformats.org/officeDocument/2006/relationships/header" Target="header128.xml" /><Relationship Id="rId634" Type="http://schemas.openxmlformats.org/officeDocument/2006/relationships/footer" Target="footer127.xml" /><Relationship Id="rId635" Type="http://schemas.openxmlformats.org/officeDocument/2006/relationships/footer" Target="footer128.xml" /><Relationship Id="rId636" Type="http://schemas.openxmlformats.org/officeDocument/2006/relationships/header" Target="header129.xml" /><Relationship Id="rId637" Type="http://schemas.openxmlformats.org/officeDocument/2006/relationships/footer" Target="footer129.xml" /><Relationship Id="rId638" Type="http://schemas.openxmlformats.org/officeDocument/2006/relationships/hyperlink" Target="https://advance.lexis.com/api/document?collection=cases-ca&amp;id=urn:contentItem:5F7T-S7C1-F30T-B2GY-00000-00&amp;context=" TargetMode="External" /><Relationship Id="rId639" Type="http://schemas.openxmlformats.org/officeDocument/2006/relationships/hyperlink" Target="https://advance.lexis.com/api/document?collection=cases-ca&amp;id=urn:contentItem:5F8T-N3V1-JFKM-601K-00000-00&amp;context=" TargetMode="External" /><Relationship Id="rId64" Type="http://schemas.openxmlformats.org/officeDocument/2006/relationships/hyperlink" Target="https://advance.lexis.com/api/document?collection=cases-ca&amp;id=urn:contentItem:5F7T-S7H1-JFSV-G34F-00000-00&amp;context=" TargetMode="External" /><Relationship Id="rId640" Type="http://schemas.openxmlformats.org/officeDocument/2006/relationships/hyperlink" Target="https://advance.lexis.com/api/document?collection=cases-ca&amp;id=urn:contentItem:5F7T-XPW1-JFKM-63KW-00000-00&amp;context=" TargetMode="External" /><Relationship Id="rId641" Type="http://schemas.openxmlformats.org/officeDocument/2006/relationships/hyperlink" Target="https://advance.lexis.com/api/document?collection=cases-ca&amp;id=urn:contentItem:5F8T-N3S1-JT99-24ND-00000-00&amp;context=" TargetMode="External" /><Relationship Id="rId642" Type="http://schemas.openxmlformats.org/officeDocument/2006/relationships/hyperlink" Target="https://advance.lexis.com/api/document?collection=cases-ca&amp;id=urn:contentItem:5F7T-S731-FFFC-B0J8-00000-00&amp;context=" TargetMode="External" /><Relationship Id="rId643" Type="http://schemas.openxmlformats.org/officeDocument/2006/relationships/hyperlink" Target="https://advance.lexis.com/api/document?collection=cases-ca&amp;id=urn:contentItem:5F7T-S741-F57G-S1XB-00000-00&amp;context=" TargetMode="External" /><Relationship Id="rId644" Type="http://schemas.openxmlformats.org/officeDocument/2006/relationships/header" Target="header130.xml" /><Relationship Id="rId645" Type="http://schemas.openxmlformats.org/officeDocument/2006/relationships/header" Target="header131.xml" /><Relationship Id="rId646" Type="http://schemas.openxmlformats.org/officeDocument/2006/relationships/footer" Target="footer130.xml" /><Relationship Id="rId647" Type="http://schemas.openxmlformats.org/officeDocument/2006/relationships/footer" Target="footer131.xml" /><Relationship Id="rId648" Type="http://schemas.openxmlformats.org/officeDocument/2006/relationships/header" Target="header132.xml" /><Relationship Id="rId649" Type="http://schemas.openxmlformats.org/officeDocument/2006/relationships/footer" Target="footer132.xml" /><Relationship Id="rId65" Type="http://schemas.openxmlformats.org/officeDocument/2006/relationships/hyperlink" Target="https://advance.lexis.com/api/document?collection=cases-ca&amp;id=urn:contentItem:5F7T-S7N1-F06F-24TJ-00000-00&amp;context=" TargetMode="External" /><Relationship Id="rId650" Type="http://schemas.openxmlformats.org/officeDocument/2006/relationships/hyperlink" Target="https://advance.lexis.com/api/document?collection=cases-ca&amp;id=urn:contentItem:5F7T-S7M1-JNCK-22WG-00000-00&amp;context=" TargetMode="External" /><Relationship Id="rId651" Type="http://schemas.openxmlformats.org/officeDocument/2006/relationships/hyperlink" Target="https://advance.lexis.com/api/document?collection=cases-ca&amp;id=urn:contentItem:5F7T-S6T1-JP9P-G0X4-00000-00&amp;context=" TargetMode="External" /><Relationship Id="rId652" Type="http://schemas.openxmlformats.org/officeDocument/2006/relationships/hyperlink" Target="https://advance.lexis.com/api/document?collection=cases-ca&amp;id=urn:contentItem:5F7T-S711-JNS1-M0WJ-00000-00&amp;context=" TargetMode="External" /><Relationship Id="rId653" Type="http://schemas.openxmlformats.org/officeDocument/2006/relationships/hyperlink" Target="https://advance.lexis.com/api/document?collection=cases-ca&amp;id=urn:contentItem:5F7T-S721-JSC5-M3BV-00000-00&amp;context=" TargetMode="External" /><Relationship Id="rId654" Type="http://schemas.openxmlformats.org/officeDocument/2006/relationships/hyperlink" Target="https://advance.lexis.com/api/document?collection=cases-ca&amp;id=urn:contentItem:5F7T-S731-F016-S37M-00000-00&amp;context=" TargetMode="External" /><Relationship Id="rId655" Type="http://schemas.openxmlformats.org/officeDocument/2006/relationships/hyperlink" Target="https://advance.lexis.com/api/document?collection=cases-ca&amp;id=urn:contentItem:5F7T-S7C1-FGRY-B057-00000-00&amp;context=" TargetMode="External" /><Relationship Id="rId656" Type="http://schemas.openxmlformats.org/officeDocument/2006/relationships/hyperlink" Target="https://advance.lexis.com/api/document?collection=cases-ca&amp;id=urn:contentItem:5F7T-S7H1-FCSB-S3FM-00000-00&amp;context=" TargetMode="External" /><Relationship Id="rId657" Type="http://schemas.openxmlformats.org/officeDocument/2006/relationships/hyperlink" Target="https://advance.lexis.com/api/document?collection=cases-ca&amp;id=urn:contentItem:5F7T-S7H1-FCSB-S3RD-00000-00&amp;context=" TargetMode="External" /><Relationship Id="rId658" Type="http://schemas.openxmlformats.org/officeDocument/2006/relationships/header" Target="header133.xml" /><Relationship Id="rId659" Type="http://schemas.openxmlformats.org/officeDocument/2006/relationships/header" Target="header134.xml" /><Relationship Id="rId66" Type="http://schemas.openxmlformats.org/officeDocument/2006/relationships/hyperlink" Target="https://advance.lexis.com/api/document?collection=cases-ca&amp;id=urn:contentItem:5F8T-N3V1-JF75-M3B2-00000-00&amp;context=" TargetMode="External" /><Relationship Id="rId660" Type="http://schemas.openxmlformats.org/officeDocument/2006/relationships/footer" Target="footer133.xml" /><Relationship Id="rId661" Type="http://schemas.openxmlformats.org/officeDocument/2006/relationships/footer" Target="footer134.xml" /><Relationship Id="rId662" Type="http://schemas.openxmlformats.org/officeDocument/2006/relationships/header" Target="header135.xml" /><Relationship Id="rId663" Type="http://schemas.openxmlformats.org/officeDocument/2006/relationships/footer" Target="footer135.xml" /><Relationship Id="rId664" Type="http://schemas.openxmlformats.org/officeDocument/2006/relationships/hyperlink" Target="https://advance.lexis.com/api/document?collection=cases-ca&amp;id=urn:contentItem:5F7T-S771-JWBS-61TR-00000-00&amp;context=" TargetMode="External" /><Relationship Id="rId665" Type="http://schemas.openxmlformats.org/officeDocument/2006/relationships/hyperlink" Target="https://advance.lexis.com/api/document?collection=cases-ca&amp;id=urn:contentItem:5F8T-N3V1-JFKM-609G-00000-00&amp;context=" TargetMode="External" /><Relationship Id="rId666" Type="http://schemas.openxmlformats.org/officeDocument/2006/relationships/hyperlink" Target="https://advance.lexis.com/api/document?collection=cases-ca&amp;id=urn:contentItem:5F8P-SD51-F1H1-24KX-00000-00&amp;context=" TargetMode="External" /><Relationship Id="rId667" Type="http://schemas.openxmlformats.org/officeDocument/2006/relationships/hyperlink" Target="https://advance.lexis.com/api/document?collection=cases-ca&amp;id=urn:contentItem:5F7F-5RH1-FJM6-603V-00000-00&amp;context=" TargetMode="External" /><Relationship Id="rId668" Type="http://schemas.openxmlformats.org/officeDocument/2006/relationships/hyperlink" Target="https://advance.lexis.com/api/document?collection=cases-ca&amp;id=urn:contentItem:5F7T-S7H1-K054-G249-00000-00&amp;context=" TargetMode="External" /><Relationship Id="rId669" Type="http://schemas.openxmlformats.org/officeDocument/2006/relationships/hyperlink" Target="https://advance.lexis.com/api/document?collection=cases-ca&amp;id=urn:contentItem:5F7T-S6T1-JT99-20TD-00000-00&amp;context=" TargetMode="External" /><Relationship Id="rId67" Type="http://schemas.openxmlformats.org/officeDocument/2006/relationships/hyperlink" Target="https://advance.lexis.com/api/document?collection=cases-ca&amp;id=urn:contentItem:5F8T-N3V1-FC1F-M3W8-00000-00&amp;context=" TargetMode="External" /><Relationship Id="rId670" Type="http://schemas.openxmlformats.org/officeDocument/2006/relationships/hyperlink" Target="https://advance.lexis.com/api/document?collection=cases-ca&amp;id=urn:contentItem:5F8T-N3V1-JFKM-609F-00000-00&amp;context=" TargetMode="External" /><Relationship Id="rId671" Type="http://schemas.openxmlformats.org/officeDocument/2006/relationships/hyperlink" Target="https://advance.lexis.com/api/document?collection=cases-ca&amp;id=urn:contentItem:5F8T-N3T1-JFKM-652N-00000-00&amp;context=" TargetMode="External" /><Relationship Id="rId672" Type="http://schemas.openxmlformats.org/officeDocument/2006/relationships/hyperlink" Target="https://advance.lexis.com/api/document?collection=cases-ca&amp;id=urn:contentItem:5F8T-N3V1-FC1F-M41Y-00000-00&amp;context=" TargetMode="External" /><Relationship Id="rId673" Type="http://schemas.openxmlformats.org/officeDocument/2006/relationships/hyperlink" Target="https://advance.lexis.com/api/document?collection=cases-ca&amp;id=urn:contentItem:5F8T-N3T1-JJSF-23DJ-00000-00&amp;context=" TargetMode="External" /><Relationship Id="rId674" Type="http://schemas.openxmlformats.org/officeDocument/2006/relationships/hyperlink" Target="https://advance.lexis.com/api/document?collection=cases-ca&amp;id=urn:contentItem:5F7T-S731-F016-S3GG-00000-00&amp;context=" TargetMode="External" /><Relationship Id="rId675" Type="http://schemas.openxmlformats.org/officeDocument/2006/relationships/hyperlink" Target="https://advance.lexis.com/api/document?collection=cases-ca&amp;id=urn:contentItem:5F8T-N3V1-FC1F-M434-00000-00&amp;context=" TargetMode="External" /><Relationship Id="rId676" Type="http://schemas.openxmlformats.org/officeDocument/2006/relationships/hyperlink" Target="https://advance.lexis.com/api/document?collection=cases-ca&amp;id=urn:contentItem:5F8T-N3V1-FC1F-M41H-00000-00&amp;context=" TargetMode="External" /><Relationship Id="rId677" Type="http://schemas.openxmlformats.org/officeDocument/2006/relationships/hyperlink" Target="https://advance.lexis.com/api/document?collection=cases-ca&amp;id=urn:contentItem:5F8T-N3T1-JJSF-23CF-00000-00&amp;context=" TargetMode="External" /><Relationship Id="rId678" Type="http://schemas.openxmlformats.org/officeDocument/2006/relationships/hyperlink" Target="https://advance.lexis.com/api/document?collection=cases-ca&amp;id=urn:contentItem:5F7T-S721-F5T5-M2K0-00000-00&amp;context=" TargetMode="External" /><Relationship Id="rId679" Type="http://schemas.openxmlformats.org/officeDocument/2006/relationships/hyperlink" Target="https://advance.lexis.com/api/document?collection=cases-ca&amp;id=urn:contentItem:5F7T-S761-FFMK-M0YH-00000-00&amp;context=" TargetMode="External" /><Relationship Id="rId68" Type="http://schemas.openxmlformats.org/officeDocument/2006/relationships/header" Target="header13.xml" /><Relationship Id="rId680" Type="http://schemas.openxmlformats.org/officeDocument/2006/relationships/header" Target="header136.xml" /><Relationship Id="rId681" Type="http://schemas.openxmlformats.org/officeDocument/2006/relationships/header" Target="header137.xml" /><Relationship Id="rId682" Type="http://schemas.openxmlformats.org/officeDocument/2006/relationships/footer" Target="footer136.xml" /><Relationship Id="rId683" Type="http://schemas.openxmlformats.org/officeDocument/2006/relationships/footer" Target="footer137.xml" /><Relationship Id="rId684" Type="http://schemas.openxmlformats.org/officeDocument/2006/relationships/header" Target="header138.xml" /><Relationship Id="rId685" Type="http://schemas.openxmlformats.org/officeDocument/2006/relationships/footer" Target="footer138.xml" /><Relationship Id="rId686" Type="http://schemas.openxmlformats.org/officeDocument/2006/relationships/hyperlink" Target="https://advance.lexis.com/api/document?collection=cases-ca&amp;id=urn:contentItem:5F7T-S7F1-FFFC-B1NG-00000-00&amp;context=" TargetMode="External" /><Relationship Id="rId687" Type="http://schemas.openxmlformats.org/officeDocument/2006/relationships/hyperlink" Target="https://advance.lexis.com/api/document?collection=cases-ca&amp;id=urn:contentItem:5F8T-N3S1-JT99-24SX-00000-00&amp;context=" TargetMode="External" /><Relationship Id="rId688" Type="http://schemas.openxmlformats.org/officeDocument/2006/relationships/hyperlink" Target="https://advance.lexis.com/api/document?collection=cases-ca&amp;id=urn:contentItem:5F7T-S741-F57G-S1FC-00000-00&amp;context=" TargetMode="External" /><Relationship Id="rId689" Type="http://schemas.openxmlformats.org/officeDocument/2006/relationships/hyperlink" Target="https://advance.lexis.com/api/document?collection=cases-ca&amp;id=urn:contentItem:5F8T-N3V1-JF75-M3DF-00000-00&amp;context=" TargetMode="External" /><Relationship Id="rId69" Type="http://schemas.openxmlformats.org/officeDocument/2006/relationships/header" Target="header14.xml" /><Relationship Id="rId690" Type="http://schemas.openxmlformats.org/officeDocument/2006/relationships/hyperlink" Target="https://advance.lexis.com/api/document?collection=cases-ca&amp;id=urn:contentItem:5F7T-S7C1-F7VM-S3J1-00000-00&amp;context=" TargetMode="External" /><Relationship Id="rId691" Type="http://schemas.openxmlformats.org/officeDocument/2006/relationships/hyperlink" Target="https://advance.lexis.com/api/document?collection=cases-ca&amp;id=urn:contentItem:5F16-9301-F8KH-X337-00000-00&amp;context=" TargetMode="External" /><Relationship Id="rId692" Type="http://schemas.openxmlformats.org/officeDocument/2006/relationships/hyperlink" Target="https://advance.lexis.com/api/document?collection=cases-ca&amp;id=urn:contentItem:5F81-VJW1-FGY5-M2Y6-00000-00&amp;context=" TargetMode="External" /><Relationship Id="rId693" Type="http://schemas.openxmlformats.org/officeDocument/2006/relationships/hyperlink" Target="https://advance.lexis.com/api/document?collection=cases-ca&amp;id=urn:contentItem:5F8T-N3T1-JJSF-23F8-00000-00&amp;context=" TargetMode="External" /><Relationship Id="rId694" Type="http://schemas.openxmlformats.org/officeDocument/2006/relationships/hyperlink" Target="https://advance.lexis.com/api/document?collection=cases-ca&amp;id=urn:contentItem:5F8T-N3T1-JJSF-233X-00000-00&amp;context=" TargetMode="External" /><Relationship Id="rId695" Type="http://schemas.openxmlformats.org/officeDocument/2006/relationships/hyperlink" Target="https://advance.lexis.com/api/document?collection=cases-ca&amp;id=urn:contentItem:5F81-VJV1-F8D9-M035-00000-00&amp;context=" TargetMode="External" /><Relationship Id="rId696" Type="http://schemas.openxmlformats.org/officeDocument/2006/relationships/hyperlink" Target="https://advance.lexis.com/api/document?collection=cases-ca&amp;id=urn:contentItem:5F8T-N3S1-JBDT-B08G-00000-00&amp;context=" TargetMode="External" /><Relationship Id="rId697" Type="http://schemas.openxmlformats.org/officeDocument/2006/relationships/hyperlink" Target="https://advance.lexis.com/api/document?collection=cases-ca&amp;id=urn:contentItem:5F8T-N3T1-JFKM-6519-00000-00&amp;context=" TargetMode="External" /><Relationship Id="rId698" Type="http://schemas.openxmlformats.org/officeDocument/2006/relationships/hyperlink" Target="https://advance.lexis.com/api/document?collection=cases-ca&amp;id=urn:contentItem:5F8T-N3V1-JTGH-B13R-00000-00&amp;context=" TargetMode="External" /><Relationship Id="rId699" Type="http://schemas.openxmlformats.org/officeDocument/2006/relationships/hyperlink" Target="https://advance.lexis.com/api/document?collection=cases-ca&amp;id=urn:contentItem:5F7T-S6Y1-JPP5-215W-00000-00&amp;context=" TargetMode="External" /><Relationship Id="rId7" Type="http://schemas.openxmlformats.org/officeDocument/2006/relationships/footer" Target="footer2.xml" /><Relationship Id="rId70" Type="http://schemas.openxmlformats.org/officeDocument/2006/relationships/footer" Target="footer13.xml" /><Relationship Id="rId700" Type="http://schemas.openxmlformats.org/officeDocument/2006/relationships/hyperlink" Target="https://advance.lexis.com/api/document?collection=cases-ca&amp;id=urn:contentItem:5F7T-S721-F8D9-M176-00000-00&amp;context=" TargetMode="External" /><Relationship Id="rId701" Type="http://schemas.openxmlformats.org/officeDocument/2006/relationships/hyperlink" Target="https://advance.lexis.com/api/document?collection=cases-ca&amp;id=urn:contentItem:5F7T-S731-F1WF-M293-00000-00&amp;context=" TargetMode="External" /><Relationship Id="rId702" Type="http://schemas.openxmlformats.org/officeDocument/2006/relationships/hyperlink" Target="https://advance.lexis.com/api/document?collection=cases-ca&amp;id=urn:contentItem:5F7T-S731-DY33-B0XB-00000-00&amp;context=" TargetMode="External" /><Relationship Id="rId703" Type="http://schemas.openxmlformats.org/officeDocument/2006/relationships/header" Target="header139.xml" /><Relationship Id="rId704" Type="http://schemas.openxmlformats.org/officeDocument/2006/relationships/header" Target="header140.xml" /><Relationship Id="rId705" Type="http://schemas.openxmlformats.org/officeDocument/2006/relationships/footer" Target="footer139.xml" /><Relationship Id="rId706" Type="http://schemas.openxmlformats.org/officeDocument/2006/relationships/footer" Target="footer140.xml" /><Relationship Id="rId707" Type="http://schemas.openxmlformats.org/officeDocument/2006/relationships/header" Target="header141.xml" /><Relationship Id="rId708" Type="http://schemas.openxmlformats.org/officeDocument/2006/relationships/footer" Target="footer141.xml" /><Relationship Id="rId709" Type="http://schemas.openxmlformats.org/officeDocument/2006/relationships/hyperlink" Target="https://advance.lexis.com/api/document?collection=cases-ca&amp;id=urn:contentItem:5F7T-S781-JC5P-G1JC-00000-00&amp;context=" TargetMode="External" /><Relationship Id="rId71" Type="http://schemas.openxmlformats.org/officeDocument/2006/relationships/footer" Target="footer14.xml" /><Relationship Id="rId710" Type="http://schemas.openxmlformats.org/officeDocument/2006/relationships/hyperlink" Target="https://advance.lexis.com/api/document?collection=cases-ca&amp;id=urn:contentItem:5F7T-S781-F7G6-639N-00000-00&amp;context=" TargetMode="External" /><Relationship Id="rId711" Type="http://schemas.openxmlformats.org/officeDocument/2006/relationships/hyperlink" Target="https://advance.lexis.com/api/document?collection=cases-ca&amp;id=urn:contentItem:5F8T-N3V1-FC1F-M42M-00000-00&amp;context=" TargetMode="External" /><Relationship Id="rId712" Type="http://schemas.openxmlformats.org/officeDocument/2006/relationships/hyperlink" Target="https://advance.lexis.com/api/document?collection=cases-ca&amp;id=urn:contentItem:5F16-9301-JW5H-X3NM-00000-00&amp;context=" TargetMode="External" /><Relationship Id="rId713" Type="http://schemas.openxmlformats.org/officeDocument/2006/relationships/hyperlink" Target="https://advance.lexis.com/api/document?collection=cases-ca&amp;id=urn:contentItem:5F8P-SCP1-JN14-G2YN-00000-00&amp;context=" TargetMode="External" /><Relationship Id="rId714" Type="http://schemas.openxmlformats.org/officeDocument/2006/relationships/hyperlink" Target="https://advance.lexis.com/api/document?collection=cases-ca&amp;id=urn:contentItem:5F8P-SCJ1-FFFC-B1FS-00000-00&amp;context=" TargetMode="External" /><Relationship Id="rId715" Type="http://schemas.openxmlformats.org/officeDocument/2006/relationships/hyperlink" Target="https://advance.lexis.com/api/document?collection=cases-ca&amp;id=urn:contentItem:5F8T-N3R1-FBV7-B008-00000-00&amp;context=" TargetMode="External" /><Relationship Id="rId716" Type="http://schemas.openxmlformats.org/officeDocument/2006/relationships/header" Target="header142.xml" /><Relationship Id="rId717" Type="http://schemas.openxmlformats.org/officeDocument/2006/relationships/header" Target="header143.xml" /><Relationship Id="rId718" Type="http://schemas.openxmlformats.org/officeDocument/2006/relationships/footer" Target="footer142.xml" /><Relationship Id="rId719" Type="http://schemas.openxmlformats.org/officeDocument/2006/relationships/footer" Target="footer143.xml" /><Relationship Id="rId72" Type="http://schemas.openxmlformats.org/officeDocument/2006/relationships/header" Target="header15.xml" /><Relationship Id="rId720" Type="http://schemas.openxmlformats.org/officeDocument/2006/relationships/header" Target="header144.xml" /><Relationship Id="rId721" Type="http://schemas.openxmlformats.org/officeDocument/2006/relationships/footer" Target="footer144.xml" /><Relationship Id="rId722" Type="http://schemas.openxmlformats.org/officeDocument/2006/relationships/hyperlink" Target="https://advance.lexis.com/api/document?collection=cases-ca&amp;id=urn:contentItem:5F7T-S771-JN14-G2D4-00000-00&amp;context=" TargetMode="External" /><Relationship Id="rId723" Type="http://schemas.openxmlformats.org/officeDocument/2006/relationships/hyperlink" Target="https://advance.lexis.com/api/document?collection=legislation-ca&amp;id=urn:contentItem:5F41-1FN1-JSXV-G1GJ-00000-00&amp;context=" TargetMode="External" /><Relationship Id="rId724" Type="http://schemas.openxmlformats.org/officeDocument/2006/relationships/hyperlink" Target="https://advance.lexis.com/api/document?collection=legislation-ca&amp;id=urn:contentItem:5F41-1FK1-FJM6-60VK-00000-00&amp;context=" TargetMode="External" /><Relationship Id="rId725" Type="http://schemas.openxmlformats.org/officeDocument/2006/relationships/hyperlink" Target="https://advance.lexis.com/api/document?collection=cases-ca&amp;id=urn:contentItem:5F8T-N3T1-JJSF-23MK-00000-00&amp;context=" TargetMode="External" /><Relationship Id="rId726" Type="http://schemas.openxmlformats.org/officeDocument/2006/relationships/hyperlink" Target="https://advance.lexis.com/api/document?collection=cases-ca&amp;id=urn:contentItem:5F8T-N3V1-JF75-M3DS-00000-00&amp;context=" TargetMode="External" /><Relationship Id="rId727" Type="http://schemas.openxmlformats.org/officeDocument/2006/relationships/hyperlink" Target="https://advance.lexis.com/api/document?collection=cases-ca&amp;id=urn:contentItem:5F8T-N3V1-JF75-M3SR-00000-00&amp;context=" TargetMode="External" /><Relationship Id="rId728" Type="http://schemas.openxmlformats.org/officeDocument/2006/relationships/hyperlink" Target="https://advance.lexis.com/api/document?collection=cases-ca&amp;id=urn:contentItem:5F8T-N3V1-FC1F-M3YP-00000-00&amp;context=" TargetMode="External" /><Relationship Id="rId729" Type="http://schemas.openxmlformats.org/officeDocument/2006/relationships/hyperlink" Target="https://advance.lexis.com/api/document?collection=cases-ca&amp;id=urn:contentItem:5F8T-N3V1-FC1F-M442-00000-00&amp;context=" TargetMode="External" /><Relationship Id="rId73" Type="http://schemas.openxmlformats.org/officeDocument/2006/relationships/footer" Target="footer15.xml" /><Relationship Id="rId730" Type="http://schemas.openxmlformats.org/officeDocument/2006/relationships/hyperlink" Target="https://advance.lexis.com/api/document?collection=cases-ca&amp;id=urn:contentItem:5F7T-S761-FGJR-22NV-00000-00&amp;context=" TargetMode="External" /><Relationship Id="rId731" Type="http://schemas.openxmlformats.org/officeDocument/2006/relationships/hyperlink" Target="https://advance.lexis.com/api/document?collection=cases-ca&amp;id=urn:contentItem:5F7T-S6Y1-DY33-B039-00000-00&amp;context=" TargetMode="External" /><Relationship Id="rId732" Type="http://schemas.openxmlformats.org/officeDocument/2006/relationships/hyperlink" Target="https://advance.lexis.com/api/document?collection=cases-ca&amp;id=urn:contentItem:5F7T-S741-FJM6-618F-00000-00&amp;context=" TargetMode="External" /><Relationship Id="rId733" Type="http://schemas.openxmlformats.org/officeDocument/2006/relationships/hyperlink" Target="https://advance.lexis.com/api/document?collection=cases-ca&amp;id=urn:contentItem:5F7T-S761-JS5Y-B1TD-00000-00&amp;context=" TargetMode="External" /><Relationship Id="rId734" Type="http://schemas.openxmlformats.org/officeDocument/2006/relationships/hyperlink" Target="https://advance.lexis.com/api/document?collection=cases-ca&amp;id=urn:contentItem:5F7T-S771-F81W-22VG-00000-00&amp;context=" TargetMode="External" /><Relationship Id="rId735" Type="http://schemas.openxmlformats.org/officeDocument/2006/relationships/hyperlink" Target="https://advance.lexis.com/api/document?collection=cases-ca&amp;id=urn:contentItem:5F7T-S741-F528-G23H-00000-00&amp;context=" TargetMode="External" /><Relationship Id="rId736" Type="http://schemas.openxmlformats.org/officeDocument/2006/relationships/hyperlink" Target="https://advance.lexis.com/api/document?collection=cases-ca&amp;id=urn:contentItem:5F8T-N3V1-FC1F-M3Y6-00000-00&amp;context=" TargetMode="External" /><Relationship Id="rId737" Type="http://schemas.openxmlformats.org/officeDocument/2006/relationships/hyperlink" Target="https://advance.lexis.com/api/document?collection=cases-ca&amp;id=urn:contentItem:5F7T-S751-FJDY-X41D-00000-00&amp;context=" TargetMode="External" /><Relationship Id="rId738" Type="http://schemas.openxmlformats.org/officeDocument/2006/relationships/hyperlink" Target="https://advance.lexis.com/api/document?collection=cases-ca&amp;id=urn:contentItem:5F8T-N3V1-FC1F-M45D-00000-00&amp;context=" TargetMode="External" /><Relationship Id="rId739" Type="http://schemas.openxmlformats.org/officeDocument/2006/relationships/hyperlink" Target="https://advance.lexis.com/api/document?collection=cases-ca&amp;id=urn:contentItem:5F7T-S751-F361-M17X-00000-00&amp;context=" TargetMode="External" /><Relationship Id="rId74" Type="http://schemas.openxmlformats.org/officeDocument/2006/relationships/hyperlink" Target="https://advance.lexis.com/api/document?collection=cases-ca&amp;id=urn:contentItem:5F7T-S7C1-FGRY-B08S-00000-00&amp;context=" TargetMode="External" /><Relationship Id="rId740" Type="http://schemas.openxmlformats.org/officeDocument/2006/relationships/hyperlink" Target="https://advance.lexis.com/api/document?collection=cases-ca&amp;id=urn:contentItem:5F8T-N3T1-JGHR-M25X-00000-00&amp;context=" TargetMode="External" /><Relationship Id="rId741" Type="http://schemas.openxmlformats.org/officeDocument/2006/relationships/hyperlink" Target="https://advance.lexis.com/api/document?collection=cases-ca&amp;id=urn:contentItem:5HDC-MS71-FFFC-B1D7-00000-00&amp;context=" TargetMode="External" /><Relationship Id="rId742" Type="http://schemas.openxmlformats.org/officeDocument/2006/relationships/hyperlink" Target="https://advance.lexis.com/api/document?collection=cases-ca&amp;id=urn:contentItem:5F8T-N3S1-JBDT-B09S-00000-00&amp;context=" TargetMode="External" /><Relationship Id="rId743" Type="http://schemas.openxmlformats.org/officeDocument/2006/relationships/hyperlink" Target="https://advance.lexis.com/api/document?collection=cases-ca&amp;id=urn:contentItem:5F93-3NV1-JCRC-B1KH-00000-00&amp;context=" TargetMode="External" /><Relationship Id="rId744" Type="http://schemas.openxmlformats.org/officeDocument/2006/relationships/hyperlink" Target="https://advance.lexis.com/api/document?collection=cases-ca&amp;id=urn:contentItem:5F81-VJX1-JX3N-B165-00000-00&amp;context=" TargetMode="External" /><Relationship Id="rId745" Type="http://schemas.openxmlformats.org/officeDocument/2006/relationships/hyperlink" Target="https://advance.lexis.com/api/document?collection=cases-ca&amp;id=urn:contentItem:5F81-VJV1-DYFH-X4SS-00000-00&amp;context=" TargetMode="External" /><Relationship Id="rId746" Type="http://schemas.openxmlformats.org/officeDocument/2006/relationships/hyperlink" Target="https://advance.lexis.com/api/document?collection=cases-ca&amp;id=urn:contentItem:5F8T-N3T1-JJSF-237R-00000-00&amp;context=" TargetMode="External" /><Relationship Id="rId747" Type="http://schemas.openxmlformats.org/officeDocument/2006/relationships/hyperlink" Target="https://advance.lexis.com/api/document?collection=cases-ca&amp;id=urn:contentItem:5F8T-N3T1-JJSF-23HY-00000-00&amp;context=" TargetMode="External" /><Relationship Id="rId748" Type="http://schemas.openxmlformats.org/officeDocument/2006/relationships/hyperlink" Target="https://advance.lexis.com/api/document?collection=cases-ca&amp;id=urn:contentItem:5F81-VJX1-FGCG-S35G-00000-00&amp;context=" TargetMode="External" /><Relationship Id="rId749" Type="http://schemas.openxmlformats.org/officeDocument/2006/relationships/hyperlink" Target="https://advance.lexis.com/api/document?collection=cases-ca&amp;id=urn:contentItem:5F8T-N3V1-JF75-M3CS-00000-00&amp;context=" TargetMode="External" /><Relationship Id="rId75" Type="http://schemas.openxmlformats.org/officeDocument/2006/relationships/hyperlink" Target="https://advance.lexis.com/api/document?collection=legislation-ca&amp;id=urn:contentItem:5F41-1FK1-JT99-20M4-00000-00&amp;context=" TargetMode="External" /><Relationship Id="rId750" Type="http://schemas.openxmlformats.org/officeDocument/2006/relationships/hyperlink" Target="https://advance.lexis.com/api/document?collection=cases-ca&amp;id=urn:contentItem:5F8T-N3V1-JF75-M3M7-00000-00&amp;context=" TargetMode="External" /><Relationship Id="rId751" Type="http://schemas.openxmlformats.org/officeDocument/2006/relationships/hyperlink" Target="https://advance.lexis.com/api/document?collection=legislation-ca&amp;id=urn:contentItem:5F41-1FK1-JSJC-X1VR-00000-00&amp;context=" TargetMode="External" /><Relationship Id="rId752" Type="http://schemas.openxmlformats.org/officeDocument/2006/relationships/header" Target="header145.xml" /><Relationship Id="rId753" Type="http://schemas.openxmlformats.org/officeDocument/2006/relationships/header" Target="header146.xml" /><Relationship Id="rId754" Type="http://schemas.openxmlformats.org/officeDocument/2006/relationships/footer" Target="footer145.xml" /><Relationship Id="rId755" Type="http://schemas.openxmlformats.org/officeDocument/2006/relationships/footer" Target="footer146.xml" /><Relationship Id="rId756" Type="http://schemas.openxmlformats.org/officeDocument/2006/relationships/header" Target="header147.xml" /><Relationship Id="rId757" Type="http://schemas.openxmlformats.org/officeDocument/2006/relationships/footer" Target="footer147.xml" /><Relationship Id="rId758" Type="http://schemas.openxmlformats.org/officeDocument/2006/relationships/hyperlink" Target="https://advance.lexis.com/api/document?collection=cases-ca&amp;id=urn:contentItem:5V9P-82W1-DY89-M0KM-00000-00&amp;context=" TargetMode="External" /><Relationship Id="rId759" Type="http://schemas.openxmlformats.org/officeDocument/2006/relationships/hyperlink" Target="https://advance.lexis.com/api/document?collection=legislation-ca&amp;id=urn:contentItem:5F41-1FM1-JG59-220G-00000-00&amp;context=" TargetMode="External" /><Relationship Id="rId76" Type="http://schemas.openxmlformats.org/officeDocument/2006/relationships/hyperlink" Target="https://advance.lexis.com/api/document?collection=cases-ca&amp;id=urn:contentItem:5F7T-S781-JSC5-M45B-00000-00&amp;context=" TargetMode="External" /><Relationship Id="rId760" Type="http://schemas.openxmlformats.org/officeDocument/2006/relationships/hyperlink" Target="https://advance.lexis.com/api/document?collection=cases-ca&amp;id=urn:contentItem:5W2J-D5R1-JWJ0-G130-00000-00&amp;context=" TargetMode="External" /><Relationship Id="rId761" Type="http://schemas.openxmlformats.org/officeDocument/2006/relationships/hyperlink" Target="https://advance.lexis.com/api/document?collection=cases-ca&amp;id=urn:contentItem:5HSD-C7M1-JFSV-G4CS-00000-00&amp;context=" TargetMode="External" /><Relationship Id="rId762" Type="http://schemas.openxmlformats.org/officeDocument/2006/relationships/hyperlink" Target="https://advance.lexis.com/api/document?collection=cases-ca&amp;id=urn:contentItem:5S4F-TMK1-JNY7-X0V4-00000-00&amp;context=" TargetMode="External" /><Relationship Id="rId763" Type="http://schemas.openxmlformats.org/officeDocument/2006/relationships/hyperlink" Target="https://advance.lexis.com/api/document?collection=cases-ca&amp;id=urn:contentItem:5F7T-S7M1-F4W2-62JF-00000-00&amp;context=" TargetMode="External" /><Relationship Id="rId764" Type="http://schemas.openxmlformats.org/officeDocument/2006/relationships/header" Target="header148.xml" /><Relationship Id="rId765" Type="http://schemas.openxmlformats.org/officeDocument/2006/relationships/header" Target="header149.xml" /><Relationship Id="rId766" Type="http://schemas.openxmlformats.org/officeDocument/2006/relationships/footer" Target="footer148.xml" /><Relationship Id="rId767" Type="http://schemas.openxmlformats.org/officeDocument/2006/relationships/footer" Target="footer149.xml" /><Relationship Id="rId768" Type="http://schemas.openxmlformats.org/officeDocument/2006/relationships/header" Target="header150.xml" /><Relationship Id="rId769" Type="http://schemas.openxmlformats.org/officeDocument/2006/relationships/footer" Target="footer150.xml" /><Relationship Id="rId77" Type="http://schemas.openxmlformats.org/officeDocument/2006/relationships/hyperlink" Target="https://advance.lexis.com/api/document?collection=cases-ca&amp;id=urn:contentItem:5F7T-S781-FH4C-X32Y-00000-00&amp;context=" TargetMode="External" /><Relationship Id="rId770" Type="http://schemas.openxmlformats.org/officeDocument/2006/relationships/hyperlink" Target="https://advance.lexis.com/api/document?collection=cases-ca&amp;id=urn:contentItem:5F7T-S7M1-JJK6-S1Y6-00000-00&amp;context=" TargetMode="External" /><Relationship Id="rId771" Type="http://schemas.openxmlformats.org/officeDocument/2006/relationships/hyperlink" Target="https://advance.lexis.com/api/document?collection=legislation-ca&amp;id=urn:contentItem:5F41-1FG1-F4NT-X0GX-00000-00&amp;context=" TargetMode="External" /><Relationship Id="rId772" Type="http://schemas.openxmlformats.org/officeDocument/2006/relationships/hyperlink" Target="https://advance.lexis.com/api/document?collection=legislation-ca&amp;id=urn:contentItem:5F41-1FJ1-F2TK-20B8-00000-00&amp;context=" TargetMode="External" /><Relationship Id="rId773" Type="http://schemas.openxmlformats.org/officeDocument/2006/relationships/hyperlink" Target="https://advance.lexis.com/api/document?collection=cases-ca&amp;id=urn:contentItem:5F7T-S6T1-FJTD-G1PD-00000-00&amp;context=" TargetMode="External" /><Relationship Id="rId774" Type="http://schemas.openxmlformats.org/officeDocument/2006/relationships/hyperlink" Target="https://advance.lexis.com/api/document?collection=cases-ca&amp;id=urn:contentItem:5F7T-S7G1-JBT7-X40X-00000-00&amp;context=" TargetMode="External" /><Relationship Id="rId775" Type="http://schemas.openxmlformats.org/officeDocument/2006/relationships/hyperlink" Target="https://advance.lexis.com/api/document?collection=cases-ca&amp;id=urn:contentItem:5F7T-S761-JS5Y-B1R5-00000-00&amp;context=" TargetMode="External" /><Relationship Id="rId776" Type="http://schemas.openxmlformats.org/officeDocument/2006/relationships/numbering" Target="numbering.xml" /><Relationship Id="rId777" Type="http://schemas.openxmlformats.org/officeDocument/2006/relationships/styles" Target="styles.xml" /><Relationship Id="rId78" Type="http://schemas.openxmlformats.org/officeDocument/2006/relationships/hyperlink" Target="https://advance.lexis.com/api/document?collection=cases-ca&amp;id=urn:contentItem:5F7T-S731-DY33-B0W4-00000-00&amp;context=" TargetMode="External" /><Relationship Id="rId79" Type="http://schemas.openxmlformats.org/officeDocument/2006/relationships/hyperlink" Target="https://advance.lexis.com/api/document?collection=cases-ca&amp;id=urn:contentItem:5F7T-S781-F27X-61BF-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82-1SD1-FC6N-X3NW-00000-00&amp;context=" TargetMode="External" /><Relationship Id="rId81" Type="http://schemas.openxmlformats.org/officeDocument/2006/relationships/hyperlink" Target="https://advance.lexis.com/api/document?collection=cases-ca&amp;id=urn:contentItem:5F81-VJX1-JJYN-B53M-00000-00&amp;context=" TargetMode="External" /><Relationship Id="rId82" Type="http://schemas.openxmlformats.org/officeDocument/2006/relationships/hyperlink" Target="https://advance.lexis.com/api/document?collection=cases-ca&amp;id=urn:contentItem:5F82-1SF1-K054-G4DJ-00000-00&amp;context=" TargetMode="External" /><Relationship Id="rId83" Type="http://schemas.openxmlformats.org/officeDocument/2006/relationships/hyperlink" Target="https://advance.lexis.com/api/document?collection=cases-ca&amp;id=urn:contentItem:5F7T-S7B1-FH4C-X38S-00000-00&amp;context=" TargetMode="External" /><Relationship Id="rId84" Type="http://schemas.openxmlformats.org/officeDocument/2006/relationships/hyperlink" Target="https://advance.lexis.com/api/document?collection=cases-ca&amp;id=urn:contentItem:5F7T-S781-F27X-61GC-00000-00&amp;context=" TargetMode="External" /><Relationship Id="rId85" Type="http://schemas.openxmlformats.org/officeDocument/2006/relationships/hyperlink" Target="https://advance.lexis.com/api/document?collection=cases-ca&amp;id=urn:contentItem:5F7T-S7C1-F4NT-X30M-00000-00&amp;context=" TargetMode="External" /><Relationship Id="rId86" Type="http://schemas.openxmlformats.org/officeDocument/2006/relationships/hyperlink" Target="https://advance.lexis.com/api/document?collection=cases-ca&amp;id=urn:contentItem:5F8T-N3R1-JNS1-M18G-00000-00&amp;context=" TargetMode="External" /><Relationship Id="rId87" Type="http://schemas.openxmlformats.org/officeDocument/2006/relationships/hyperlink" Target="https://advance.lexis.com/api/document?collection=cases-ca&amp;id=urn:contentItem:5F7T-S6V1-JFKM-6132-00000-00&amp;context=" TargetMode="External" /><Relationship Id="rId88" Type="http://schemas.openxmlformats.org/officeDocument/2006/relationships/hyperlink" Target="https://advance.lexis.com/api/document?collection=cases-ca&amp;id=urn:contentItem:5F8N-K751-F22N-X2F9-00000-00&amp;context=" TargetMode="External" /><Relationship Id="rId89" Type="http://schemas.openxmlformats.org/officeDocument/2006/relationships/hyperlink" Target="https://advance.lexis.com/api/document?collection=cases-ca&amp;id=urn:contentItem:5F7T-S7H1-JFKM-62NK-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8T-N3R1-FJDY-X34P-00000-00&amp;context=" TargetMode="External" /><Relationship Id="rId91" Type="http://schemas.openxmlformats.org/officeDocument/2006/relationships/hyperlink" Target="https://advance.lexis.com/api/document?collection=cases-ca&amp;id=urn:contentItem:5F7T-S7H1-K054-G24N-00000-00&amp;context=" TargetMode="External" /><Relationship Id="rId92" Type="http://schemas.openxmlformats.org/officeDocument/2006/relationships/hyperlink" Target="https://advance.lexis.com/api/document?collection=cases-ca&amp;id=urn:contentItem:5F8T-N3V1-JF75-M3SC-00000-00&amp;context=" TargetMode="External" /><Relationship Id="rId93" Type="http://schemas.openxmlformats.org/officeDocument/2006/relationships/hyperlink" Target="https://advance.lexis.com/api/document?collection=cases-ca&amp;id=urn:contentItem:5F7T-S6Y1-F65M-6050-00000-00&amp;context=" TargetMode="External" /><Relationship Id="rId94" Type="http://schemas.openxmlformats.org/officeDocument/2006/relationships/hyperlink" Target="https://advance.lexis.com/api/document?collection=cases-ca&amp;id=urn:contentItem:5F7T-S761-FFMK-M15W-00000-00&amp;context=" TargetMode="External" /><Relationship Id="rId95" Type="http://schemas.openxmlformats.org/officeDocument/2006/relationships/hyperlink" Target="https://advance.lexis.com/api/document?collection=cases-ca&amp;id=urn:contentItem:5F81-YGM1-F5KY-B54K-00000-00&amp;context=" TargetMode="External" /><Relationship Id="rId96" Type="http://schemas.openxmlformats.org/officeDocument/2006/relationships/header" Target="header16.xml" /><Relationship Id="rId97" Type="http://schemas.openxmlformats.org/officeDocument/2006/relationships/header" Target="header17.xml" /><Relationship Id="rId98" Type="http://schemas.openxmlformats.org/officeDocument/2006/relationships/footer" Target="footer16.xml" /><Relationship Id="rId99" Type="http://schemas.openxmlformats.org/officeDocument/2006/relationships/footer" Target="footer17.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Blatz v. Cosburn and Associates, [2011] B.C.J. No. 950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115051360</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