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9.7 -->
  <w:body>
    <w:p>
      <w:pPr>
        <w:rPr>
          <w:rFonts w:ascii="arial" w:eastAsia="arial" w:hAnsi="arial" w:cs="arial"/>
          <w:sz w:val="20"/>
          <w:lang w:val="en-US" w:eastAsia="en-US" w:bidi="ar-SA"/>
        </w:rPr>
        <w:sectPr>
          <w:headerReference w:type="even" r:id="rId4"/>
          <w:headerReference w:type="default" r:id="rId5"/>
          <w:footerReference w:type="even" r:id="rId6"/>
          <w:footerReference w:type="default" r:id="rId7"/>
          <w:headerReference w:type="first" r:id="rId8"/>
          <w:footerReference w:type="first" r:id="rId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0" w:history="1">
        <w:r>
          <w:rPr>
            <w:rFonts w:ascii="arial" w:eastAsia="arial" w:hAnsi="arial" w:cs="arial"/>
            <w:b/>
            <w:bCs/>
            <w:i/>
            <w:color w:val="0077CC"/>
            <w:kern w:val="32"/>
            <w:sz w:val="28"/>
            <w:szCs w:val="32"/>
            <w:u w:val="single"/>
            <w:shd w:val="clear" w:color="auto" w:fill="FFFFFF"/>
            <w:lang w:val="en-US" w:eastAsia="en-US" w:bidi="ar-SA"/>
          </w:rPr>
          <w:t>R.G. v. Vancouver (City) Police Board, [2012] B.C.J. No. 62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G.D. Burnyeat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June 22 and 24, 2011.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January 16, 2012.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S080878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[2012] B.C.J. No. 62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2012 BCSC 30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93 M.P.L.R. (4th) 299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2012 CarswellBC 74</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R.G., Plaintiff, and Vancouver Police Board, City of Vancouver and Lorne Hughes,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(46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25" style="position:absolute;z-index:25165824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0" w:name="Keywords"/>
      <w:bookmarkEnd w:id="0"/>
      <w:r>
        <w:rPr>
          <w:rFonts w:ascii="arial" w:eastAsia="arial" w:hAnsi="arial" w:cs="arial"/>
          <w:b/>
          <w:color w:val="000000"/>
          <w:sz w:val="20"/>
          <w:lang w:val="en-US" w:eastAsia="en-US" w:bidi="ar-SA"/>
        </w:rPr>
        <w:t>Municipal law — Liabilities of municipality — Occupiers liability — Vicarious liability for others' actions — Application by the plaintiff RG for a declaration that the City of Vancouver was vicariously liable for the tortious acts of the defendant, Hughes, dismissed — Hughes was RG's older cousin and a father figure to him — Hughes sexually abused RG while Hughes was a Vancouver police officer — Although the abuse took place in police vehicles and buildings, the City was not an actual occupier of the premises — Furthermore, Hughes was not an employee of the City and his wrongful acts were not sufficiently related to conduct authorized by the City.</w:t>
      </w:r>
    </w:p>
    <w:p>
      <w:pPr>
        <w:jc w:val="both"/>
        <w:rPr>
          <w:rFonts w:ascii="arial" w:eastAsia="arial" w:hAnsi="arial" w:cs="arial"/>
          <w:sz w:val="20"/>
          <w:lang w:val="en-US" w:eastAsia="en-US" w:bidi="ar-SA"/>
        </w:rPr>
      </w:pPr>
      <w:bookmarkStart w:id="1" w:name="Legislation Cited"/>
      <w:bookmarkEnd w:id="1"/>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26" style="position:absolute;z-index:25166848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Occupier's Liability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Vancouver Charter, S.B.C. 1953, c. 53, ss. 455-473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Vancouver City Incorporation Act, 1886, c. 32, s. 171</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 w:name="Counsel"/>
      <w:bookmarkEnd w:id="2"/>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27" style="position:absolute;z-index:25167872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R.W. Taylor and C.D. Veinotte.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 City: K.F.W. Liang.</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 w:name="Judgment"/>
      <w:bookmarkEnd w:id="3"/>
      <w:r>
        <w:pict>
          <v:line id="_x0000_s1028" style="position:absolute;z-index:25168896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(from Chambers)</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9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4" w:name="G.D. BURNYEAT J."/>
            <w:bookmarkEnd w:id="4"/>
            <w:r>
              <w:rPr>
                <w:rFonts w:ascii="arial" w:eastAsia="arial" w:hAnsi="arial" w:cs="arial"/>
                <w:b/>
                <w:color w:val="000000"/>
                <w:sz w:val="30"/>
                <w:lang w:val="en-US" w:eastAsia="en-US" w:bidi="ar-SA"/>
              </w:rPr>
              <w:t>G.D. BURNYEAT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applies for a declaration that the City of Vancouver ("City") is vicariously liable for the tortious acts committed by the Defendant, Lorne Hughes, a declaration that the City is liable for the acts and omissions of Mr. Hughes as those actions and omissions were committed by Mr. Hughes in the furtherance of his corporate duties to the City but outside of his duties as a peace officer, that the City is liable for the acts and omissions of the superiors of Mr. Hughes committed in the furtherance of their corporate duties to the City, and a declaration that the City is liable to the Plaintiff for assaults committed by Mr. Hughes at certain venues owned, operated or occupied by the 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was born October 2, 1948. The Defendant Lorne Hughes is the older cousin of the Plaintiff on the Plaintiff's mother's side of the family. Mr. Hughes was born on February 9, 1933. Mr. Hughes was employed by the Vancouver Police Department ("VPD") as a Vancouver police constable from February 25, 1955 to October 28, 1969 having ultimately obtained the rank of First Class Constable.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 alleges that he was sexually abused by Mr. Hughes on a number of occasions between 1957 and 1968. None of the alleged abuse has been proven in Court. Accordingly, what is outlined below has not been proven to have occurred. However, for the purposes of these Reasons for Judgment, I will assume that all of the allegations of the Plaintiff are true and that events took place at the locations alleged by the Plaintiff. However, I make no findings of fact regarding the alleged conduct of the Defendant, Lorne Hughes, and regarding the Defendant, Vancouver Police Board. These Reasons for Judgment deal only with the declarations sought against the City of Vancouver.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earliest memory that the Plaintiff has of being sexually abused by Mr. Hughes was in 1957 when the Plaintiff was 9 years old. That sexual abuse occurred during an overnight stay with Mr. Hughes at the Clarke Drive residence of Mr. Hughes. Over the years, the sexual assaults involved sexual touching, forced and violent anal intercourse, forced fellatio and masturbation.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Plaintiff was also physically abused by Mr. Hughes. The physical abuse consisted of striking and choking the Plaintiff and placing the Plaintiff in arm locks. The episodes of choking involved Mr. Hughes placing his hands around the throat of the Plaintiff and pushing him against walls.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Mr. Hughes first met the Plaintiff in 1957 when Mr. Hughes drove his vehicle to the family farm in Langley to visit the father of the Plaintiff. At the time of this visit, the Plaintiff was nine years old and Mr. Hughes was approximately 24 years old. Mr. Hughes subsequently became a frequent visitor to the various homes of the parents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Soon after meeting Mr. Hughes at the Langley family farm, the Plaintiff began referring to Mr. Hughes as "dad" and continued to call him that until about 1969. When speaking to his friends or others, the Plaintiff would refer to Mr. Hughes as his dad. In 1969, when the Plaintiff was 21, the Plaintiff stopped calling Mr. Hughes "dad" and referred to him as the "person who brought us 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From about 1957 to about 1965, the Plaintiff alternated between living with his parents in Langley and living with Mr. Hughes in a one bedroom apartment on Clarke Drive in Vancouver. It was the Plaintiff 's parents' idea for the Plaintiff to live with Mr. Hughes. Between 1957 and 1965, the Plaintiff lived with Mr. Hughes on Fridays after school, Saturdays, Sundays and most days during the summer months. Mr. Hughes provided the Plaintiff with accommodation, food and clothing, took the Plaintiff shopping, prepared meals for the Plaintiff, and washed the clothes of the Plaintiff. During these periods, the Plaintiff would perform household chores including washing the floors, waxing the floors, making the bed, washing the dishes and washing the bathroom.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Between 1957 and 1965, Mr. Hughes sexually abused the Plaintiff at his Clarke Drive house, in his personal vehicle, on ferries, in hotels, in boats, in lodges, and in other residences not belonging to Mr. Hughes. The sexual abuse committed by Mr. Hughes inside his personal vehicle occurred during trips when Mr. Hughes would transport the Plaintiff to and from Langley, during a trip to Port Alberni to visit the uncle and aunt of Mr. Hughes, during a trip to Port Alberni for a recreational fishing trip where Mr. Hughes and the Plaintiff stayed with the uncle and aunt of Mr. Hughes, during a trip when the Plaintiff accompanied Mr. Hughes to Seattle and Custer, Washington where Mr. Hughes was participating in police shooting competitions, during a hunting trip to Cache Creek, during a trip to Nanaimo to participate in a fishing trip organized by fellow police officers with sexual abuse committed inside the personal vehicle of Mr. Hughes when parked on the vehicle deck of a B.C. ferry, during trips in the summer months to accompany Mr. Hughes to a shooting range with the sexual abuse occurring while driving to shooting practices and also in a parking lot of the pistol club located near Port Moody, and during visits to the homes of police associates of Mr. Hughes.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When the Plaintiff was between the ages of 9 and 15, sexual abuse occurred in the basement of Police Headquarters at 312 Main Street, a property owned by the City. The Plaintiff was fondled on two different occasions at that address. Sexual assaults also took place at the Burnaby Pistol Range associated with the VPD and at the Oakridge Sub-Station of the VPD at 620 West 45th Avenue, which is property owned by the 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father of the Plaintiff died on April 7, 1963 when the Plaintiff was 14 years old. Up until 1963, Mr. Hughes gave money to the parents of the Plaintiff for groceries and other incidentals such as for repairs to the family vehicle. Before the Plaintiff's father died, the Plaintiff's father told Mr. Hughes that, if anything happened to him, he wished for Mr. Hughes to be appointed the guardian of the Plaintiff. When the father of the Plaintiff died when the plaintiff was 15, the mother of the Plaintiff turned over custody of the Plaintiff to Mr. Hughes.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In September 1965, the mother of the Plaintiff moved from Langley to Vancouver. As a result of this move, Mr. Hughes made arrangements to take over the Langley home and to pay the mortgage payments on that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In 1965, Mr. Hughes moved to a residence on Knight Street in Vancouver. The Plaintiff, who was then attending high school, moved to that home and lived with Mr. Hughes for up to three days per week between 1965 and 1968. When the Plaintiff was not living with Mr. Hughes, he was living with his mother at her new home in Vancouver. From 1965 to 1968, the Plaintiff spent more time living with Mr. Hughes than with his mother. When the Plaintiff was living with Mr. Hughes, the Plaintiff and Mr. Hughes slept unclothed in the same bed, where Mr. Hughes would sexually abuse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At the suggestion and recommendation of Mr. Hughes, the Plaintiff joined the Vancouver Police Reserves ("Reserves"). Mr. Hughes helped the Plaintiff become a member of the Reserves by introducing the Plaintiff to the Inspector in charge of the Reserves at the time. The Plaintiff subsequently served with the Reserves from December 14, 1967 to December 16, 1968.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Before the Plaintiff joined the Reserves and while the Plaintiff resided at the Clarke Drive home of Mr. Hughes, the Plaintiff was sexually abused in a patrol vehicle on one occasion. There were no other instances of sexual abuse in a patrol vehicle until the Plaintiff joined the Reserves.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Plaintiff was abused by Mr. Hughes on approximately five occasions in patrol vehicles while the Plaintiff was a member of the Reserves. On two of these occasions, the Plaintiff was assigned to work with Mr. Hughes. On the other occasions, the Plaintiff was not on Reserve duty but nevertheless accompanied Mr. Hughes. The Plaintiff wore his reserve uniform and waited until Mr. Hughes was assigned his duties. Mr. Hughes then drove to where the Plaintiff was waiting and the Plaintiff would get into the patrol car. Once the Plaintiff was inside the patrol car, Mr. Hughes would abuse him. At no time did the Plaintiff report to his supervisors that he was going on patrol with Mr. Hughes even though he was not on Reserve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Plaintiff left the Reserves in December 1968 because he felt it was difficult to carry out his Reserve responsibilities due to interference from Mr. Hughes. The sexual abuses committed against the Plaintiff stopped shortly after the Plaintiff left the Reserves.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Plaintiff's mother passed away in 1996. Prior to their deaths, the parents of the Plaintiff did not know, nor become aware of, the sexual abuses committed by Mr. Hughes against the Plaintiff. The Plaintiff is unaware of any witness to the sexual abuses committed by Mr. Hughes.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It is the submission of the Plaintiff that Mr. Hughes was warned or disciplined or charged with respect to a variety of conduct that should reasonably have raised concerns about his behaviour and the risk he posed to young people, including the Plaintiff. In this regard, the Plaintiff cites the following:</w:t>
      </w:r>
      <w:r>
        <w:rPr>
          <w:rFonts w:ascii="arial" w:eastAsia="arial" w:hAnsi="arial" w:cs="arial"/>
          <w:sz w:val="20"/>
          <w:lang w:val="en-US" w:eastAsia="en-US" w:bidi="ar-SA"/>
        </w:rPr>
        <w:cr/>
      </w:r>
    </w:p>
    <w:p>
      <w:pPr>
        <w:numPr>
          <w:numId w:val="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1955, five months after joining the VPD, Mr. Hughes was warned about a complaint arising out of his attempt to induce two 15-year old girls into a marked police car;</w:t>
      </w:r>
    </w:p>
    <w:p>
      <w:pPr>
        <w:numPr>
          <w:numId w:val="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1957, Mr. Hughes was disciplined for breaching the regulations of the VPD regarding his part time employment with a local cartage firm owned by another officer of the VPD;</w:t>
      </w:r>
    </w:p>
    <w:p>
      <w:pPr>
        <w:numPr>
          <w:numId w:val="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1955, Mr. Hughes was charged with supplying alcohol to two minor girls and permitting those minors to drink liquor on premises under his control. While a Court date was set, it is not known what resulted from these charges as there is no known conviction relating to the charges;</w:t>
      </w:r>
    </w:p>
    <w:p>
      <w:pPr>
        <w:numPr>
          <w:numId w:val="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1961, Mr. Hughes was involved in an unspecified "indiscretion" resulting in a report being placed on his file;</w:t>
      </w:r>
    </w:p>
    <w:p>
      <w:pPr>
        <w:numPr>
          <w:numId w:val="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1967, Mr. Hughes' personal vehicle was observed at the residence of known bootleggers;</w:t>
      </w:r>
    </w:p>
    <w:p>
      <w:pPr>
        <w:numPr>
          <w:numId w:val="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1968, a complaint was received from a citizen that Mr. Hughes was "keeping company" with her 18-year old brother, that Mr. Hughes had taken the boy up country, that Mr. Hughes was a "bootlegger"; and</w:t>
      </w:r>
    </w:p>
    <w:p>
      <w:pPr>
        <w:numPr>
          <w:numId w:val="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1969, a complaint was received by the VPD from the parents of a 19-year-old male ("Complainant #4"). Mr. Hughes had made sexual advances towards Complainant #4, had "plied" him with liquor, had "curried favour" with Complainant #4 by showing him his VPD uniform and sidearm, had asked Complainant #4 to buy drugs for him, and had promised to assist Complainant #4 with a minor drug charge.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sexual assaults of the Plaintiff ended in 1968 but that did not bring the illegal acts by Mr. Hughes to an end. In 1969, when the complaint was received by the VPD from the parents of Complainant #4, Complainant #4 submitted to a polygraph test regarding the allegations against Mr. Hughes and the polygraph examiner was satisfied that Complainant #4 was answering all questions truthfully. Mr. Hughes was allowed to resign from the VPD following the complaints by the parents of Complainant #4. Following his resignation from the VPD, Mr. Hughes sexually assaulted at least two other minor boys.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In 2001, Mr. Hughes pled guilty to several charges relating to the sexual assaults of three minor boys which were committed by Mr. Hughes during and following his tenure as a VPD officer. Mr. Hughes was sentenced to a period of one year of incarceration but, due to his age and ill health, Mr. Hughes was allowed to serve that period of incarceration in his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In his June 17, 2011 Affidavit, the Plaintiff states that he had withdrawn his own criminal complaint against Mr. Hughes by the time Mr. Hughes was charged in 2001: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By that time, however, I had withdrawn my complaint against Hughes. I was still very depressed and concerned for my welfare and that of my family. It was because of my poor physical and mental health that I withdrew my criminal complaint against Hughes. I withdrew and reinstated my complaint twice before withdrawing it for the third and final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DISCUSSION AND CASE AUTHORITIES</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Is the City vicariously 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Plaintiff claims that the City is vicariously liable for the damages sustained by him on the basis that the City through the Board of Commissioners of Police ("Board") was the employer of Mr. Hughes, the City was the employer of the superior officers of Mr. Hughes, and that the sexual assaults committed by Mr. Hughes were committed in furtherance of his "... corporate duties to the City ... [to] generally enhance ... the reputation of the 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Atyah, The Law of Torts</w:t>
      </w:r>
      <w:r>
        <w:rPr>
          <w:rFonts w:ascii="arial" w:eastAsia="arial" w:hAnsi="arial" w:cs="arial"/>
          <w:color w:val="000000"/>
          <w:sz w:val="20"/>
          <w:lang w:val="en-US" w:eastAsia="en-US" w:bidi="ar-SA"/>
        </w:rPr>
        <w:t xml:space="preserve"> (London: Butterworth's, 1967), the learned author defines vicarious liability as a liability imposed by the law upon one party as a result of (a) a tortious act or omission by another (b) some relationship between the actual tortfeasor and that party to whom it is sought to make liable; (c) some connection between the tortuous act or omission and that relationship (at p. 3-50).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An employer can be held vicariously liable for the actions of an employee if the tortious acts of the employee were authorized by the employer or if the unauthorized acts of the employee are connected with authorized acts to the extent that they must be viewed as a mode of performing authorized acts: </w:t>
      </w:r>
      <w:r>
        <w:rPr>
          <w:rFonts w:ascii="arial" w:eastAsia="arial" w:hAnsi="arial" w:cs="arial"/>
          <w:i/>
          <w:color w:val="000000"/>
          <w:sz w:val="20"/>
          <w:lang w:val="en-US" w:eastAsia="en-US" w:bidi="ar-SA"/>
        </w:rPr>
        <w:t>H.L. v. Canada (Attorney General)</w:t>
      </w:r>
      <w:r>
        <w:rPr>
          <w:rFonts w:ascii="arial" w:eastAsia="arial" w:hAnsi="arial" w:cs="arial"/>
          <w:color w:val="000000"/>
          <w:sz w:val="20"/>
          <w:lang w:val="en-US" w:eastAsia="en-US" w:bidi="ar-SA"/>
        </w:rPr>
        <w:t xml:space="preserve">, </w:t>
      </w:r>
      <w:hyperlink r:id="rId11" w:history="1">
        <w:r>
          <w:rPr>
            <w:rFonts w:ascii="arial" w:eastAsia="arial" w:hAnsi="arial" w:cs="arial"/>
            <w:i/>
            <w:color w:val="0077CC"/>
            <w:sz w:val="20"/>
            <w:u w:val="single"/>
            <w:shd w:val="clear" w:color="auto" w:fill="FFFFFF"/>
            <w:lang w:val="en-US" w:eastAsia="en-US" w:bidi="ar-SA"/>
          </w:rPr>
          <w:t>[2001] S.J. No. 298</w:t>
        </w:r>
      </w:hyperlink>
      <w:r>
        <w:rPr>
          <w:rFonts w:ascii="arial" w:eastAsia="arial" w:hAnsi="arial" w:cs="arial"/>
          <w:color w:val="000000"/>
          <w:sz w:val="20"/>
          <w:lang w:val="en-US" w:eastAsia="en-US" w:bidi="ar-SA"/>
        </w:rPr>
        <w:t xml:space="preserve"> (Q.B.), aff'd </w:t>
      </w:r>
      <w:hyperlink r:id="rId12" w:history="1">
        <w:r>
          <w:rPr>
            <w:rFonts w:ascii="arial" w:eastAsia="arial" w:hAnsi="arial" w:cs="arial"/>
            <w:i/>
            <w:color w:val="0077CC"/>
            <w:sz w:val="20"/>
            <w:u w:val="single"/>
            <w:shd w:val="clear" w:color="auto" w:fill="FFFFFF"/>
            <w:lang w:val="en-US" w:eastAsia="en-US" w:bidi="ar-SA"/>
          </w:rPr>
          <w:t>[2003] S.J. No. 555</w:t>
        </w:r>
      </w:hyperlink>
      <w:r>
        <w:rPr>
          <w:rFonts w:ascii="arial" w:eastAsia="arial" w:hAnsi="arial" w:cs="arial"/>
          <w:color w:val="000000"/>
          <w:sz w:val="20"/>
          <w:lang w:val="en-US" w:eastAsia="en-US" w:bidi="ar-SA"/>
        </w:rPr>
        <w:t xml:space="preserve"> and aff'd </w:t>
      </w:r>
      <w:hyperlink r:id="rId13" w:history="1">
        <w:r>
          <w:rPr>
            <w:rFonts w:ascii="arial" w:eastAsia="arial" w:hAnsi="arial" w:cs="arial"/>
            <w:i/>
            <w:color w:val="0077CC"/>
            <w:sz w:val="20"/>
            <w:u w:val="single"/>
            <w:shd w:val="clear" w:color="auto" w:fill="FFFFFF"/>
            <w:lang w:val="en-US" w:eastAsia="en-US" w:bidi="ar-SA"/>
          </w:rPr>
          <w:t>[2005] 1 S.C.R. 401</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Bazley v. Curry</w:t>
      </w:r>
      <w:r>
        <w:rPr>
          <w:rFonts w:ascii="arial" w:eastAsia="arial" w:hAnsi="arial" w:cs="arial"/>
          <w:color w:val="000000"/>
          <w:sz w:val="20"/>
          <w:lang w:val="en-US" w:eastAsia="en-US" w:bidi="ar-SA"/>
        </w:rPr>
        <w:t xml:space="preserve">, </w:t>
      </w:r>
      <w:hyperlink r:id="rId14" w:history="1">
        <w:r>
          <w:rPr>
            <w:rFonts w:ascii="arial" w:eastAsia="arial" w:hAnsi="arial" w:cs="arial"/>
            <w:i/>
            <w:color w:val="0077CC"/>
            <w:sz w:val="20"/>
            <w:u w:val="single"/>
            <w:shd w:val="clear" w:color="auto" w:fill="FFFFFF"/>
            <w:lang w:val="en-US" w:eastAsia="en-US" w:bidi="ar-SA"/>
          </w:rPr>
          <w:t>[1999] 2 S.C.R. 534</w:t>
        </w:r>
      </w:hyperlink>
      <w:r>
        <w:rPr>
          <w:rFonts w:ascii="arial" w:eastAsia="arial" w:hAnsi="arial" w:cs="arial"/>
          <w:color w:val="000000"/>
          <w:sz w:val="20"/>
          <w:lang w:val="en-US" w:eastAsia="en-US" w:bidi="ar-SA"/>
        </w:rPr>
        <w:t>, McLachlin J., as she then was,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Reviewing the jurisprudence, and considering the policy issues involved, I conclude that in determining whether an employer is vicariously liable for an employee's unauthorized, intentional wrong in cases where precedent is inconclusive, courts should be guided by the following principles:</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They should openly confront the question of whether liability should lie against the employer, rather than obscuring the decision beneath semantic discussions of "scope of employment" and "mode of conduct".</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fundamental question is whether the wrongful act is sufficiently related to conduct authorized by the employer to justify the imposition of vicarious liability. Vicarious liability is generally appropriate where there is a significant connection between the creation or enhancement of a risk and the wrong that accrues therefrom, even if unrelated to the employer's desires. Where this is so, vicarious liability will serve the policy considerations of provision of an adequate and just remedy and deterrence. Incidental connections to the employment enterprise, like time and place (without more), will not suffice. Once engaged in a particular business, it is fair that an employer be made to pay the generally foreseeable costs of that business. In contrast, to impose liability for costs unrelated to the risk would effectively make the employer an involuntary insurer.</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determining the sufficiency of the connection between the employer's creation or enhancement of the risk and the wrong complained of, subsidiary factors may be considered. These may vary with the nature of the case. When related to intentional torts, the relevant factors may include, but are not limited to, the following:</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opportunity that the enterprise afforded the employee to abuse his or her power;</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extent to which the wrongful act may have furthered the employer's aims (and hence be more likely to have been committed by the employee);</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extent to which the wrongful act was related to friction, confrontation or intimacy inherent in the employer's enterprise;</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extent of power conferred on the employee in relation to the victim;</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vulnerability of potential victims to wrongful exercise of the employee's power.</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(at para. 41)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Plaintiff submits that society teaches children from an early age to trust police officers and that makes children and young people particularly vulnerable to the abuse of power by police officers. In the circumstances, the Plaintiff submits that the City "has sufficient control, either directly or indirectly through its constant presence on the Board, to be vicariously liable for Hughes' wrongdoing", and that the City "had sufficient power over him through his extracurricular activities - pistol shooting competitions and fishing derbies, during which his abuse of ... [the plaintiff] continued that it should be held vicariously 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If I could conclude that Mr. Hughes was an employee of the City, I could not conclude that his wrongful acts were sufficiently related to conduct authorized by the City. I can find no "significant connection". I can only find that there were incidental connections between the abuse that occurred and the location of the abuse. Many of the alleged abuses took place in VPD vehicles. However, the power that was exerted by Mr. Hughes was the power flowing from the "father-son" relationship which had grown and not any relationship between the Plaintiff and Mr. Hughes as a police officer. As well, the fact that Mr. Hughes was granted access to a VPD police vehicle did not afford any particular ability for Mr. Hughes to abuse his power.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In rejecting the submission made on behalf of the Plaintiff, I cannot conclude that the wrongful acts of Mr. Hughes are sufficiently related to conduct authorized by the City to justify the imposition of vicarious liability. There is not a significant connection between any promotion by the City and by society in general to promulgate the message that children should be taught from an early age to trust police officials and the significant wrongs that are alleged to have occurred. In any event, I do not have to decide that issue as I have concluded that Mr. Hughes was not an employee of the 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During the time frame of the alleged sexual assaults (1957-1968), the common law dictated the relationship between a municipality and police officers who worked in the jurisdiction of the municipality. At common law, police officers are not servants or agents of a municipality: </w:t>
      </w:r>
      <w:r>
        <w:rPr>
          <w:rFonts w:ascii="arial" w:eastAsia="arial" w:hAnsi="arial" w:cs="arial"/>
          <w:i/>
          <w:color w:val="000000"/>
          <w:sz w:val="20"/>
          <w:lang w:val="en-US" w:eastAsia="en-US" w:bidi="ar-SA"/>
        </w:rPr>
        <w:t>McCleave v. City of Moncton</w:t>
      </w:r>
      <w:r>
        <w:rPr>
          <w:rFonts w:ascii="arial" w:eastAsia="arial" w:hAnsi="arial" w:cs="arial"/>
          <w:color w:val="000000"/>
          <w:sz w:val="20"/>
          <w:lang w:val="en-US" w:eastAsia="en-US" w:bidi="ar-SA"/>
        </w:rPr>
        <w:t xml:space="preserve">, </w:t>
      </w:r>
      <w:hyperlink r:id="rId15" w:history="1">
        <w:r>
          <w:rPr>
            <w:rFonts w:ascii="arial" w:eastAsia="arial" w:hAnsi="arial" w:cs="arial"/>
            <w:i/>
            <w:color w:val="0077CC"/>
            <w:sz w:val="20"/>
            <w:u w:val="single"/>
            <w:shd w:val="clear" w:color="auto" w:fill="FFFFFF"/>
            <w:lang w:val="en-US" w:eastAsia="en-US" w:bidi="ar-SA"/>
          </w:rPr>
          <w:t>[1902] 32 S.C.R. 106</w:t>
        </w:r>
      </w:hyperlink>
      <w:r>
        <w:rPr>
          <w:rFonts w:ascii="arial" w:eastAsia="arial" w:hAnsi="arial" w:cs="arial"/>
          <w:color w:val="000000"/>
          <w:sz w:val="20"/>
          <w:lang w:val="en-US" w:eastAsia="en-US" w:bidi="ar-SA"/>
        </w:rPr>
        <w:t xml:space="preserve">. In this regard, see also </w:t>
      </w:r>
      <w:r>
        <w:rPr>
          <w:rFonts w:ascii="arial" w:eastAsia="arial" w:hAnsi="arial" w:cs="arial"/>
          <w:i/>
          <w:color w:val="000000"/>
          <w:sz w:val="20"/>
          <w:lang w:val="en-US" w:eastAsia="en-US" w:bidi="ar-SA"/>
        </w:rPr>
        <w:t>Re: A Reference under the Constitutional Questions Act</w:t>
      </w:r>
      <w:r>
        <w:rPr>
          <w:rFonts w:ascii="arial" w:eastAsia="arial" w:hAnsi="arial" w:cs="arial"/>
          <w:color w:val="000000"/>
          <w:sz w:val="20"/>
          <w:lang w:val="en-US" w:eastAsia="en-US" w:bidi="ar-SA"/>
        </w:rPr>
        <w:t xml:space="preserve">, </w:t>
      </w:r>
      <w:hyperlink r:id="rId16" w:history="1">
        <w:r>
          <w:rPr>
            <w:rFonts w:ascii="arial" w:eastAsia="arial" w:hAnsi="arial" w:cs="arial"/>
            <w:i/>
            <w:color w:val="0077CC"/>
            <w:sz w:val="20"/>
            <w:u w:val="single"/>
            <w:shd w:val="clear" w:color="auto" w:fill="FFFFFF"/>
            <w:lang w:val="en-US" w:eastAsia="en-US" w:bidi="ar-SA"/>
          </w:rPr>
          <w:t>[1957] O.R. 28</w:t>
        </w:r>
      </w:hyperlink>
      <w:r>
        <w:rPr>
          <w:rFonts w:ascii="arial" w:eastAsia="arial" w:hAnsi="arial" w:cs="arial"/>
          <w:color w:val="000000"/>
          <w:sz w:val="20"/>
          <w:lang w:val="en-US" w:eastAsia="en-US" w:bidi="ar-SA"/>
        </w:rPr>
        <w:t xml:space="preserve"> (C.A.), where Laidlaw J.A. adopted the following statement made by Viscount Simonds in </w:t>
      </w:r>
      <w:r>
        <w:rPr>
          <w:rFonts w:ascii="arial" w:eastAsia="arial" w:hAnsi="arial" w:cs="arial"/>
          <w:i/>
          <w:color w:val="000000"/>
          <w:sz w:val="20"/>
          <w:lang w:val="en-US" w:eastAsia="en-US" w:bidi="ar-SA"/>
        </w:rPr>
        <w:t>Attorney-General for New South Wales v. Perpetual Trustee Co. (LD.)</w:t>
      </w:r>
      <w:r>
        <w:rPr>
          <w:rFonts w:ascii="arial" w:eastAsia="arial" w:hAnsi="arial" w:cs="arial"/>
          <w:color w:val="000000"/>
          <w:sz w:val="20"/>
          <w:lang w:val="en-US" w:eastAsia="en-US" w:bidi="ar-SA"/>
        </w:rPr>
        <w:t>, [1955] A.C. 457: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there is a fundamental difference between the domestic relation of servant and master and that of the holder of a public office and the State which he is said to serve. The constable falls within the latter category. His authority is original, not delegated, and is exercised at his own discretion by virtue of his office: his is a ministerial officer exercising statutory rights independently of contract. (at p. 489)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Stevenson Estate v. City of Vancouver</w:t>
      </w:r>
      <w:r>
        <w:rPr>
          <w:rFonts w:ascii="arial" w:eastAsia="arial" w:hAnsi="arial" w:cs="arial"/>
          <w:color w:val="000000"/>
          <w:sz w:val="20"/>
          <w:lang w:val="en-US" w:eastAsia="en-US" w:bidi="ar-SA"/>
        </w:rPr>
        <w:t xml:space="preserve">, </w:t>
      </w:r>
      <w:hyperlink r:id="rId17" w:history="1">
        <w:r>
          <w:rPr>
            <w:rFonts w:ascii="arial" w:eastAsia="arial" w:hAnsi="arial" w:cs="arial"/>
            <w:i/>
            <w:color w:val="0077CC"/>
            <w:sz w:val="20"/>
            <w:u w:val="single"/>
            <w:shd w:val="clear" w:color="auto" w:fill="FFFFFF"/>
            <w:lang w:val="en-US" w:eastAsia="en-US" w:bidi="ar-SA"/>
          </w:rPr>
          <w:t>[2005] B.C.J. No. 3028</w:t>
        </w:r>
      </w:hyperlink>
      <w:r>
        <w:rPr>
          <w:rFonts w:ascii="arial" w:eastAsia="arial" w:hAnsi="arial" w:cs="arial"/>
          <w:color w:val="000000"/>
          <w:sz w:val="20"/>
          <w:lang w:val="en-US" w:eastAsia="en-US" w:bidi="ar-SA"/>
        </w:rPr>
        <w:t xml:space="preserve"> (S.C.), Boyd J. dealt with what is now Rule 12-5(2) of the Supreme Court Civil Rules and determined that the proposed witness who was a police officer was not "director, officer, employer or agent" of the City: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There is no evidence to support the conclusion that Beach is an employee of the City, either in the narrow or even in the broadest sense. There is no respondeat-superior relationship as between the City and the police department. The connection between the Vancouver City Police Department and the City is outlined in detail in the decision of Kirkpatrick J., as she then was, in Ribeiro v. City of Vancouver, </w:t>
      </w:r>
      <w:hyperlink r:id="rId18" w:history="1">
        <w:r>
          <w:rPr>
            <w:rFonts w:ascii="arial" w:eastAsia="arial" w:hAnsi="arial" w:cs="arial"/>
            <w:i/>
            <w:color w:val="0077CC"/>
            <w:sz w:val="20"/>
            <w:u w:val="single"/>
            <w:shd w:val="clear" w:color="auto" w:fill="FFFFFF"/>
            <w:lang w:val="en-US" w:eastAsia="en-US" w:bidi="ar-SA"/>
          </w:rPr>
          <w:t>2005 BCSC 395</w:t>
        </w:r>
      </w:hyperlink>
      <w:r>
        <w:rPr>
          <w:rFonts w:ascii="arial" w:eastAsia="arial" w:hAnsi="arial" w:cs="arial"/>
          <w:color w:val="000000"/>
          <w:sz w:val="20"/>
          <w:lang w:val="en-US" w:eastAsia="en-US" w:bidi="ar-SA"/>
        </w:rPr>
        <w:t>, handed down March 18, 2005. In that decision at paragraph 49, Madam Justice Kirkpatrick notes: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can be no question that the city's sole statutory duty in relation to policing matters after providing for the establishment of a police force is to bear the expenses generally necessary to maintain law and order in the city.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Here, by virtue of s. 20(1)(a) of the Police Act, the City is statutorily liable for any tortious liability which is found on the part of the police officers. However, it remains the case that there is no relationship per se, and certainly no respondent-superior relationship, between the City and the defendant police officers.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para 6-7)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Provincial legislation has always made it clear that it is not the City that employs police officers. Pursuant to s. 171 of the </w:t>
      </w:r>
      <w:r>
        <w:rPr>
          <w:rFonts w:ascii="arial" w:eastAsia="arial" w:hAnsi="arial" w:cs="arial"/>
          <w:i/>
          <w:color w:val="000000"/>
          <w:sz w:val="20"/>
          <w:lang w:val="en-US" w:eastAsia="en-US" w:bidi="ar-SA"/>
        </w:rPr>
        <w:t>Vancouver City Incorporation Act</w:t>
      </w:r>
      <w:r>
        <w:rPr>
          <w:rFonts w:ascii="arial" w:eastAsia="arial" w:hAnsi="arial" w:cs="arial"/>
          <w:color w:val="000000"/>
          <w:sz w:val="20"/>
          <w:lang w:val="en-US" w:eastAsia="en-US" w:bidi="ar-SA"/>
        </w:rPr>
        <w:t xml:space="preserve">, 1886, c. 32, City Council was authorized to appoint a Board of Commissions of Police which was to have the "sole charge and control of the police department". In 1953, the </w:t>
      </w:r>
      <w:r>
        <w:rPr>
          <w:rFonts w:ascii="arial" w:eastAsia="arial" w:hAnsi="arial" w:cs="arial"/>
          <w:i/>
          <w:color w:val="000000"/>
          <w:sz w:val="20"/>
          <w:lang w:val="en-US" w:eastAsia="en-US" w:bidi="ar-SA"/>
        </w:rPr>
        <w:t>Vancouver Incorporation Act</w:t>
      </w:r>
      <w:r>
        <w:rPr>
          <w:rFonts w:ascii="arial" w:eastAsia="arial" w:hAnsi="arial" w:cs="arial"/>
          <w:color w:val="000000"/>
          <w:sz w:val="20"/>
          <w:lang w:val="en-US" w:eastAsia="en-US" w:bidi="ar-SA"/>
        </w:rPr>
        <w:t xml:space="preserve"> was superseded by the </w:t>
      </w:r>
      <w:r>
        <w:rPr>
          <w:rFonts w:ascii="arial" w:eastAsia="arial" w:hAnsi="arial" w:cs="arial"/>
          <w:i/>
          <w:color w:val="000000"/>
          <w:sz w:val="20"/>
          <w:lang w:val="en-US" w:eastAsia="en-US" w:bidi="ar-SA"/>
        </w:rPr>
        <w:t>Vancouver Charter</w:t>
      </w:r>
      <w:r>
        <w:rPr>
          <w:rFonts w:ascii="arial" w:eastAsia="arial" w:hAnsi="arial" w:cs="arial"/>
          <w:color w:val="000000"/>
          <w:sz w:val="20"/>
          <w:lang w:val="en-US" w:eastAsia="en-US" w:bidi="ar-SA"/>
        </w:rPr>
        <w:t xml:space="preserve">, S.B.C. 1953, c. 53. Under ss. 455 through 473 of the </w:t>
      </w:r>
      <w:r>
        <w:rPr>
          <w:rFonts w:ascii="arial" w:eastAsia="arial" w:hAnsi="arial" w:cs="arial"/>
          <w:i/>
          <w:color w:val="000000"/>
          <w:sz w:val="20"/>
          <w:lang w:val="en-US" w:eastAsia="en-US" w:bidi="ar-SA"/>
        </w:rPr>
        <w:t>Vancouver Charter</w:t>
      </w:r>
      <w:r>
        <w:rPr>
          <w:rFonts w:ascii="arial" w:eastAsia="arial" w:hAnsi="arial" w:cs="arial"/>
          <w:color w:val="000000"/>
          <w:sz w:val="20"/>
          <w:lang w:val="en-US" w:eastAsia="en-US" w:bidi="ar-SA"/>
        </w:rPr>
        <w:t>, the responsibility for administering police within the City of Vancouver rested solely with the Board of Commissioners. The Board was charged with providing for the policing of the City and, in order to carry out its duties, the Board was authorized to appoint all members of the VPD (s. 458), appoint special constables to assist the members of the VPD (s. 465), direct, control, discipline and govern the members of the VPD (s. 463), create regulations for the discipline, control, efficiency and governance of the VPD (s. 463), delegate to the Chief Constable the disciplinary powers of the Board including the right to suspend any members of the VPD (s. 460), and to have "sole jurisdiction" over the VPD, special constables, police stations, jails, lockups and other places of detention provided by the City (s. 459).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Provincial legislation requires the City to appoint the Board to administer policing within the City. There is no </w:t>
      </w:r>
      <w:r>
        <w:rPr>
          <w:rFonts w:ascii="arial" w:eastAsia="arial" w:hAnsi="arial" w:cs="arial"/>
          <w:i/>
          <w:color w:val="000000"/>
          <w:sz w:val="20"/>
          <w:lang w:val="en-US" w:eastAsia="en-US" w:bidi="ar-SA"/>
        </w:rPr>
        <w:t>respondeat superior</w:t>
      </w:r>
      <w:r>
        <w:rPr>
          <w:rFonts w:ascii="arial" w:eastAsia="arial" w:hAnsi="arial" w:cs="arial"/>
          <w:color w:val="000000"/>
          <w:sz w:val="20"/>
          <w:lang w:val="en-US" w:eastAsia="en-US" w:bidi="ar-SA"/>
        </w:rPr>
        <w:t xml:space="preserve"> relationship between the City and the VPD police officers: </w:t>
      </w:r>
      <w:r>
        <w:rPr>
          <w:rFonts w:ascii="arial" w:eastAsia="arial" w:hAnsi="arial" w:cs="arial"/>
          <w:i/>
          <w:color w:val="000000"/>
          <w:sz w:val="20"/>
          <w:lang w:val="en-US" w:eastAsia="en-US" w:bidi="ar-SA"/>
        </w:rPr>
        <w:t>McCleave, supra</w:t>
      </w:r>
      <w:r>
        <w:rPr>
          <w:rFonts w:ascii="arial" w:eastAsia="arial" w:hAnsi="arial" w:cs="arial"/>
          <w:color w:val="000000"/>
          <w:sz w:val="20"/>
          <w:lang w:val="en-US" w:eastAsia="en-US" w:bidi="ar-SA"/>
        </w:rPr>
        <w:t xml:space="preserve">, at p. 109. While the Plaintiff seeks to distinguish decisions such as </w:t>
      </w:r>
      <w:r>
        <w:rPr>
          <w:rFonts w:ascii="arial" w:eastAsia="arial" w:hAnsi="arial" w:cs="arial"/>
          <w:i/>
          <w:color w:val="000000"/>
          <w:sz w:val="20"/>
          <w:lang w:val="en-US" w:eastAsia="en-US" w:bidi="ar-SA"/>
        </w:rPr>
        <w:t>McCleave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on the basis that the decisions establish that a municipality is not liable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a police officer in the performance of his public duty as a peace officer but that Mr. Hughes abused his position and the power that comes with it to commit intentional torts and to sexually exploit the plaintiff and others, I cannot conclude that the different tort should affect the question of whether or not the City can be held to be vicariously 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 cannot conclude that the City is vicariously liable for the torts of Mr. Hughes. I cannot conclude that Mr. Hughes was an employee of the City. Mr. Hughes was employed by the VPD through the Board of the VPD. The City did not have sufficient control, either directly or indirectly, or through whatever pressure it could apply on the Board to be vicariously liable for the wrongdoings of Mr. Hughes. The City did not employ Mr. Hughes or direct him as a peace officer. The City did not have sufficient power over him through any of his extracurricular activities as well.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Is the City liable because of the acts or omissions of Mr. Hughes and his superiors that occurred in the furtherance of their corporate duties to the 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Mr. Hughes assaulted the Plaintiff in a variety of settings, including during fishing derbies and pistol team events sponsored by the VPD or participated in by members of the VPD. The submission of the Plaintiff is that these events were not related to public police duties but existed for "local and corporate purposes" including raising the profile and reputation of the VPD, creating links between the VPD and young people, and providing recreational opportunities and personal development for VPD officers.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In this regard, the Plaintiff relies on the decision in </w:t>
      </w:r>
      <w:r>
        <w:rPr>
          <w:rFonts w:ascii="arial" w:eastAsia="arial" w:hAnsi="arial" w:cs="arial"/>
          <w:i/>
          <w:color w:val="000000"/>
          <w:sz w:val="20"/>
          <w:lang w:val="en-US" w:eastAsia="en-US" w:bidi="ar-SA"/>
        </w:rPr>
        <w:t>Bowles v. City of Winnipeg</w:t>
      </w:r>
      <w:r>
        <w:rPr>
          <w:rFonts w:ascii="arial" w:eastAsia="arial" w:hAnsi="arial" w:cs="arial"/>
          <w:color w:val="000000"/>
          <w:sz w:val="20"/>
          <w:lang w:val="en-US" w:eastAsia="en-US" w:bidi="ar-SA"/>
        </w:rPr>
        <w:t xml:space="preserve"> (1919), 45 D.L.R. 94 (Man. K.B.) where Mathers C.J.K.B. made the following statement relating to a police officer who struck and killed the plaintiff while driving a police ambulance purchased by the City: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According to both systems it is well settled that police officers fall within the latter class and that neither the municipality nor the commissioners of police, where the administration of the force is committed to such a body, is liable for the acts of its police </w:t>
      </w:r>
      <w:r>
        <w:rPr>
          <w:rFonts w:ascii="arial" w:eastAsia="arial" w:hAnsi="arial" w:cs="arial"/>
          <w:i/>
          <w:color w:val="000000"/>
          <w:sz w:val="20"/>
          <w:lang w:val="en-US" w:eastAsia="en-US" w:bidi="ar-SA"/>
        </w:rPr>
        <w:t>qua</w:t>
      </w:r>
      <w:r>
        <w:rPr>
          <w:rFonts w:ascii="arial" w:eastAsia="arial" w:hAnsi="arial" w:cs="arial"/>
          <w:color w:val="000000"/>
          <w:sz w:val="20"/>
          <w:lang w:val="en-US" w:eastAsia="en-US" w:bidi="ar-SA"/>
        </w:rPr>
        <w:t xml:space="preserve"> police: </w:t>
      </w:r>
      <w:r>
        <w:rPr>
          <w:rFonts w:ascii="arial" w:eastAsia="arial" w:hAnsi="arial" w:cs="arial"/>
          <w:i/>
          <w:color w:val="000000"/>
          <w:sz w:val="20"/>
          <w:lang w:val="en-US" w:eastAsia="en-US" w:bidi="ar-SA"/>
        </w:rPr>
        <w:t>Dillon</w:t>
      </w:r>
      <w:r>
        <w:rPr>
          <w:rFonts w:ascii="arial" w:eastAsia="arial" w:hAnsi="arial" w:cs="arial"/>
          <w:color w:val="000000"/>
          <w:sz w:val="20"/>
          <w:lang w:val="en-US" w:eastAsia="en-US" w:bidi="ar-SA"/>
        </w:rPr>
        <w:t xml:space="preserve">, [Dillon, 5th ed.] par. 1656; </w:t>
      </w:r>
      <w:r>
        <w:rPr>
          <w:rFonts w:ascii="arial" w:eastAsia="arial" w:hAnsi="arial" w:cs="arial"/>
          <w:i/>
          <w:color w:val="000000"/>
          <w:sz w:val="20"/>
          <w:lang w:val="en-US" w:eastAsia="en-US" w:bidi="ar-SA"/>
        </w:rPr>
        <w:t>Wishart v. City of Brandon</w:t>
      </w:r>
      <w:r>
        <w:rPr>
          <w:rFonts w:ascii="arial" w:eastAsia="arial" w:hAnsi="arial" w:cs="arial"/>
          <w:color w:val="000000"/>
          <w:sz w:val="20"/>
          <w:lang w:val="en-US" w:eastAsia="en-US" w:bidi="ar-SA"/>
        </w:rPr>
        <w:t xml:space="preserve"> </w:t>
      </w:r>
      <w:hyperlink r:id="rId19" w:history="1">
        <w:r>
          <w:rPr>
            <w:rFonts w:ascii="arial" w:eastAsia="arial" w:hAnsi="arial" w:cs="arial"/>
            <w:i/>
            <w:color w:val="0077CC"/>
            <w:sz w:val="20"/>
            <w:u w:val="single"/>
            <w:shd w:val="clear" w:color="auto" w:fill="FFFFFF"/>
            <w:lang w:val="en-US" w:eastAsia="en-US" w:bidi="ar-SA"/>
          </w:rPr>
          <w:t>(1887), 4 Man.R. 453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McCleave v. Moncton</w:t>
      </w:r>
      <w:r>
        <w:rPr>
          <w:rFonts w:ascii="arial" w:eastAsia="arial" w:hAnsi="arial" w:cs="arial"/>
          <w:color w:val="000000"/>
          <w:sz w:val="20"/>
          <w:lang w:val="en-US" w:eastAsia="en-US" w:bidi="ar-SA"/>
        </w:rPr>
        <w:t>, [</w:t>
      </w:r>
      <w:hyperlink r:id="rId15" w:history="1">
        <w:r>
          <w:rPr>
            <w:rFonts w:ascii="arial" w:eastAsia="arial" w:hAnsi="arial" w:cs="arial"/>
            <w:i/>
            <w:color w:val="0077CC"/>
            <w:sz w:val="20"/>
            <w:u w:val="single"/>
            <w:shd w:val="clear" w:color="auto" w:fill="FFFFFF"/>
            <w:lang w:val="en-US" w:eastAsia="en-US" w:bidi="ar-SA"/>
          </w:rPr>
          <w:t>(1902), 32 S.C.R. 106</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But it is contended that either or both may be held liable for the negligent act of a policeman within the scope of his employment but outside the scope of his duties </w:t>
      </w:r>
      <w:r>
        <w:rPr>
          <w:rFonts w:ascii="arial" w:eastAsia="arial" w:hAnsi="arial" w:cs="arial"/>
          <w:i/>
          <w:color w:val="000000"/>
          <w:sz w:val="20"/>
          <w:lang w:val="en-US" w:eastAsia="en-US" w:bidi="ar-SA"/>
        </w:rPr>
        <w:t>qua</w:t>
      </w:r>
      <w:r>
        <w:rPr>
          <w:rFonts w:ascii="arial" w:eastAsia="arial" w:hAnsi="arial" w:cs="arial"/>
          <w:color w:val="000000"/>
          <w:sz w:val="20"/>
          <w:lang w:val="en-US" w:eastAsia="en-US" w:bidi="ar-SA"/>
        </w:rPr>
        <w:t xml:space="preserve"> a policeman.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will not be denied, I think, that an employee who ordinarily bears the character of a police constable may be authorized to perform duties of a local or corporate character having no relation to his public police duties, that might just as appropriately be performed by a person who was not a police constable, and if in the performance of that duty damage was occasioned to another by the employee's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municipality could not escape liability because of the mere fact that the offender happened to be a police officer.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paras. 17-19)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submission of the Plaintiff is that the pistol team competitions, the fishing derbies and the activities as part of the Reserve were not connected with the public duties of Mr. Hughes as a police officer, but were extracurricular activities undertaken to establish and improve the public and professional reputation of the VPD and the City, that the City authorized and endorsed these events and the attendance and participation of the personnel of the VPD in them, and that VPD personnel attended these events as representatives of the 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 cannot conclude that the extracurricular activities were sufficiently connected to the public duties of Mr. Hughes as a police officer, that the City authorized and endorsed these events and the attendance and participation of the personnel of the VPD in them, or that VPD personnel attended these events as representatives of the City or the VPD. I also cannot conclude that Mr. Hughes dedicated any portion of his hours at work to undertake the activities which resulted in the abuse reported by the Plaintiff. I cannot conclude that the City is liable for the acts or omissions of Mr. Hughes and his superiors that occurred in the furtherance of his or their corporate duties owed to the City. I cannot conclude that the City held out the extracurricular activities to raise the profile and reputation of the VPD.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 Is the City liable on the basis of the common law principles of occupier's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In the alternative, the Plaintiff submits that, if the City is not the employer of Mr. Hughes, the City is nevertheless liable under the common law principles of occupier's liability. The City was the owner or lessor of the properties at 312 Main Street (the VPD Police Station), the VPD Oakridge sub-station and the VPD pistol shooting range on Barnet Highway, Burnaby.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As the assaults occurred prior to the enactment of the </w:t>
      </w:r>
      <w:r>
        <w:rPr>
          <w:rFonts w:ascii="arial" w:eastAsia="arial" w:hAnsi="arial" w:cs="arial"/>
          <w:i/>
          <w:color w:val="000000"/>
          <w:sz w:val="20"/>
          <w:lang w:val="en-US" w:eastAsia="en-US" w:bidi="ar-SA"/>
        </w:rPr>
        <w:t>Occupier's Liability Act</w:t>
      </w:r>
      <w:r>
        <w:rPr>
          <w:rFonts w:ascii="arial" w:eastAsia="arial" w:hAnsi="arial" w:cs="arial"/>
          <w:color w:val="000000"/>
          <w:sz w:val="20"/>
          <w:lang w:val="en-US" w:eastAsia="en-US" w:bidi="ar-SA"/>
        </w:rPr>
        <w:t xml:space="preserve"> in 1974, common law principles apply. At common law, liability of an occupier is based not on ownership but on actual control of the premises. A person who, by himself or herself or by an agent, has the immediate supervision or control of the premises and the power of permitting or prohibiting the entry of other persons on to the premises is an occupier of those premises: </w:t>
      </w:r>
      <w:r>
        <w:rPr>
          <w:rFonts w:ascii="arial" w:eastAsia="arial" w:hAnsi="arial" w:cs="arial"/>
          <w:i/>
          <w:color w:val="000000"/>
          <w:sz w:val="20"/>
          <w:lang w:val="en-US" w:eastAsia="en-US" w:bidi="ar-SA"/>
        </w:rPr>
        <w:t>Wheat v. E. Lacon &amp; Co. Ltd.</w:t>
      </w:r>
      <w:r>
        <w:rPr>
          <w:rFonts w:ascii="arial" w:eastAsia="arial" w:hAnsi="arial" w:cs="arial"/>
          <w:color w:val="000000"/>
          <w:sz w:val="20"/>
          <w:lang w:val="en-US" w:eastAsia="en-US" w:bidi="ar-SA"/>
        </w:rPr>
        <w:t xml:space="preserve">, [1966] UHKL 1 at p. 10. At common law, an invitee such as the Plaintiff "is entitled to expect that the occupier shall on his part use reasonable care to prevent damage from unusual danger, which he knows or ought to know"; </w:t>
      </w:r>
      <w:r>
        <w:rPr>
          <w:rFonts w:ascii="arial" w:eastAsia="arial" w:hAnsi="arial" w:cs="arial"/>
          <w:i/>
          <w:color w:val="000000"/>
          <w:sz w:val="20"/>
          <w:lang w:val="en-US" w:eastAsia="en-US" w:bidi="ar-SA"/>
        </w:rPr>
        <w:t>Indermaur v. Dames</w:t>
      </w:r>
      <w:r>
        <w:rPr>
          <w:rFonts w:ascii="arial" w:eastAsia="arial" w:hAnsi="arial" w:cs="arial"/>
          <w:color w:val="000000"/>
          <w:sz w:val="20"/>
          <w:lang w:val="en-US" w:eastAsia="en-US" w:bidi="ar-SA"/>
        </w:rPr>
        <w:t xml:space="preserve"> (1866), L.R. 1 C.P. 274 at p. 288.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The presence of a "dangerous person" can amount to an "unusual danger" that triggers the duty owed to a person for the general principles of occupier's liability: </w:t>
      </w:r>
      <w:r>
        <w:rPr>
          <w:rFonts w:ascii="arial" w:eastAsia="arial" w:hAnsi="arial" w:cs="arial"/>
          <w:i/>
          <w:color w:val="000000"/>
          <w:sz w:val="20"/>
          <w:lang w:val="en-US" w:eastAsia="en-US" w:bidi="ar-SA"/>
        </w:rPr>
        <w:t>Lehnert v. Nelson, Carveth &amp; L.&amp; R. Limited</w:t>
      </w:r>
      <w:r>
        <w:rPr>
          <w:rFonts w:ascii="arial" w:eastAsia="arial" w:hAnsi="arial" w:cs="arial"/>
          <w:color w:val="000000"/>
          <w:sz w:val="20"/>
          <w:lang w:val="en-US" w:eastAsia="en-US" w:bidi="ar-SA"/>
        </w:rPr>
        <w:t xml:space="preserve">, </w:t>
      </w:r>
      <w:hyperlink r:id="rId20" w:history="1">
        <w:r>
          <w:rPr>
            <w:rFonts w:ascii="arial" w:eastAsia="arial" w:hAnsi="arial" w:cs="arial"/>
            <w:i/>
            <w:color w:val="0077CC"/>
            <w:sz w:val="20"/>
            <w:u w:val="single"/>
            <w:shd w:val="clear" w:color="auto" w:fill="FFFFFF"/>
            <w:lang w:val="en-US" w:eastAsia="en-US" w:bidi="ar-SA"/>
          </w:rPr>
          <w:t>[1947] 4 D.L.R. 473</w:t>
        </w:r>
      </w:hyperlink>
      <w:r>
        <w:rPr>
          <w:rFonts w:ascii="arial" w:eastAsia="arial" w:hAnsi="arial" w:cs="arial"/>
          <w:color w:val="000000"/>
          <w:sz w:val="20"/>
          <w:lang w:val="en-US" w:eastAsia="en-US" w:bidi="ar-SA"/>
        </w:rPr>
        <w:t xml:space="preserve"> (B.C.S.C.). In </w:t>
      </w:r>
      <w:r>
        <w:rPr>
          <w:rFonts w:ascii="arial" w:eastAsia="arial" w:hAnsi="arial" w:cs="arial"/>
          <w:i/>
          <w:color w:val="000000"/>
          <w:sz w:val="20"/>
          <w:lang w:val="en-US" w:eastAsia="en-US" w:bidi="ar-SA"/>
        </w:rPr>
        <w:t>Lehnert</w:t>
      </w:r>
      <w:r>
        <w:rPr>
          <w:rFonts w:ascii="arial" w:eastAsia="arial" w:hAnsi="arial" w:cs="arial"/>
          <w:color w:val="000000"/>
          <w:sz w:val="20"/>
          <w:lang w:val="en-US" w:eastAsia="en-US" w:bidi="ar-SA"/>
        </w:rPr>
        <w:t>, Farris C.J.S.C., as he then was, found that the owners and operators of a Vancouver nightclub were liable to the plaintiff for injuries suffered when an unruly patron threw a glass at him, hitting him in the eye: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 was an invitee to the premises and the duty of the occupiers of the premises is to take reasonable care that invitees are not injured by dangers that the occupiers knew or ought to know existed thereon: </w:t>
      </w:r>
      <w:r>
        <w:rPr>
          <w:rFonts w:ascii="arial" w:eastAsia="arial" w:hAnsi="arial" w:cs="arial"/>
          <w:i/>
          <w:color w:val="000000"/>
          <w:sz w:val="20"/>
          <w:lang w:val="en-US" w:eastAsia="en-US" w:bidi="ar-SA"/>
        </w:rPr>
        <w:t>Indermaur v. Dames</w:t>
      </w:r>
      <w:r>
        <w:rPr>
          <w:rFonts w:ascii="arial" w:eastAsia="arial" w:hAnsi="arial" w:cs="arial"/>
          <w:color w:val="000000"/>
          <w:sz w:val="20"/>
          <w:lang w:val="en-US" w:eastAsia="en-US" w:bidi="ar-SA"/>
        </w:rPr>
        <w:t xml:space="preserve"> (1866), L.R. 1 C.P. 274. This duty extends to the action of third persons lawfully on the premises whom the occupier knows or ought to know constitute a danger to his invitees: </w:t>
      </w:r>
      <w:hyperlink r:id="rId21" w:history="1">
        <w:r>
          <w:rPr>
            <w:rFonts w:ascii="arial" w:eastAsia="arial" w:hAnsi="arial" w:cs="arial"/>
            <w:i/>
            <w:color w:val="0077CC"/>
            <w:sz w:val="20"/>
            <w:u w:val="single"/>
            <w:shd w:val="clear" w:color="auto" w:fill="FFFFFF"/>
            <w:lang w:val="en-US" w:eastAsia="en-US" w:bidi="ar-SA"/>
          </w:rPr>
          <w:t>[1941] 3 D.L.R. 397</w:t>
        </w:r>
      </w:hyperlink>
      <w:r>
        <w:rPr>
          <w:rFonts w:ascii="arial" w:eastAsia="arial" w:hAnsi="arial" w:cs="arial"/>
          <w:color w:val="000000"/>
          <w:sz w:val="20"/>
          <w:lang w:val="en-US" w:eastAsia="en-US" w:bidi="ar-SA"/>
        </w:rPr>
        <w:t xml:space="preserve">, S.C.R. 384; </w:t>
      </w:r>
      <w:r>
        <w:rPr>
          <w:rFonts w:ascii="arial" w:eastAsia="arial" w:hAnsi="arial" w:cs="arial"/>
          <w:i/>
          <w:color w:val="000000"/>
          <w:sz w:val="20"/>
          <w:lang w:val="en-US" w:eastAsia="en-US" w:bidi="ar-SA"/>
        </w:rPr>
        <w:t>Gardner v. McConnell</w:t>
      </w:r>
      <w:r>
        <w:rPr>
          <w:rFonts w:ascii="arial" w:eastAsia="arial" w:hAnsi="arial" w:cs="arial"/>
          <w:color w:val="000000"/>
          <w:sz w:val="20"/>
          <w:lang w:val="en-US" w:eastAsia="en-US" w:bidi="ar-SA"/>
        </w:rPr>
        <w:t xml:space="preserve">, </w:t>
      </w:r>
      <w:hyperlink r:id="rId22" w:history="1">
        <w:r>
          <w:rPr>
            <w:rFonts w:ascii="arial" w:eastAsia="arial" w:hAnsi="arial" w:cs="arial"/>
            <w:i/>
            <w:color w:val="0077CC"/>
            <w:sz w:val="20"/>
            <w:u w:val="single"/>
            <w:shd w:val="clear" w:color="auto" w:fill="FFFFFF"/>
            <w:lang w:val="en-US" w:eastAsia="en-US" w:bidi="ar-SA"/>
          </w:rPr>
          <w:t>[1946] 1 D.L.R. 730</w:t>
        </w:r>
      </w:hyperlink>
      <w:r>
        <w:rPr>
          <w:rFonts w:ascii="arial" w:eastAsia="arial" w:hAnsi="arial" w:cs="arial"/>
          <w:color w:val="000000"/>
          <w:sz w:val="20"/>
          <w:lang w:val="en-US" w:eastAsia="en-US" w:bidi="ar-SA"/>
        </w:rPr>
        <w:t xml:space="preserve">, </w:t>
      </w:r>
      <w:hyperlink r:id="rId22" w:history="1">
        <w:r>
          <w:rPr>
            <w:rFonts w:ascii="arial" w:eastAsia="arial" w:hAnsi="arial" w:cs="arial"/>
            <w:i/>
            <w:color w:val="0077CC"/>
            <w:sz w:val="20"/>
            <w:u w:val="single"/>
            <w:shd w:val="clear" w:color="auto" w:fill="FFFFFF"/>
            <w:lang w:val="en-US" w:eastAsia="en-US" w:bidi="ar-SA"/>
          </w:rPr>
          <w:t>[1946] O.W.N. 27</w:t>
        </w:r>
      </w:hyperlink>
      <w:r>
        <w:rPr>
          <w:rFonts w:ascii="arial" w:eastAsia="arial" w:hAnsi="arial" w:cs="arial"/>
          <w:color w:val="000000"/>
          <w:sz w:val="20"/>
          <w:lang w:val="en-US" w:eastAsia="en-US" w:bidi="ar-SA"/>
        </w:rPr>
        <w:t xml:space="preserve">. This duty has been particularly recognized as arising from the presence of intoxicated persons who constitute a danger to the occupier's invitees: </w:t>
      </w:r>
      <w:r>
        <w:rPr>
          <w:rFonts w:ascii="arial" w:eastAsia="arial" w:hAnsi="arial" w:cs="arial"/>
          <w:i/>
          <w:color w:val="000000"/>
          <w:sz w:val="20"/>
          <w:lang w:val="en-US" w:eastAsia="en-US" w:bidi="ar-SA"/>
        </w:rPr>
        <w:t>Murgatroyd v. Blackburn &amp; Over Barmen Tramway Co.</w:t>
      </w:r>
      <w:r>
        <w:rPr>
          <w:rFonts w:ascii="arial" w:eastAsia="arial" w:hAnsi="arial" w:cs="arial"/>
          <w:color w:val="000000"/>
          <w:sz w:val="20"/>
          <w:lang w:val="en-US" w:eastAsia="en-US" w:bidi="ar-SA"/>
        </w:rPr>
        <w:t xml:space="preserve"> (1886), 3 T.L.R. 451; </w:t>
      </w:r>
      <w:r>
        <w:rPr>
          <w:rFonts w:ascii="arial" w:eastAsia="arial" w:hAnsi="arial" w:cs="arial"/>
          <w:i/>
          <w:color w:val="000000"/>
          <w:sz w:val="20"/>
          <w:lang w:val="en-US" w:eastAsia="en-US" w:bidi="ar-SA"/>
        </w:rPr>
        <w:t>Pearson v. Vintners Ltd.</w:t>
      </w:r>
      <w:r>
        <w:rPr>
          <w:rFonts w:ascii="arial" w:eastAsia="arial" w:hAnsi="arial" w:cs="arial"/>
          <w:color w:val="000000"/>
          <w:sz w:val="20"/>
          <w:lang w:val="en-US" w:eastAsia="en-US" w:bidi="ar-SA"/>
        </w:rPr>
        <w:t xml:space="preserve">, </w:t>
      </w:r>
      <w:hyperlink r:id="rId23" w:history="1">
        <w:r>
          <w:rPr>
            <w:rFonts w:ascii="arial" w:eastAsia="arial" w:hAnsi="arial" w:cs="arial"/>
            <w:i/>
            <w:color w:val="0077CC"/>
            <w:sz w:val="20"/>
            <w:u w:val="single"/>
            <w:shd w:val="clear" w:color="auto" w:fill="FFFFFF"/>
            <w:lang w:val="en-US" w:eastAsia="en-US" w:bidi="ar-SA"/>
          </w:rPr>
          <w:t>[1939] 2 D.L.R. 198</w:t>
        </w:r>
      </w:hyperlink>
      <w:r>
        <w:rPr>
          <w:rFonts w:ascii="arial" w:eastAsia="arial" w:hAnsi="arial" w:cs="arial"/>
          <w:color w:val="000000"/>
          <w:sz w:val="20"/>
          <w:lang w:val="en-US" w:eastAsia="en-US" w:bidi="ar-SA"/>
        </w:rPr>
        <w:t xml:space="preserve">, </w:t>
      </w:r>
      <w:hyperlink r:id="rId23" w:history="1">
        <w:r>
          <w:rPr>
            <w:rFonts w:ascii="arial" w:eastAsia="arial" w:hAnsi="arial" w:cs="arial"/>
            <w:i/>
            <w:color w:val="0077CC"/>
            <w:sz w:val="20"/>
            <w:u w:val="single"/>
            <w:shd w:val="clear" w:color="auto" w:fill="FFFFFF"/>
            <w:lang w:val="en-US" w:eastAsia="en-US" w:bidi="ar-SA"/>
          </w:rPr>
          <w:t>53 B.C.R. 397</w:t>
        </w:r>
      </w:hyperlink>
      <w:r>
        <w:rPr>
          <w:rFonts w:ascii="arial" w:eastAsia="arial" w:hAnsi="arial" w:cs="arial"/>
          <w:color w:val="000000"/>
          <w:sz w:val="20"/>
          <w:lang w:val="en-US" w:eastAsia="en-US" w:bidi="ar-SA"/>
        </w:rPr>
        <w:t xml:space="preserve">. The occupiers of the premises under the circumstances not only had the legal right to eject Blackburn or restrain her, but had a duty to do so: </w:t>
      </w:r>
      <w:r>
        <w:rPr>
          <w:rFonts w:ascii="arial" w:eastAsia="arial" w:hAnsi="arial" w:cs="arial"/>
          <w:i/>
          <w:color w:val="000000"/>
          <w:sz w:val="20"/>
          <w:lang w:val="en-US" w:eastAsia="en-US" w:bidi="ar-SA"/>
        </w:rPr>
        <w:t>Howell v. Jackson</w:t>
      </w:r>
      <w:r>
        <w:rPr>
          <w:rFonts w:ascii="arial" w:eastAsia="arial" w:hAnsi="arial" w:cs="arial"/>
          <w:color w:val="000000"/>
          <w:sz w:val="20"/>
          <w:lang w:val="en-US" w:eastAsia="en-US" w:bidi="ar-SA"/>
        </w:rPr>
        <w:t xml:space="preserve"> (1834), 6 Car. &amp; P. 723, 172 E.R. 1435. There is no doubt in my mind that the defendant Nelson, who was in charge of the premises, was inexcusably remiss in his duty to protect the invitees to the premises on the night in question and as being the person in charge is liable in damages to the plaintiff. (at para. 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It is the submission of the Plaintiff that the presence of Mr. Hughes and his ability to make use of the property owned by the City as a place where he could assault the Plaintiff was an unusual danger that the City knew or ought to have known about and which it should have taken reasonable steps to guard against. The Plaintiff submits that the City was represented on the Board, senior police employees had reason to be concerned about the behaviour of Mr. Hughes taking into account his "inappropriate behaviour ... during extra-curricular events, which was witnessed by VPD members" and his disciplinary record so that City "failed to take reasonable steps to guard against the danger presented by [Mr.] Hughes at these locations."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It is the submission of the City that, for the claim of the Plaintiff to succeed in an action based on occupier's liability, the following elements must be established: (a) City was an occupier of the premises upon which the injury occurred; (b) as an occupier, the City owed a duty of care to the Plaintiff to protect him from the sexual assaults committed by Mr. Hughes; (c) the City breached the duty of care owed to the Plaintiff; (d) the breach of the duty of care owed to the Plaintiff caused the injuries to the Plaintiff; and (e) Plaintiff suffered damages from the breach of the 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City was not an actual occupier of the premises upon which the sexual abuses are alleged to have occurred. As well, I find that the City had no control over the three locations. There is no indication that the City had immediate supervision or control of the three premises or the power of permitting or prohibiting the entry of persons such as Mr. Hughes or the Plaintiff to the premises. I can only conclude that the VPD through the Board had complete control over the three locations.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There is also nothing which would allow the City to conclude that Mr. Hughes was a dangerous person who could amount to an "unusual danger" so as to trigger a corresponding duty on behalf of the City to the Plaintiff under the general principles of occupier's liability. The presence of Mr. Hughes was not an unusual danger that the City knew or ought to have known about and which it should have taken reasonable steps to guard against.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None of the declarations sought by the Plaintiff are made. The parties will be at liberty to speak to the question of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G.D. BURNYEAT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29" style="position:absolute;z-index:25169920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4"/>
          <w:headerReference w:type="default" r:id="rId25"/>
          <w:footerReference w:type="even" r:id="rId26"/>
          <w:footerReference w:type="default" r:id="rId27"/>
          <w:headerReference w:type="first" r:id="rId28"/>
          <w:footerReference w:type="first" r:id="rId2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0" w:history="1">
        <w:r>
          <w:rPr>
            <w:rFonts w:ascii="arial" w:eastAsia="arial" w:hAnsi="arial" w:cs="arial"/>
            <w:b/>
            <w:bCs/>
            <w:i/>
            <w:color w:val="0077CC"/>
            <w:kern w:val="32"/>
            <w:sz w:val="28"/>
            <w:szCs w:val="32"/>
            <w:u w:val="single"/>
            <w:shd w:val="clear" w:color="auto" w:fill="FFFFFF"/>
            <w:lang w:val="en-US" w:eastAsia="en-US" w:bidi="ar-SA"/>
          </w:rPr>
          <w:t>Robinson v. 1390709 Alberta Ltd. (c.o.b. Chopped Leaf), [2016] B.C.J. No. 2770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Victoria,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G.R.J. Gaul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September 9, 15, 2016.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Oral judgment: September 30, 2016.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S144101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Victoria</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[2016] B.C.J. No. 2770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2016 BCSC 2459</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Cathrine Robinson, Plaintiff, and 1390709 Alberta Ltd. doing business as The Chopped Leaf,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(48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30" style="position:absolute;z-index:25165926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5" w:name="Keywords_0"/>
      <w:bookmarkEnd w:id="5"/>
      <w:r>
        <w:rPr>
          <w:rFonts w:ascii="arial" w:eastAsia="arial" w:hAnsi="arial" w:cs="arial"/>
          <w:b/>
          <w:color w:val="000000"/>
          <w:sz w:val="20"/>
          <w:lang w:val="en-US" w:eastAsia="en-US" w:bidi="ar-SA"/>
        </w:rPr>
        <w:t>Tort law — Occupiers' liability — Duty of occupier — To invitees — Particular situations — Floors — Determination of liability for slip and fall — Defendant was 100 per cent liable — Plaintiff claimed that she slipped and fell on floor of defendant's restaurant because of substance that was "slimy and thicker than liquid" — Plaintiff established prima facie case that defendant breached duty of care under Occupiers Liability Act — Defendant did not have suitable cleaning regime in place — Occupiers Liability Act, s. 3.</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6" w:name="Case Summary"/>
            <w:bookmarkEnd w:id="6"/>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Determination of liability for a slip and fall. The plaintiff claimed that she slipped and fell on the floor of the defendant's restaurant because of a substance that was "slimy and thicker than a liquid". The defendant had a systems manual that contained cleaning policies and an employee handbook.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7" w:name="Holdings of Court"/>
            <w:bookmarkEnd w:id="7"/>
            <w:r>
              <w:rPr>
                <w:rFonts w:ascii="arial" w:eastAsia="arial" w:hAnsi="arial" w:cs="arial"/>
                <w:color w:val="000000"/>
                <w:sz w:val="20"/>
                <w:lang w:val="en-US" w:eastAsia="en-US" w:bidi="ar-SA"/>
              </w:rPr>
              <w:t>HELD: The defendant was 100 per cent liable.</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plaintiff established a prima facie case that the defendant breached a duty of care under the Occupiers Liability Act. The plaintiff identified that the substance was noticeably different than water and had the distinct consistency of a food item. The defendant did not have a suitable cleaning regime in place. The training program for employees contained very little review of the systems manual, the employee handbook or any other policy manual. Employees only obtained hands-on training during the course of their work, with no identifiable structure. In any event, any cleaning regime was not being implemented properly or consistently.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8" w:name="Legislation Cited_0"/>
      <w:bookmarkEnd w:id="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31" style="position:absolute;z-index:2516695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Occupiers Liability Act, </w:t>
      </w:r>
      <w:hyperlink r:id="rId31" w:history="1">
        <w:r>
          <w:rPr>
            <w:rFonts w:ascii="arial" w:eastAsia="arial" w:hAnsi="arial" w:cs="arial"/>
            <w:i/>
            <w:color w:val="0077CC"/>
            <w:sz w:val="20"/>
            <w:u w:val="single"/>
            <w:shd w:val="clear" w:color="auto" w:fill="FFFFFF"/>
            <w:lang w:val="en-US" w:eastAsia="en-US" w:bidi="ar-SA"/>
          </w:rPr>
          <w:t>R.S.B.C. 1996, c. 337, s. 3</w:t>
        </w:r>
      </w:hyperlink>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Supreme Court Civil Rules, Rule 9-7</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9" w:name="Counsel_0"/>
      <w:bookmarkEnd w:id="9"/>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32" style="position:absolute;z-index:25167974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D. Williams, A. Broadley.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C.J. Stenerson.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0" w:name="Judgment_0"/>
      <w:bookmarkEnd w:id="10"/>
      <w:r>
        <w:pict>
          <v:line id="_x0000_s1033" style="position:absolute;z-index:25168998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Oral 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4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1" w:name="G.R.J. GAUL J. (orally)"/>
            <w:bookmarkEnd w:id="11"/>
            <w:r>
              <w:rPr>
                <w:rFonts w:ascii="arial" w:eastAsia="arial" w:hAnsi="arial" w:cs="arial"/>
                <w:b/>
                <w:color w:val="000000"/>
                <w:sz w:val="30"/>
                <w:lang w:val="en-US" w:eastAsia="en-US" w:bidi="ar-SA"/>
              </w:rPr>
              <w:t>G.R.J. GAUL J. (orally)</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These reasons for judgment are subject to editorial revisions before their reproduction in final form. Those revisions could include the insertion of additional references to the evidence, authorities, or submissions. In no manner will the results of my decision be changed.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On 30 November 2012, the plaintiff Cathrine Robinson slipped and fell at the defendant's restaurant. She claims to have suffered injuries and compensable damages as a result of the fall and consequently has sued the defendant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pursuant to the </w:t>
      </w:r>
      <w:r>
        <w:rPr>
          <w:rFonts w:ascii="arial" w:eastAsia="arial" w:hAnsi="arial" w:cs="arial"/>
          <w:i/>
          <w:color w:val="000000"/>
          <w:sz w:val="20"/>
          <w:lang w:val="en-US" w:eastAsia="en-US" w:bidi="ar-SA"/>
        </w:rPr>
        <w:t>Occupiers Liability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337</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OLA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defendant denies any responsibility for Ms. Robinson's fall.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 understand the trial of Ms. Robinson's action is set for January of next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On the application before me, filed 24 March 2016, Ms. Robinson seeks to have the issue of liability resolved by summary trial under Rule 9-7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The parties agree that this distinct issue is suitable for determination by summary trial and that the assessment of any compensable damages can be conducted at a later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Ms. Robinson is a 55-year-old nurse and university instructor.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Chopped Leaf, located on Bernard Avenue in Kelowna, B.C., is a fast-food style restaurant which provides customers with made-to-order salads.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On the evening of 30 November 2012, Ms. Robinson intended to go to a local theatre with a friend, Gillian Horgan. Before attending the show, Ms. Robinson and Ms. Horgan stopped at the Chopped Leaf to have dinner. They parked approximately a block and a half from the restaurant and walked there, arriving at around 6:30 p.m. The roads and sidewalks were dry as it had neither snowed nor rained that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Ms. Robinson and Ms. Horgan were not in a rush as they had left ample time to eat their dinner and then get to the theatre.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According to Ms. Robinson and Ms. Horgan, there were two employees, one male and one female, working in the restaurant when they arrived. Shortly after they entered the restaurant, the female employee left the front counter area where customers' meals were prepared, and disappeared into the back of the restaurant. Ms. Robinson did not see this female employee afterwards.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Ms. Robinson and Ms. Horgan ordered their meals and then sat down at a table near the front door to the restaurant. Their meals were delivered to them by the male employee.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While Ms. Robinson and Ms. Horgan were eating their meals, two other customers entered the restaurant. They ordered their meals and then left with them once they were ready. In other words, they took their meals-to-go.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After Ms. Robinson and Ms. Horgan had finished their meals, they got up from their table and began walking towards the front door. They left their dishes at the table. There were no other customers in the restaurant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In her affidavit, Ms. Robinson explains what happens next: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[21] As I walked toward the door, I was looking at the door expecting to reach for the handle and open the door. Ms. Horgan was walking behind me. As I neared the door, I put my left foot down and felt it slip forward suddenly. I definitely felt something slimy and thicker than liquid under my foot, and felt it slide as my left foot slid forward. I could not lift my left foot because it was already too far in front when I started to react to the slip. I tried to correct my balance by shifting my weight forward but my left foot was out in front of me and I fell heavily onto my back and left side.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[22] I had not felt this slippery substance under my foot as I walked towards the door; it was only as I put my left foot down on this one occasion that I [felt] it as my foot slid forward.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[23] After I landed on the ground I did not look for what I slipped on because I was distracted by the surprise and the pain of my fall.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[24] Immediately after I landed on the floor Ms. Horgan asked me if I was alright and I recall saying I was not and that I had hurt myself. Ms. Horgan could not help me off the floor because she was late in her pregnancy.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[25] The employee behind the counter asked if I was alright and I replied that I hurt myself. He appeared to acknowledge my complaint but continued his work behind the counter. He, nor any other employee came to help me off the floor. I laid on the floor for about a minute before getting up slowly. I was embarrassed by the fall, and angry that the employee did not show any concern or try to help, so I wanted to leave the store.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Ms. Horgan's evidence corroborates much of what Ms. Robinson says happened. In her affidavit Ms. Horgan explains: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[10] I did not see any employee sweep, mop, or inspect the floor while we were in the Restaurant. There were no wet floor or caution signs to warn patrons of potential hazards.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[11] After we had finished our meals, Ms. Robinson and I got up to leave. We began to walk towards the door.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[12] Ms. Robinson was directly in front of me while we were walking. When she was about five feet from the door, I saw her fall. She fell onto the floor. There were no mats or carpets at the location where she fell.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[13] I cannot recall the direction she fell, however, I recall after she landed she remained on the ground. For part of the time she was on the ground, she was sitting on her buttocks. She immediately complained of pain in her knee. She was in obvious pain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[15] Only the male employee was behind the counter when the slip-and-fall incident occurred. He asked if Ms. Robinson was okay. She replied that she had fallen and she was hurt. He replied "Oh," and continued with his work behind the counter. He, nor any other employee came to offer assistance, first aid, or the help her get up.</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[16] After she fell, we did not attempt to identify what substance Ms. Robinson slipped on. Ms. Robinson appeared to be in a lot of pain and we were focused on her welfare rather than the floor. I was pregnant at the time and was not able to help her up, or properly examine the floor.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only evidence from the defendant about what may have occurred at the restaurant comes from Mr. Zander Hamm. He was an employee at the Chopped Leaf from approximately August to December 2012. Before swearing his affidavit, Mr. Hamm had an opportunity to read Ms. Robinson's affidavit, consequently he knew what she had said about the accident. While he does not attest to being present on the day Ms. Robinson slipped and fell, Mr. Hamm does provide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[15] I recall that one evening while working at the restaurant, I saw two women get up from their table after finishing their meal and head towards the front door. In doing so one of the women fell (the "incident"). It appeared to me that she fell to her knees. She was helped back up by the other woman.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[16] After the woman fell, I asked her if she was okay. I do not remember my exact words and I do not remember exactly what the woman said to me in response. I do not believe that she told me she was injured or needed assistance. Either she or the other woman said something to the effect of "Ya, I think we're good to go." They both then quickly exited the restaurant. I do not recall seeing the woman who fell limp out of the restaurant.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[17] I did not make notes of the incident or fill out any incident report or forms. I did not report the incident to Taylor [the shift manager] or my employer. This was because I had no indication that the woman who fell was injured. If she told me she was injured or needed help, I would have attended to her and if necessary, called my manager or if appropriate, 911.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There is no dispute that the </w:t>
      </w:r>
      <w:r>
        <w:rPr>
          <w:rFonts w:ascii="arial" w:eastAsia="arial" w:hAnsi="arial" w:cs="arial"/>
          <w:i/>
          <w:color w:val="000000"/>
          <w:sz w:val="20"/>
          <w:lang w:val="en-US" w:eastAsia="en-US" w:bidi="ar-SA"/>
        </w:rPr>
        <w:t>OLA</w:t>
      </w:r>
      <w:r>
        <w:rPr>
          <w:rFonts w:ascii="arial" w:eastAsia="arial" w:hAnsi="arial" w:cs="arial"/>
          <w:color w:val="000000"/>
          <w:sz w:val="20"/>
          <w:lang w:val="en-US" w:eastAsia="en-US" w:bidi="ar-SA"/>
        </w:rPr>
        <w:t xml:space="preserve"> governs this case. That is, the restaurant was a "premises" and the defendant was its "occupier" as those terms are defined in the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Section 3 of the </w:t>
      </w:r>
      <w:r>
        <w:rPr>
          <w:rFonts w:ascii="arial" w:eastAsia="arial" w:hAnsi="arial" w:cs="arial"/>
          <w:i/>
          <w:color w:val="000000"/>
          <w:sz w:val="20"/>
          <w:lang w:val="en-US" w:eastAsia="en-US" w:bidi="ar-SA"/>
        </w:rPr>
        <w:t>OLA</w:t>
      </w:r>
      <w:r>
        <w:rPr>
          <w:rFonts w:ascii="arial" w:eastAsia="arial" w:hAnsi="arial" w:cs="arial"/>
          <w:color w:val="000000"/>
          <w:sz w:val="20"/>
          <w:lang w:val="en-US" w:eastAsia="en-US" w:bidi="ar-SA"/>
        </w:rPr>
        <w:t xml:space="preserve"> delineates the statutory duty of care an occupier owes to someone entering its premises. The relevant portions of that provision read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 (1) An occupier of premises owes a duty to take that care that in all the circumstances of the case is reasonable to see that a person, and the person's property, on the premises, and property on the premises of a person, whether or not that person personally enters on the premises, will be reasonably safe in using the premises.</w:t>
      </w:r>
    </w:p>
    <w:p>
      <w:pPr>
        <w:numPr>
          <w:numId w:val="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duty of care referred to in subsection (1) applies in relation to the:</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condition of the premises,</w:t>
      </w:r>
    </w:p>
    <w:p>
      <w:pPr>
        <w:numPr>
          <w:numId w:val="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activities on the premises, or</w:t>
      </w:r>
    </w:p>
    <w:p>
      <w:pPr>
        <w:numPr>
          <w:numId w:val="4"/>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conduct of third parties on the premises.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The duty of care under the </w:t>
      </w:r>
      <w:r>
        <w:rPr>
          <w:rFonts w:ascii="arial" w:eastAsia="arial" w:hAnsi="arial" w:cs="arial"/>
          <w:i/>
          <w:color w:val="000000"/>
          <w:sz w:val="20"/>
          <w:lang w:val="en-US" w:eastAsia="en-US" w:bidi="ar-SA"/>
        </w:rPr>
        <w:t>OLA</w:t>
      </w:r>
      <w:r>
        <w:rPr>
          <w:rFonts w:ascii="arial" w:eastAsia="arial" w:hAnsi="arial" w:cs="arial"/>
          <w:color w:val="000000"/>
          <w:sz w:val="20"/>
          <w:lang w:val="en-US" w:eastAsia="en-US" w:bidi="ar-SA"/>
        </w:rPr>
        <w:t xml:space="preserve"> is no greater than the duty owed under the common law. Recent decisions from this court, including </w:t>
      </w:r>
      <w:r>
        <w:rPr>
          <w:rFonts w:ascii="arial" w:eastAsia="arial" w:hAnsi="arial" w:cs="arial"/>
          <w:i/>
          <w:color w:val="000000"/>
          <w:sz w:val="20"/>
          <w:lang w:val="en-US" w:eastAsia="en-US" w:bidi="ar-SA"/>
        </w:rPr>
        <w:t>Zary v. Canada Mortgage and Housing Corp.</w:t>
      </w:r>
      <w:r>
        <w:rPr>
          <w:rFonts w:ascii="arial" w:eastAsia="arial" w:hAnsi="arial" w:cs="arial"/>
          <w:color w:val="000000"/>
          <w:sz w:val="20"/>
          <w:lang w:val="en-US" w:eastAsia="en-US" w:bidi="ar-SA"/>
        </w:rPr>
        <w:t xml:space="preserve">, </w:t>
      </w:r>
      <w:hyperlink r:id="rId32" w:history="1">
        <w:r>
          <w:rPr>
            <w:rFonts w:ascii="arial" w:eastAsia="arial" w:hAnsi="arial" w:cs="arial"/>
            <w:i/>
            <w:color w:val="0077CC"/>
            <w:sz w:val="20"/>
            <w:u w:val="single"/>
            <w:shd w:val="clear" w:color="auto" w:fill="FFFFFF"/>
            <w:lang w:val="en-US" w:eastAsia="en-US" w:bidi="ar-SA"/>
          </w:rPr>
          <w:t>2015 BCSC 1145</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Dudas v. Ikea Ltd.</w:t>
      </w:r>
      <w:r>
        <w:rPr>
          <w:rFonts w:ascii="arial" w:eastAsia="arial" w:hAnsi="arial" w:cs="arial"/>
          <w:color w:val="000000"/>
          <w:sz w:val="20"/>
          <w:lang w:val="en-US" w:eastAsia="en-US" w:bidi="ar-SA"/>
        </w:rPr>
        <w:t xml:space="preserve">, </w:t>
      </w:r>
      <w:hyperlink r:id="rId33" w:history="1">
        <w:r>
          <w:rPr>
            <w:rFonts w:ascii="arial" w:eastAsia="arial" w:hAnsi="arial" w:cs="arial"/>
            <w:i/>
            <w:color w:val="0077CC"/>
            <w:sz w:val="20"/>
            <w:u w:val="single"/>
            <w:shd w:val="clear" w:color="auto" w:fill="FFFFFF"/>
            <w:lang w:val="en-US" w:eastAsia="en-US" w:bidi="ar-SA"/>
          </w:rPr>
          <w:t>2016 BCSC 826</w:t>
        </w:r>
      </w:hyperlink>
      <w:r>
        <w:rPr>
          <w:rFonts w:ascii="arial" w:eastAsia="arial" w:hAnsi="arial" w:cs="arial"/>
          <w:color w:val="000000"/>
          <w:sz w:val="20"/>
          <w:lang w:val="en-US" w:eastAsia="en-US" w:bidi="ar-SA"/>
        </w:rPr>
        <w:t xml:space="preserve">, have affirmed the continued currency of the following observations of Mr. Justice Preston in </w:t>
      </w:r>
      <w:r>
        <w:rPr>
          <w:rFonts w:ascii="arial" w:eastAsia="arial" w:hAnsi="arial" w:cs="arial"/>
          <w:i/>
          <w:color w:val="000000"/>
          <w:sz w:val="20"/>
          <w:lang w:val="en-US" w:eastAsia="en-US" w:bidi="ar-SA"/>
        </w:rPr>
        <w:t>Mainardi v. Shannon</w:t>
      </w:r>
      <w:r>
        <w:rPr>
          <w:rFonts w:ascii="arial" w:eastAsia="arial" w:hAnsi="arial" w:cs="arial"/>
          <w:color w:val="000000"/>
          <w:sz w:val="20"/>
          <w:lang w:val="en-US" w:eastAsia="en-US" w:bidi="ar-SA"/>
        </w:rPr>
        <w:t xml:space="preserve">, </w:t>
      </w:r>
      <w:hyperlink r:id="rId34" w:history="1">
        <w:r>
          <w:rPr>
            <w:rFonts w:ascii="arial" w:eastAsia="arial" w:hAnsi="arial" w:cs="arial"/>
            <w:i/>
            <w:color w:val="0077CC"/>
            <w:sz w:val="20"/>
            <w:u w:val="single"/>
            <w:shd w:val="clear" w:color="auto" w:fill="FFFFFF"/>
            <w:lang w:val="en-US" w:eastAsia="en-US" w:bidi="ar-SA"/>
          </w:rPr>
          <w:t>2005 BCSC 644</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[21] In applying the duty imposed by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to the facts of an individual case there are a number of propositions of law that are well established by the jurisprudence.</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bears the onus of proving on a balance of probabilities that the occupier breached his or her duty of care.</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presumption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not created by the fact that the plaintiff was injured. The plaintiff must establish that some act or failure to act on the part of the occupier resulted in his or her injury: (</w:t>
      </w:r>
      <w:r>
        <w:rPr>
          <w:rFonts w:ascii="arial" w:eastAsia="arial" w:hAnsi="arial" w:cs="arial"/>
          <w:i/>
          <w:color w:val="000000"/>
          <w:sz w:val="20"/>
          <w:lang w:val="en-US" w:eastAsia="en-US" w:bidi="ar-SA"/>
        </w:rPr>
        <w:t>Bauman v. Stein</w:t>
      </w:r>
      <w:r>
        <w:rPr>
          <w:rFonts w:ascii="arial" w:eastAsia="arial" w:hAnsi="arial" w:cs="arial"/>
          <w:color w:val="000000"/>
          <w:sz w:val="20"/>
          <w:lang w:val="en-US" w:eastAsia="en-US" w:bidi="ar-SA"/>
        </w:rPr>
        <w:t xml:space="preserve"> </w:t>
      </w:r>
      <w:hyperlink r:id="rId35" w:history="1">
        <w:r>
          <w:rPr>
            <w:rFonts w:ascii="arial" w:eastAsia="arial" w:hAnsi="arial" w:cs="arial"/>
            <w:i/>
            <w:color w:val="0077CC"/>
            <w:sz w:val="20"/>
            <w:u w:val="single"/>
            <w:shd w:val="clear" w:color="auto" w:fill="FFFFFF"/>
            <w:lang w:val="en-US" w:eastAsia="en-US" w:bidi="ar-SA"/>
          </w:rPr>
          <w:t>(1991), 78 D.L.R. (4th) 118</w:t>
        </w:r>
      </w:hyperlink>
      <w:r>
        <w:rPr>
          <w:rFonts w:ascii="arial" w:eastAsia="arial" w:hAnsi="arial" w:cs="arial"/>
          <w:color w:val="000000"/>
          <w:sz w:val="20"/>
          <w:lang w:val="en-US" w:eastAsia="en-US" w:bidi="ar-SA"/>
        </w:rPr>
        <w:t xml:space="preserve"> (B.C.C.A.)).</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duty of care imposed by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does not require the occupier to remove every possibility of danger -- the test is one of reasonableness, not perfection: (</w:t>
      </w:r>
      <w:r>
        <w:rPr>
          <w:rFonts w:ascii="arial" w:eastAsia="arial" w:hAnsi="arial" w:cs="arial"/>
          <w:i/>
          <w:color w:val="000000"/>
          <w:sz w:val="20"/>
          <w:lang w:val="en-US" w:eastAsia="en-US" w:bidi="ar-SA"/>
        </w:rPr>
        <w:t>Gerak v. British Columbia</w:t>
      </w:r>
      <w:r>
        <w:rPr>
          <w:rFonts w:ascii="arial" w:eastAsia="arial" w:hAnsi="arial" w:cs="arial"/>
          <w:color w:val="000000"/>
          <w:sz w:val="20"/>
          <w:lang w:val="en-US" w:eastAsia="en-US" w:bidi="ar-SA"/>
        </w:rPr>
        <w:t xml:space="preserve"> </w:t>
      </w:r>
      <w:hyperlink r:id="rId36" w:history="1">
        <w:r>
          <w:rPr>
            <w:rFonts w:ascii="arial" w:eastAsia="arial" w:hAnsi="arial" w:cs="arial"/>
            <w:i/>
            <w:color w:val="0077CC"/>
            <w:sz w:val="20"/>
            <w:u w:val="single"/>
            <w:shd w:val="clear" w:color="auto" w:fill="FFFFFF"/>
            <w:lang w:val="en-US" w:eastAsia="en-US" w:bidi="ar-SA"/>
          </w:rPr>
          <w:t>(1984), 59 B.C.L.R. 273</w:t>
        </w:r>
      </w:hyperlink>
      <w:r>
        <w:rPr>
          <w:rFonts w:ascii="arial" w:eastAsia="arial" w:hAnsi="arial" w:cs="arial"/>
          <w:color w:val="000000"/>
          <w:sz w:val="20"/>
          <w:lang w:val="en-US" w:eastAsia="en-US" w:bidi="ar-SA"/>
        </w:rPr>
        <w:t xml:space="preserve"> (C.A.) (leave to appeal to S.C.C. refused; </w:t>
      </w:r>
      <w:r>
        <w:rPr>
          <w:rFonts w:ascii="arial" w:eastAsia="arial" w:hAnsi="arial" w:cs="arial"/>
          <w:i/>
          <w:color w:val="000000"/>
          <w:sz w:val="20"/>
          <w:lang w:val="en-US" w:eastAsia="en-US" w:bidi="ar-SA"/>
        </w:rPr>
        <w:t>Carlson v. Canada Safeway Ltd</w:t>
      </w:r>
      <w:r>
        <w:rPr>
          <w:rFonts w:ascii="arial" w:eastAsia="arial" w:hAnsi="arial" w:cs="arial"/>
          <w:color w:val="000000"/>
          <w:sz w:val="20"/>
          <w:lang w:val="en-US" w:eastAsia="en-US" w:bidi="ar-SA"/>
        </w:rPr>
        <w:t xml:space="preserve">. </w:t>
      </w:r>
      <w:hyperlink r:id="rId37" w:history="1">
        <w:r>
          <w:rPr>
            <w:rFonts w:ascii="arial" w:eastAsia="arial" w:hAnsi="arial" w:cs="arial"/>
            <w:i/>
            <w:color w:val="0077CC"/>
            <w:sz w:val="20"/>
            <w:u w:val="single"/>
            <w:shd w:val="clear" w:color="auto" w:fill="FFFFFF"/>
            <w:lang w:val="en-US" w:eastAsia="en-US" w:bidi="ar-SA"/>
          </w:rPr>
          <w:t>(1983), 47 B.C.L.R. 252</w:t>
        </w:r>
      </w:hyperlink>
      <w:r>
        <w:rPr>
          <w:rFonts w:ascii="arial" w:eastAsia="arial" w:hAnsi="arial" w:cs="arial"/>
          <w:color w:val="000000"/>
          <w:sz w:val="20"/>
          <w:lang w:val="en-US" w:eastAsia="en-US" w:bidi="ar-SA"/>
        </w:rPr>
        <w:t xml:space="preserve"> (C.A.)).</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is not entitled to resort to speculation when determining the cause of the plaintiff's fall and subsequent injury. The plaintiff must prove the nexus between his or her fall and the occupier's failure to discharge his or her duty of care: (</w:t>
      </w:r>
      <w:r>
        <w:rPr>
          <w:rFonts w:ascii="arial" w:eastAsia="arial" w:hAnsi="arial" w:cs="arial"/>
          <w:i/>
          <w:color w:val="000000"/>
          <w:sz w:val="20"/>
          <w:lang w:val="en-US" w:eastAsia="en-US" w:bidi="ar-SA"/>
        </w:rPr>
        <w:t>Cropley v. Daishinpan (Canada) Ltd.</w:t>
      </w:r>
      <w:r>
        <w:rPr>
          <w:rFonts w:ascii="arial" w:eastAsia="arial" w:hAnsi="arial" w:cs="arial"/>
          <w:color w:val="000000"/>
          <w:sz w:val="20"/>
          <w:lang w:val="en-US" w:eastAsia="en-US" w:bidi="ar-SA"/>
        </w:rPr>
        <w:t xml:space="preserve">, </w:t>
      </w:r>
      <w:hyperlink r:id="rId38" w:history="1">
        <w:r>
          <w:rPr>
            <w:rFonts w:ascii="arial" w:eastAsia="arial" w:hAnsi="arial" w:cs="arial"/>
            <w:i/>
            <w:color w:val="0077CC"/>
            <w:sz w:val="20"/>
            <w:u w:val="single"/>
            <w:shd w:val="clear" w:color="auto" w:fill="FFFFFF"/>
            <w:lang w:val="en-US" w:eastAsia="en-US" w:bidi="ar-SA"/>
          </w:rPr>
          <w:t>2002 BCSC 1477</w:t>
        </w:r>
      </w:hyperlink>
      <w:r>
        <w:rPr>
          <w:rFonts w:ascii="arial" w:eastAsia="arial" w:hAnsi="arial" w:cs="arial"/>
          <w:color w:val="000000"/>
          <w:sz w:val="20"/>
          <w:lang w:val="en-US" w:eastAsia="en-US" w:bidi="ar-SA"/>
        </w:rPr>
        <w:t xml:space="preserve"> para 22).</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care that an occupier must take differs according to the nature and use of the premises: (</w:t>
      </w:r>
      <w:r>
        <w:rPr>
          <w:rFonts w:ascii="arial" w:eastAsia="arial" w:hAnsi="arial" w:cs="arial"/>
          <w:i/>
          <w:color w:val="000000"/>
          <w:sz w:val="20"/>
          <w:lang w:val="en-US" w:eastAsia="en-US" w:bidi="ar-SA"/>
        </w:rPr>
        <w:t>Kayser v. Park Royal Shopping Centre Ltd</w:t>
      </w:r>
      <w:r>
        <w:rPr>
          <w:rFonts w:ascii="arial" w:eastAsia="arial" w:hAnsi="arial" w:cs="arial"/>
          <w:color w:val="000000"/>
          <w:sz w:val="20"/>
          <w:lang w:val="en-US" w:eastAsia="en-US" w:bidi="ar-SA"/>
        </w:rPr>
        <w:t xml:space="preserve">. </w:t>
      </w:r>
      <w:hyperlink r:id="rId39" w:history="1">
        <w:r>
          <w:rPr>
            <w:rFonts w:ascii="arial" w:eastAsia="arial" w:hAnsi="arial" w:cs="arial"/>
            <w:i/>
            <w:color w:val="0077CC"/>
            <w:sz w:val="20"/>
            <w:u w:val="single"/>
            <w:shd w:val="clear" w:color="auto" w:fill="FFFFFF"/>
            <w:lang w:val="en-US" w:eastAsia="en-US" w:bidi="ar-SA"/>
          </w:rPr>
          <w:t>(1995), 16 B.C.L.R. (3d) 330</w:t>
        </w:r>
      </w:hyperlink>
      <w:r>
        <w:rPr>
          <w:rFonts w:ascii="arial" w:eastAsia="arial" w:hAnsi="arial" w:cs="arial"/>
          <w:color w:val="000000"/>
          <w:sz w:val="20"/>
          <w:lang w:val="en-US" w:eastAsia="en-US" w:bidi="ar-SA"/>
        </w:rPr>
        <w:t xml:space="preserve"> (C.A.)).</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occupier need not, in all cases, show that he or she had a specific policy in place to deal with the maintenance of the portion of the premises where the fall occurred. The nature of the premises will determine whether or not a maintenance scheme will be required: (</w:t>
      </w:r>
      <w:r>
        <w:rPr>
          <w:rFonts w:ascii="arial" w:eastAsia="arial" w:hAnsi="arial" w:cs="arial"/>
          <w:i/>
          <w:color w:val="000000"/>
          <w:sz w:val="20"/>
          <w:lang w:val="en-US" w:eastAsia="en-US" w:bidi="ar-SA"/>
        </w:rPr>
        <w:t>Leduc v. Goodwill Investments Ltd.</w:t>
      </w:r>
      <w:r>
        <w:rPr>
          <w:rFonts w:ascii="arial" w:eastAsia="arial" w:hAnsi="arial" w:cs="arial"/>
          <w:color w:val="000000"/>
          <w:sz w:val="20"/>
          <w:lang w:val="en-US" w:eastAsia="en-US" w:bidi="ar-SA"/>
        </w:rPr>
        <w:t xml:space="preserve">, </w:t>
      </w:r>
      <w:hyperlink r:id="rId40" w:history="1">
        <w:r>
          <w:rPr>
            <w:rFonts w:ascii="arial" w:eastAsia="arial" w:hAnsi="arial" w:cs="arial"/>
            <w:i/>
            <w:color w:val="0077CC"/>
            <w:sz w:val="20"/>
            <w:u w:val="single"/>
            <w:shd w:val="clear" w:color="auto" w:fill="FFFFFF"/>
            <w:lang w:val="en-US" w:eastAsia="en-US" w:bidi="ar-SA"/>
          </w:rPr>
          <w:t>[1997] B.C.J. No. 1709</w:t>
        </w:r>
      </w:hyperlink>
      <w:r>
        <w:rPr>
          <w:rFonts w:ascii="arial" w:eastAsia="arial" w:hAnsi="arial" w:cs="arial"/>
          <w:color w:val="000000"/>
          <w:sz w:val="20"/>
          <w:lang w:val="en-US" w:eastAsia="en-US" w:bidi="ar-SA"/>
        </w:rPr>
        <w:t xml:space="preserve"> (S.C.) para 20).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Discussion</w:t>
      </w:r>
      <w:r>
        <w:rPr>
          <w:rFonts w:ascii="arial" w:eastAsia="arial" w:hAnsi="arial" w:cs="arial"/>
          <w:sz w:val="20"/>
          <w:lang w:val="en-US" w:eastAsia="en-US" w:bidi="ar-SA"/>
        </w:rPr>
        <w:cr/>
      </w:r>
    </w:p>
    <w:p>
      <w:pPr>
        <w:spacing w:line="260" w:lineRule="atLeast"/>
        <w:ind w:left="1440"/>
        <w:rPr>
          <w:rFonts w:ascii="arial" w:eastAsia="arial" w:hAnsi="arial" w:cs="arial"/>
          <w:sz w:val="20"/>
          <w:lang w:val="en-US" w:eastAsia="en-US" w:bidi="ar-SA"/>
        </w:rPr>
      </w:pPr>
      <w:r>
        <w:rPr>
          <w:rFonts w:ascii="arial" w:eastAsia="arial" w:hAnsi="arial" w:cs="arial"/>
          <w:color w:val="000000"/>
          <w:sz w:val="20"/>
          <w:u w:val="single"/>
          <w:lang w:val="en-US" w:eastAsia="en-US" w:bidi="ar-SA"/>
        </w:rPr>
        <w:t>Has the plaintiff established a prima facie breach of the OLA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Ms. Robinson says there is direct evidence that a substance that was "slimy and thicker than a liquid" was on the floor of the restaurant and that this substance was the cause of her slip and fall. While she cannot say with precision what the substance was, that is, she cannot say whether it was a lettuce leaf, a slice of kiwi, or something else, she can say it was distinctly noticeable to her when she stepped on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The defendant argues it is insufficient for Ms. Robinson to say there was "something" on the floor that caused her to fall. According to the defendant, the plaintiff is asking this court to impermissibly speculate what it was that caused her to fall. In support of this position counsel for the defendant has brought to my attention a number of case authorities where a plaintiff's claim was dismissed because they could not identify the hazard that was said to have caused the accident. For example, in </w:t>
      </w:r>
      <w:r>
        <w:rPr>
          <w:rFonts w:ascii="arial" w:eastAsia="arial" w:hAnsi="arial" w:cs="arial"/>
          <w:i/>
          <w:color w:val="000000"/>
          <w:sz w:val="20"/>
          <w:lang w:val="en-US" w:eastAsia="en-US" w:bidi="ar-SA"/>
        </w:rPr>
        <w:t>Van Slee v. Canada Safeway Limited</w:t>
      </w:r>
      <w:r>
        <w:rPr>
          <w:rFonts w:ascii="arial" w:eastAsia="arial" w:hAnsi="arial" w:cs="arial"/>
          <w:color w:val="000000"/>
          <w:sz w:val="20"/>
          <w:lang w:val="en-US" w:eastAsia="en-US" w:bidi="ar-SA"/>
        </w:rPr>
        <w:t xml:space="preserve">, </w:t>
      </w:r>
      <w:hyperlink r:id="rId41" w:history="1">
        <w:r>
          <w:rPr>
            <w:rFonts w:ascii="arial" w:eastAsia="arial" w:hAnsi="arial" w:cs="arial"/>
            <w:i/>
            <w:color w:val="0077CC"/>
            <w:sz w:val="20"/>
            <w:u w:val="single"/>
            <w:shd w:val="clear" w:color="auto" w:fill="FFFFFF"/>
            <w:lang w:val="en-US" w:eastAsia="en-US" w:bidi="ar-SA"/>
          </w:rPr>
          <w:t>2008 BCSC 107</w:t>
        </w:r>
      </w:hyperlink>
      <w:r>
        <w:rPr>
          <w:rFonts w:ascii="arial" w:eastAsia="arial" w:hAnsi="arial" w:cs="arial"/>
          <w:color w:val="000000"/>
          <w:sz w:val="20"/>
          <w:lang w:val="en-US" w:eastAsia="en-US" w:bidi="ar-SA"/>
        </w:rPr>
        <w:t>, the plaintiff fell at the defendant's grocery store. It had been raining when the plaintiff entered the premises, and she assumed she had slipped on water that had accumulated on the store's floor. In dismissing the plaintiff's claim, Mr. Justice Cohen concluded: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[30] In the instant case, the plaintiff conceded that she did not check the floor for water where she fell. Her assertion that water accumulated on the floor of the premises near the customer service desk caused by dripping umbrellas is simply a theory advanced by her without any evidence to support such a conclusion.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[31] The law is clear in this area, the Court must not speculate. The plaintiff must prove: first, what condition or hazard caused her slip and fall; and, second, that the condition or hazard existed due to a breach of duty by the defendant. I find that as the plaintiff cannot prove the former, thus she cannot prove the latter.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In my opinion the present case is different from </w:t>
      </w:r>
      <w:r>
        <w:rPr>
          <w:rFonts w:ascii="arial" w:eastAsia="arial" w:hAnsi="arial" w:cs="arial"/>
          <w:i/>
          <w:color w:val="000000"/>
          <w:sz w:val="20"/>
          <w:lang w:val="en-US" w:eastAsia="en-US" w:bidi="ar-SA"/>
        </w:rPr>
        <w:t>Van Slee</w:t>
      </w:r>
      <w:r>
        <w:rPr>
          <w:rFonts w:ascii="arial" w:eastAsia="arial" w:hAnsi="arial" w:cs="arial"/>
          <w:color w:val="000000"/>
          <w:sz w:val="20"/>
          <w:lang w:val="en-US" w:eastAsia="en-US" w:bidi="ar-SA"/>
        </w:rPr>
        <w:t xml:space="preserve"> and the other cases where the court found the claimants were either simply advancing a theory or speculating about what had been on the floor that caused the accidents. In Ms. Robinson's case she can clearly identify that the substance or item was noticeably different than water and that it had the distinct consistency of a food item. In my opinion that is not speculation or theorizing on her part. It is credible and reliable evidence that there was a foreign item or substance on the floor of the restaurant that created a potential hazard for its customers. In my view, that is sufficient and Ms. Robinson need not have to prove the precise identity of the item or substance she slipped on. As Mr. Justice Hollinrake explained in </w:t>
      </w:r>
      <w:r>
        <w:rPr>
          <w:rFonts w:ascii="arial" w:eastAsia="arial" w:hAnsi="arial" w:cs="arial"/>
          <w:i/>
          <w:color w:val="000000"/>
          <w:sz w:val="20"/>
          <w:lang w:val="en-US" w:eastAsia="en-US" w:bidi="ar-SA"/>
        </w:rPr>
        <w:t>Sinow v. Maple Ridge Square Shopping Centre Ltd.</w:t>
      </w:r>
      <w:r>
        <w:rPr>
          <w:rFonts w:ascii="arial" w:eastAsia="arial" w:hAnsi="arial" w:cs="arial"/>
          <w:color w:val="000000"/>
          <w:sz w:val="20"/>
          <w:lang w:val="en-US" w:eastAsia="en-US" w:bidi="ar-SA"/>
        </w:rPr>
        <w:t xml:space="preserve">, </w:t>
      </w:r>
      <w:hyperlink r:id="rId42" w:history="1">
        <w:r>
          <w:rPr>
            <w:rFonts w:ascii="arial" w:eastAsia="arial" w:hAnsi="arial" w:cs="arial"/>
            <w:i/>
            <w:color w:val="0077CC"/>
            <w:sz w:val="20"/>
            <w:u w:val="single"/>
            <w:shd w:val="clear" w:color="auto" w:fill="FFFFFF"/>
            <w:lang w:val="en-US" w:eastAsia="en-US" w:bidi="ar-SA"/>
          </w:rPr>
          <w:t>[1990] B.C.J. No. 743</w:t>
        </w:r>
      </w:hyperlink>
      <w:r>
        <w:rPr>
          <w:rFonts w:ascii="arial" w:eastAsia="arial" w:hAnsi="arial" w:cs="arial"/>
          <w:color w:val="000000"/>
          <w:sz w:val="20"/>
          <w:lang w:val="en-US" w:eastAsia="en-US" w:bidi="ar-SA"/>
        </w:rPr>
        <w:t xml:space="preserve"> (C.A.):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 ... It is not a particular type of debris that the occupier must concern himself with, rather it is debris generally which creates a risk of a slip and fall such as happened here that he must concern himself with. The trial judge found as a fact, and this is not challenged by the appellant, that the respondent slipped and fell on a leaf or leaves; or to put it another way she slipped and fell as a result of a form of debris on the floor in the common area that created a risk of harm.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evidence before me points to the fact that the colour and texture of the Chopped Leaf's floor made it difficult to see items or substances that may have been dropped on it. Moreover from the vantage point of someone working behind the restaurant's food preparation counter, it would take the extra effort of leaning over the counter for someone to be able to examine the entirety of the floor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In my view, the evidence presented by the plaintiff is persuasive. Both Ms. Robinson and Ms. Horgan reliably describe in convincing detail what happened at the Chopped Leaf as they were leaving the restaurant on 30 November 2012. The same cannot be said of the defendant's evidence. Mr. Hamm does not say he remembers the actual incident when Ms. Robinson slipped and fell; nor does he say that he was even present and at work on the date of her accident. That latter point is surprising given that Chopped Leaf employee records or time sheets should have been available to confirm who was working at the restaurant on the day in question. It is equally surprising that there is no evidence from the other female employee who was working on the day in question. Given that the defence has presented no evidence of who was working on 30 November 2012, it is unknown if the other person on duty that evening was the shift manager. All that can be said with any degree of conviction is that there were two employees, one male and one female, working at the restaurant when Ms. Robinson fell and injured herself.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 find no employee of the Chopped Leaf made any satisfactory effort to determine the state of the restaurant's floor during the time Ms. Robinson and Ms. Horgan were present in the restaurant. In my opinion, they should have. Had they done so, they would have noticed the substance on the floor, likely a food item, that should not have been there and realized it created the risk of a slip and fall accident, like the one that happened to Ms. Robinson.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Keeping in mind the principles enunciated by Justice Preston in </w:t>
      </w:r>
      <w:r>
        <w:rPr>
          <w:rFonts w:ascii="arial" w:eastAsia="arial" w:hAnsi="arial" w:cs="arial"/>
          <w:i/>
          <w:color w:val="000000"/>
          <w:sz w:val="20"/>
          <w:lang w:val="en-US" w:eastAsia="en-US" w:bidi="ar-SA"/>
        </w:rPr>
        <w:t>Mainardi</w:t>
      </w:r>
      <w:r>
        <w:rPr>
          <w:rFonts w:ascii="arial" w:eastAsia="arial" w:hAnsi="arial" w:cs="arial"/>
          <w:color w:val="000000"/>
          <w:sz w:val="20"/>
          <w:lang w:val="en-US" w:eastAsia="en-US" w:bidi="ar-SA"/>
        </w:rPr>
        <w:t xml:space="preserve">, I am satisfied Ms. Robinson has established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case that the defendant breached the duty of care that it owed to her under the </w:t>
      </w:r>
      <w:r>
        <w:rPr>
          <w:rFonts w:ascii="arial" w:eastAsia="arial" w:hAnsi="arial" w:cs="arial"/>
          <w:i/>
          <w:color w:val="000000"/>
          <w:sz w:val="20"/>
          <w:lang w:val="en-US" w:eastAsia="en-US" w:bidi="ar-SA"/>
        </w:rPr>
        <w:t>OLA</w:t>
      </w:r>
      <w:r>
        <w:rPr>
          <w:rFonts w:ascii="arial" w:eastAsia="arial" w:hAnsi="arial" w:cs="arial"/>
          <w:color w:val="000000"/>
          <w:sz w:val="20"/>
          <w:lang w:val="en-US" w:eastAsia="en-US" w:bidi="ar-SA"/>
        </w:rPr>
        <w: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Did the defendant have a reasonable</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u w:val="single"/>
          <w:lang w:val="en-US" w:eastAsia="en-US" w:bidi="ar-SA"/>
        </w:rPr>
        <w:t xml:space="preserve"> cleaning regime in place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Where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breach of the </w:t>
      </w:r>
      <w:r>
        <w:rPr>
          <w:rFonts w:ascii="arial" w:eastAsia="arial" w:hAnsi="arial" w:cs="arial"/>
          <w:i/>
          <w:color w:val="000000"/>
          <w:sz w:val="20"/>
          <w:lang w:val="en-US" w:eastAsia="en-US" w:bidi="ar-SA"/>
        </w:rPr>
        <w:t>OLA</w:t>
      </w:r>
      <w:r>
        <w:rPr>
          <w:rFonts w:ascii="arial" w:eastAsia="arial" w:hAnsi="arial" w:cs="arial"/>
          <w:color w:val="000000"/>
          <w:sz w:val="20"/>
          <w:lang w:val="en-US" w:eastAsia="en-US" w:bidi="ar-SA"/>
        </w:rPr>
        <w:t xml:space="preserve"> is found, an occupier can legitimately defend itself against a claim for damages by convincing the court that it had in place a reasonable scheme to prevent mishaps and that the scheme was being properly followed at the time of the accident</w:t>
      </w:r>
      <w:r>
        <w:rPr>
          <w:rFonts w:ascii="arial" w:eastAsia="arial" w:hAnsi="arial" w:cs="arial"/>
          <w:i/>
          <w:color w:val="000000"/>
          <w:sz w:val="20"/>
          <w:lang w:val="en-US" w:eastAsia="en-US" w:bidi="ar-SA"/>
        </w:rPr>
        <w:t>: Atkins v. Jim Pattison Industries Ltd. et al.</w:t>
      </w:r>
      <w:r>
        <w:rPr>
          <w:rFonts w:ascii="arial" w:eastAsia="arial" w:hAnsi="arial" w:cs="arial"/>
          <w:color w:val="000000"/>
          <w:sz w:val="20"/>
          <w:lang w:val="en-US" w:eastAsia="en-US" w:bidi="ar-SA"/>
        </w:rPr>
        <w:t xml:space="preserve">, </w:t>
      </w:r>
      <w:hyperlink r:id="rId43" w:history="1">
        <w:r>
          <w:rPr>
            <w:rFonts w:ascii="arial" w:eastAsia="arial" w:hAnsi="arial" w:cs="arial"/>
            <w:i/>
            <w:color w:val="0077CC"/>
            <w:sz w:val="20"/>
            <w:u w:val="single"/>
            <w:shd w:val="clear" w:color="auto" w:fill="FFFFFF"/>
            <w:lang w:val="en-US" w:eastAsia="en-US" w:bidi="ar-SA"/>
          </w:rPr>
          <w:t>[1998] B.C.J. No. 3050</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defendant maintains that it met the applicable standard of care expected of it and did not create or permit the existence of an objectively unreasonable condition or hazard. According to the defendant, it had in place a reasonable system for the inspection and cleaning of the restaurant on the date Ms. Robinson fell.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evidence of the defendant's inspection and maintenance program is insubstantial and unpersuasive. This evidence originates from the defendant's owner, Mr. Blair Stevens, as well as Mr. Hamm.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Mr. Stevens attests in his affidavit that the Chopped Leaf had a "Systems Manual" that contained the restaurant's cleaning policies and procedures, as well as an "Employee Handbook", both of which employees like Mr. Hamm were trained to know and expected to follow. There were also daily checklists posted at the restaurant that identified the various chores employees were expected to regularly perform.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Under the heading "Cleaning and Sanitizing the Kitchen SOP" the Systems Manual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Policy: The kitchen will be cleaned and sanitized each day and as needed to help prevent cross-contamination.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Procedures: All employees involved in cleaning and sanitizing the cafeteria and kitchen must: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u w:val="single"/>
          <w:lang w:val="en-US" w:eastAsia="en-US" w:bidi="ar-SA"/>
        </w:rPr>
        <w:t>Tables and Serving Areas: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Clean up spills immediately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u w:val="single"/>
          <w:lang w:val="en-US" w:eastAsia="en-US" w:bidi="ar-SA"/>
        </w:rPr>
        <w:t>Floors</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Sweep kitchen floor daily</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Clean up spills immediately.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There is also the following direction in the Systems Manual under the heading "Controlling Pests SOP":</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Clean the facility regularly.</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Clean up food and beverage spills immediately.</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Remove dirty dishes and uneaten food from tables, cleaning them as quickly as possible.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In the Employee Handbook, under the heading "Store Maintenance," employees are told that "floors should be scrubbed regularly".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checklists that were posted at the restaurant suggest that "sweeping" was expected in the "service area" and "bathroom" and that at closing time the entire restaurant was to be swept and mopped.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Although most if not all of the company materials that were attached as exhibits to Mr. Stevens' affidavit were admittedly not the versions that were in force and available to employees at the time of Ms. Robinson's accident, Mr. Stevens asserts no changes had been made to those materials and that the versions in force in November 2012 were identical to those attached to his affidavit. Mr. Stevens also thought there was a "Weekly Cleaning List" in the Systems Manual, but after searching for it he could not locate 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Although the Chopped Leaf had no explicit policy requiring a regularly scheduled inspection of the customer area and in particular the area where customers placed their orders and ate their meals, according to Mr. Stevens' evidence: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[18] Employees of the restaurant were told to visually inspect the floors of the restaurant by walking around the entire counter and do a full-out walk in the restaurant.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In his affidavit, Mr. Hamm explained how the restaurant's cleaning routine was actually performed: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 In general, my job duties at the restaurant were: preparing ingredients for the salads, taking customers' orders, making the orders, operating the till, and cleaning the food preparation area and the dining area, including the floor.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 I was trained to sweep or clean the floor in the restaurant when they were dirty or had spills or garbage on them, and also, at the end of every shift. I received all of my training at the restaurant.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 During my shifts, I would clean the dining area from time to time with a broom. Typically, I would do this after busy periods such as lunch or dinner "rush", or during slow times when there were no customers or not many customers. I would clear the floor whenever I noticed it was dirty and needed cleaning. I would look at the floor periodically during my shifts to see what condition the floor was in. If there were spills on the floor during my shift, I would mop them up. At the end of my shifts, I would sweep and then mop the floor.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[21] ...</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My usual practice when the restaurant was not busy, and when it was close to closing time, was to sweep the floor in the dining area of the restaurant and I believe I would have done so sometime before the incident, but I cannot say exactly how long before.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When cross-examined on his affidavit, Mr. Hamm provided the following illuminating evidence about his training at the Chopped Leaf and the restaurant's cleaning regime: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Tell me what you remember of your training when you were first hired?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3"/>
        <w:gridCol w:w="826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809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At The Chopped Leaf?</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3"/>
        <w:gridCol w:w="826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809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 sorry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No worries. It was pretty -- as far as I can remember, it was quite minimal. It was just how to assemble food that was produced there; prep; basic, like, closing and opening duties; how to use the POS machine; and for the most part, just, like, simple stuff like that. Nothing much more -- yeah.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3"/>
        <w:gridCol w:w="826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809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Who trained you?</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3"/>
        <w:gridCol w:w="826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809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Taylor Ryan.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3"/>
        <w:gridCol w:w="826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809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Forgive me for saying this, but Taylor Ryan is female?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3"/>
        <w:gridCol w:w="826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809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3"/>
        <w:gridCol w:w="826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809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How old was she at the time, approximately?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At that time, she was 22, I think. Two years older than 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3"/>
        <w:gridCol w:w="826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809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You were trained by Taylor Ryan. Anyone else?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There was another girl there, Kayleigh, that would help train me as well. She was a senior staff member.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3"/>
        <w:gridCol w:w="826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809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How long did the training period last?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3"/>
        <w:gridCol w:w="826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809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About a week, two weeks, roughly.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Okay. And was the training all verbal, or were you given written materials?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It was mostly verbal, and then we had checklists as well -- you can see them in the affidavit -- that were posted throughout the restaurant.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Okay. Was there other written material that you were given besides those checklists?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3"/>
        <w:gridCol w:w="826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809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Not that I recall. This is about it.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Do you remember, was there a procedure where there was an actual laminated list or something like that or perhaps a new sheet every day that would be checked off?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For a while, we did, and then, for some time, we also just sort of ran through it as best we could. Once -- once you've, like, got into the job, you start to just do things a bit more, I think, but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Okay. So just going back to your training, Taylor did some; Kayleigh did some. Was this mostly hands-on training, or was there some, shall I say, classroom or course material?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3"/>
        <w:gridCol w:w="826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809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 it was just hands-on training at the restaurant.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Okay. And, to your recollection, these checklists were the checklists that were used in the restaurant?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3"/>
        <w:gridCol w:w="826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809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To my recollection, 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But over time, you got to know the job, and you wouldn't have always done them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3"/>
        <w:gridCol w:w="826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809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M-hm, 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3"/>
        <w:gridCol w:w="826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809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always checked it?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3"/>
        <w:gridCol w:w="826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809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Yeah.</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I appreciate when you saw the individual on her knees, you took it that it was some kind of fall.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3"/>
        <w:gridCol w:w="826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809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The reason you didn't record it, we've covered this, is because you didn't think she was injured.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3"/>
        <w:gridCol w:w="826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809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3"/>
        <w:gridCol w:w="826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809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Do you understand why she fell?</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3"/>
        <w:gridCol w:w="826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809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 not to my recollection.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3"/>
        <w:gridCol w:w="826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809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Do you remember asking her why she fell?</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3"/>
        <w:gridCol w:w="826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809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 not to my recollection.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I take it there was nothing in your training that indicated when somebody appeared to fall in the restaurant that you should go and investigate the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3"/>
        <w:gridCol w:w="826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809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So, in saying that you "would clean the dining area from time to time with a broom," and "I would clear the floor whenever I noticed it was dirty and needed cleaning," I take it there wasn't, in your training, a specified time; for example, you had to clean the floors at 2, 2:30, 3, 3:30?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3"/>
        <w:gridCol w:w="826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809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3"/>
        <w:gridCol w:w="826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809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It was as you saw fit.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3"/>
        <w:gridCol w:w="826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809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3"/>
        <w:gridCol w:w="826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809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And as your time allowed?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3"/>
        <w:gridCol w:w="826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809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Okay. My question there was about cleaning the floor. The same is true about inspecting the floor. There was no specific inspection schedule. It was just you. You made observations as you were able and you reacted as you were 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3"/>
        <w:gridCol w:w="826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809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On the evidence of Mr. Hamm, it would appear the training program for employees of the Chopped Leaf contained very little if any review of the restaurant's Systems Manual, Employee Handbook or any other policy manual. Instead, employees only obtained hands-on training during the course of their work and this training did not have any identifiable structure. In my opinion this was insufficient given the nature of the Chopped Leaf's business and I cannot conclude that the policies and procedures that the defendant asserts it had in place to ensure the restaurant's premises were reasonably clean and free from hazard creating debris were sufficient and appropriate for the premises.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Was the defendant's cleaning regime being implemented on the day of the </w:t>
      </w:r>
      <w:r>
        <w:rPr>
          <w:rFonts w:ascii="arial" w:eastAsia="arial" w:hAnsi="arial" w:cs="arial"/>
          <w:color w:val="000000"/>
          <w:sz w:val="20"/>
          <w:u w:val="single"/>
          <w:lang w:val="en-US" w:eastAsia="en-US" w:bidi="ar-SA"/>
        </w:rPr>
        <w:t>accident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Even if I am wrong and the defendant did have a suitable cleaning regime in place, it is clear to me from the evidence of Mr. Hamm that it was not being implemented properly or consistently. Mr. Stevens in his evidence places emphasis on the fact that he had trained his managers and in particular Ms. Ryan. According to Mr. Stevens' evidence: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[16] I trained Taylor to be the manager. Taylor trained employees at the restaurant. The training she provided to employees was in accordance with the documents contained in the systems manual. Taylor would have trained Mr. Hamm.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Ms. Ryan has provided no evidence on this application. Consequently at best all Mr. Stevens can say is that he believes Ms. Ryan trained the restaurant employees in accordance with the restaurant's various manuals. The lack of evidence from Ms. Ryan is a significant hurdle and difficulty for the defendant's case. All the defendant can point to with respect to the actual implementation of the Chopped Leaf's cleaning regime is what Mr. Hamm has said. In my opinion Mr. Hamm's evidence does not confirm or support Mr. Stevens' belief that a reasonable clearing system was in place at the restaurant and being regularly followed by its employees. On the contrary, I am satisfied that whatever policies or systems Mr. Stevens thought were in place were not being properly followed or implemented. In my view, Mr. Hamm received insufficient training and what little he did receive was not enforced to any noticeable degree. In particular he had no discernible training on the need to regularly inspect and clean the floors of the restaurant to ensure there was nothing that could pose a potential risk to customers.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defendant's position on this application is heavily dependent upon the evidence of Mr. Hamm and while there is no challenge to his credibility, his evidence suffers from a critical reliability problem: he cannot say that the incident Ms. Robinson has described is the same as the one he has described. The surrounding circumstances of the event Mr. Hamm has described, including that he observed a woman who had fallen and was on her knees and who was being helped up by her companion, clashes to such an extent with the evidence of Ms. Robinson and Ms. Horgan that I have doubts that the incidents are in fact the same.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In any event, I find there was a substance, likely an item of food, on the floor of the Chopped Leaf that should not have been there and that it created a hazard when Ms. Robinson went to leave the restaurant. She unwittingly stepped on the substance which resulted in her slipping and falling to the floor. The restaurant employees present at the time should have observed the substance and taken steps to clean the floor before Ms. Robinson and Ms. Horgan got up to leave the restaurant. They did not and the result was Ms. Robinson's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Although I am not convinced the restaurant had a reasonable system in place to avoid hazards of the nature that caused Ms. Robinson's fall, even if I was, I find the system was not being properly followed or implemented on the day in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For all the forgoing reasons the plaintiff's application is granted. I find the defendant is 100 percent liable for the accident that occurred to Ms. Robinson on 30 November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Counsel, I will hear you on the issue of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[Submissions re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COURT: Okay. The issue of costs will be left for the judge who hears the trial on damages or the parties themselves, if they reach an out of court settlement.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Gentlemen, I thank you for concise and very helpful submissions. You represented your clients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G.R.J. GAUL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34" style="position:absolute;z-index:25170022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4"/>
          <w:headerReference w:type="default" r:id="rId45"/>
          <w:footerReference w:type="even" r:id="rId46"/>
          <w:footerReference w:type="default" r:id="rId47"/>
          <w:headerReference w:type="first" r:id="rId48"/>
          <w:footerReference w:type="first" r:id="rId4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0" w:history="1">
        <w:r>
          <w:rPr>
            <w:rFonts w:ascii="arial" w:eastAsia="arial" w:hAnsi="arial" w:cs="arial"/>
            <w:b/>
            <w:bCs/>
            <w:i/>
            <w:color w:val="0077CC"/>
            <w:kern w:val="32"/>
            <w:sz w:val="28"/>
            <w:szCs w:val="32"/>
            <w:u w:val="single"/>
            <w:shd w:val="clear" w:color="auto" w:fill="FFFFFF"/>
            <w:lang w:val="en-US" w:eastAsia="en-US" w:bidi="ar-SA"/>
          </w:rPr>
          <w:t>R. v. Jakovljevic, [2006] B.C.J. No. 2688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Kamloops,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D.M. Smith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June 27 - 29 and August 25, 2006.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October 13, 2006.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Kamloops Registry No. 76989</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[2006] B.C.J. No. 2688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2006 BCSC 1510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38 M.V.R. (5th) 90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71 W.C.B. (2d) 950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2006 CarswellBC 2498</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Regina, and Radojko Jakovljevic</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(46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35" style="position:absolute;z-index:2516602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2" w:name="Keywords_1"/>
      <w:bookmarkEnd w:id="12"/>
      <w:r>
        <w:rPr>
          <w:rFonts w:ascii="arial" w:eastAsia="arial" w:hAnsi="arial" w:cs="arial"/>
          <w:b/>
          <w:color w:val="000000"/>
          <w:sz w:val="20"/>
          <w:lang w:val="en-US" w:eastAsia="en-US" w:bidi="ar-SA"/>
        </w:rPr>
        <w:t>Criminal law — Offences — Offences against person and reputation — Motor vehicle offences — Dangerous driving — Causing bodily harm — Accused acquitted on charge of dangerous driving causing bodily harm — Accused operated tractor-trailer that rolled over and spilled load — Accused drove down steep hill that had sharp curves at above speed limited — Only accused's driving at speed of 112 kph, as he rounded fourth curve on hill, in posted speed of 80 kph, was objectively dangerous — Court accepted accused's explanation for driving at 112 kph due to deflation of tire and accused's belief that braking would trigger immediate roll-over.</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3" w:name="Case Summary_0"/>
            <w:bookmarkEnd w:id="13"/>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Trial of accused on charge of dangerous driving causing bodily harm -- Accused operated tractor-trailer that rolled over -- Load of drilling pipe spilled and injured other drivers -- Police report indicated roll-over resulted from speed and steering manoeuvre -- Accused drove down steep hill that had sharp curves -- Accused drove at 96 to 100 kph in 80 kph zone as he approached final curve on hill -- He drove at 112 kph as he rounded final curve -- Left front wheel deflated -- Accused felt he could not brake safely and unit accelerated with left rear wheels lifting off ground, crossing over double solid line -- To compensate, accused steered towards right, thereby triggering roll-over onto tractor's left side -- No mechanical defect detected in either tractor or trailer that might have caused or contributed to roll-over -- HELD: Accused not guilty -- Accused's speed of 96 to 100 kph as he approached posted 80 kmph speed was not objectively dangerous or a marked departure from standard of care of a reasonably prudent truck driver -- Although accused drove over posted speed limit, driver behind him, an experienced truck driver, noticed nothing unusual in accused's driving -- Only accused's driving at speed of 112 kph, as he rounded fourth curve on hill, in posted speed of 80 kph, was objectively dangerous -- Court accepted accused's explanation for driving at 112 kph due to deflation of tire and accused's belief that braking would trigger immediate roll-over.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4" w:name="Legislation Cited_1"/>
      <w:bookmarkEnd w:id="14"/>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36" style="position:absolute;z-index:2516705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Criminal Code, s. 249(1), s. 249(1)(a), s. 249(3)</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5" w:name="Counsel_1"/>
      <w:bookmarkEnd w:id="15"/>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37" style="position:absolute;z-index:2516807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Crown: N. Flanagan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Accused: R. Bruneau</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6" w:name="Judgment_1"/>
      <w:bookmarkEnd w:id="16"/>
      <w:r>
        <w:pict>
          <v:line id="_x0000_s1038" style="position:absolute;z-index:251691008"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25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7" w:name="D.M. SMITH J."/>
            <w:bookmarkEnd w:id="17"/>
            <w:r>
              <w:rPr>
                <w:rFonts w:ascii="arial" w:eastAsia="arial" w:hAnsi="arial" w:cs="arial"/>
                <w:b/>
                <w:color w:val="000000"/>
                <w:sz w:val="30"/>
                <w:lang w:val="en-US" w:eastAsia="en-US" w:bidi="ar-SA"/>
              </w:rPr>
              <w:t>D.M. SMITH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Radojko Jakovljevic, age 52, is charged with one count of dangerous driving causing bodily harm, contrary to s. 249(3) of the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charge arises from a collision in which the tractor-trailer unit he was operating rolled over spilling its load of drilling pipe and injuring the drivers of two vehicles that were travelling toward his vehicle from the opposite direction.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Cpl. Poitras, an RCMP collision re-constructionist, determined that the roll-over was caused by a combination of speed and steering manoeuvre. In his opinion both factors contributed equally to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central issue in the trial was whether Mr. Jakovljevic's driving constituted a marked departure from the standard of care of a reasonably prudent truck driver, in all the surrounding circumstances that Mr. Jakovljevic believed he was facing.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Background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On February 8, 2005, at about 4:25 p.m., Mr. Jakovljevic was driving a tractor-trailer unit eastbound on Highway #1, west of Savona, B.C., down an 8% grade, known locally as the Deadman River Hill (the "Hill"). The trailer was loaded with 59,300 pounds of drilling pipe. The day was clear and the roads were bare and dry. There was little traffic on the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Travelling eastbound, the Hill descends around four curves: the first is a sharp counter-clockwise curve; the second, a hairpin-clockwise curve that is intersected by Deadman Creek Road on the north side of Highway #1; the third, a gentle counter-clockwise curve that is followed by a 700 to 800 yard straight stretch; the fourth, and last, a clockwise curve. At the bottom of the Hill, the highway straightens and crosses the bridge over the Deadman River.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In advance of the first curve, the posted speed limit of 100 kph changes to 90 kph. A short distance before the final curve there is a posted speed advisory of 80 kph.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Mr. Jakovljevic descended the Hill at a speed greater than the posted speed limit but braked moderately during his descent. Before reaching the posted 80 kph speed advisory, he said he felt the left front tractor wheel deflate and decided he could not brake without precipitating an immediate roll-over. His unit continued to accelerate and as he rounded the final clockwise curve the trailer's left rear wheels lifted off the ground, crossing several inches over the double solid line. To compensate for this he steered the tractor to the right. This manoeuvre triggered the trailer's roll-over onto its left side. That, in turn, caused the tractor to roll over onto its left side, slide across the two westbound lanes, and hit a cement no-post on the east side of the westbound lane. The no-post redirected the tractor back into the eastbound lane where it came to rest on the east side of the bridge.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roll-over caused the trailer's load to spill across the two westbound lanes. The driver of a westbound vehicle had just pulled over into the slower lane. As he started up the Hill toward the counter-clockwise curve that he was facing, his vehicle was hit by a pipe that jettisoned from Mr. Jakovljevic's trailer. The pipe slammed into his vehicle causing it to go over the bank and catch on fire. He sustained significant head injuries from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driver of a second vehicle that was following this first westbound vehicle tried to avoid a collision but his vehicle also was slammed with pipe from Mr. Jakovljevic's trailer. He sustained injuries to his shoulder and will require surgery to repair his rotator cuff.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Lorne Taylor, an experienced truck driver, followed Mr. Jakovljevic's unit from Cache Creek to where the collision occurred. During that period he did not observe anything unusual in Mr. Jakovljevic's driving or in his unit's load. He did note, however, that Mr. Jakovljevic's unit accelerated before going into the final curve on the Hill whereas most truck drivers typically accelerated going out of a curve.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Mr. Taylor said that he usually drives along that stretch of road at about 10 kph over the speed limit and sets his cruise control at 109 or 110 kph. He said that on that date, he was travelling at a speed of about 110 kph and caught up to Mr. Jakovljevic's unit before reaching the Hill. At the top of the Hill, he braked down to 90 kph, releasing his cruise control, and started down the Hill at about 95 kph. Although he knew the speed limit for the Hill was 90 kph he said that he planned to descend it at 100 kph. He estimated the speed of Mr. Jakovljevic's unit at that point in the road as between 100 and 105 kph.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Mr. Taylor negotiated the Hill's first curve at 90 kph. He said that Mr. Jakovljevic also slowed his unit considerably as he entered the first curve, which permitted Mr. Taylor to close the distance between their units. After negotiating the second curve, Mr. Taylor said he reset his cruise control to 100 kph and closed the distance further between his and Mr. Jakovljevic's unit to about 300 yards.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According to Mr. Taylor, it was not unusual for truckers to travel at 110 kph as they were going around the third curve into the straight stretch. However, he noted that Mr. Jakovljevic's unit started to pull away from his unit as it entered the third curve and accelerated along the straight stretch into the final curve. He estimated that Mr. Jakovljevic's unit was travelling at over 110 kph when it entered the final curve. He then lost sight of the unit until he came upon it following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Wayne Lebedeu, a 27-year truck driver who was very familiar with the Hill, was also travelling eastbound on February 8, 2005. He stated that his practice is to drive at a speed based upon the load he is carrying and that he usually goes down the Hill at 70-75 kph, depending on the weight of the load, using his gears to control his speed.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Mr. Jakovljevic's vehicle was equipped with a speed governor and an engine control module ("ECM").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A speed governor is a device that restricts a vehicle from travelling at a speed greater than the programmed maximum along a straight stretch. It is not triggered when the vehicle is going down a hill. The speed governor in Mr. Jakovljevic's tractor was programmed for a maximum of 105 kph.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An ECM is a computer that records both a "Hard Brake" manoeuvre and a "Last Stop" record (the collision). The Hard Brake manoeuvre involves pressure on the vehicle's foot brake immediately before the vehicle's oedometer stops. The Last Stop record records the engine data between 1:44 seconds before and 15 seconds after the vehicle's engine is turned off and the wheels have stopped.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Both of these records were used by Cpl. Poitras to determine the speed of Mr. Jakovljevic's unit before and at the time of its roll-over. He described the roll-over as when the trailer's wheels first lifted off the road. He said the theoretical start of the roll-over occurred when the trailer was returning into the eastbound lane.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Cpl. Poitras determined that 36 seconds before the Hard Brake record, Mr. Jakovljevic's tractor was travelling at 96 kph in the posted 90 kph speed zone. From then until approximately four seconds before the Hard Brake record the vehicle's speed gradually and consistently increased to 112 kph. At one second before the Hard Brake record the vehicle's speed decreased to 99 kph. In the last second before the Hard Brake record the vehicle decelerated to 80 kph. In his opinion, it was during this 19 kph change in speed that the roll-over likely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deceleration recorded by the Hard Brake record was comparable to the deceleration recorded by the Last Stop record. The Last Stop record indicated that Mr. Jakovljevic was decelerating the tractor through a moderate brake application. At 1:02 minutes before the Last Stop record the tractor was travelling at a speed of 112 kph. Between .59 and .54 before the Last Stop record there was a significant deceleration of about 38 kph with only one Hard Brake application at .58. This rate of deceleration was consistent with the roll-over having occurred within that three to four second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Cpl. Poitras further determined from an analysis of the weight shift marks of the trailer's tires that the trailer roll-over occurred when the tractor was travelling within a speed range of 89 to 97 kph.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Cpl. Poitras found no evidence that the load of drilling pipe had shifted before the roll-over. Nor did he find any physical evidence that any of the tractor's tires blew out before or during the incident. He noted that the left front tractor tire was flat after the roll-over but found no evidence that it had flattened before the roll-over. Nor did he find any physical evidence that the tire was under-inflated before the roll-over, although he acknowledged that an under-inflated tire would not have left any distinctive mark on the road unless it was totally flat.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An inspection of the unit after the collision found no mechanical defect in either the tractor or the trailer that might have caused or contributed to the roll-over. The inspection was not able to determine whether the tractor's left front tire had been under-inflated just prior to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Cpl. Poitras concluded that the roll-over was caused by a combination of speed and a steering manoeuvre that occurred when Mr. Jakovljevic attempted to return the trailer back into the eastbound lane, although he acknowledged there was no physical evidence of such a steering manoeuvre. Absent the steering manoeuvre, in his opinion the speed of Mr. Jakovljevic's unit alone would not have caused the collision because, in theory at least, the tractor was not travelling at a speed greater than the radius of the curve (the "critical curve speed"). He said that only a very minor steering manoeuvre would have been required to return the trailer back into the eastbound lane, although, an under-inflated tire might have required a greater manoeuvre in order to produce the same response. He also noted that the higher a load the more unstable it becomes and the less speed is needed to cause a roll-over.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Cpl. Poitras was also of the view that had Mr. Jakovljevic been travelling at a slower speed, he would have safely negotiated the curve unless he over corrected at a degree greater than he had done, in which case that steering manoeuvre could also have triggered a roll-over. In short, in his opinion a combination of speed and steering manoeuvre can precipitate a roll-over, depending on the size of the load.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Mr. Jakovljevic testified on his own behalf and provided an explanation for why he was travelling at a speed of 112 kph as he negotiated the fourth curve on the Hill. Although he believed that he was travelling around the speed limit as he approached the fourth curve it was clear from Cpl. Poitras' evidence that he was travelling between 96 and 100 kph before he passed the 80 kph posted speed advisory.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Mr. Jakovljevic said that before reaching the 80 kph speed advisory he felt the left front tractor tire go soft. He was uncertain when he first noticed the tire's decrease in pressure. In direct examination, he estimated that distance as very close to the posted speed advisory. On cross-examination, he estimated it at between 100 and 300 meters from the posted sign. Whatever the point in the road that he experienced the tire problem, it was then that he determined he could not apply a hard brake without triggering an immediate roll-over. Faced with that potential situation, he decided he would attempt to negotiate the final curve without braking. That decision caused the speed of his tractor to accelerate to 112 kph as he descended the Hill around the fourth curve. Mr. Jakovljevic over corrected his steering in an attempt to return the tractor to the eastbound lane, which precipitated the roll-over.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Mr. Jakovljevic said that he did what he thought best in order to prevent the trailer from going into the opposite lane.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On cross-examination, Mr. Jakovljevic admitted that when hauling a load of pipe weighing 59,300 pounds, it would have been prudent to heed the posted 80 kph speed advisory. He also admitted that descending the Hill at the speed he was travelling made it impossible for him to heed the posted advisory.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Legal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The seminal decision of </w:t>
      </w:r>
      <w:r>
        <w:rPr>
          <w:rFonts w:ascii="arial" w:eastAsia="arial" w:hAnsi="arial" w:cs="arial"/>
          <w:b/>
          <w:i/>
          <w:color w:val="000000"/>
          <w:sz w:val="20"/>
          <w:lang w:val="en-US" w:eastAsia="en-US" w:bidi="ar-SA"/>
        </w:rPr>
        <w:t>R. v. Hundal</w:t>
      </w:r>
      <w:r>
        <w:rPr>
          <w:rFonts w:ascii="arial" w:eastAsia="arial" w:hAnsi="arial" w:cs="arial"/>
          <w:color w:val="000000"/>
          <w:sz w:val="20"/>
          <w:lang w:val="en-US" w:eastAsia="en-US" w:bidi="ar-SA"/>
        </w:rPr>
        <w:t xml:space="preserve">, </w:t>
      </w:r>
      <w:hyperlink r:id="rId51" w:history="1">
        <w:r>
          <w:rPr>
            <w:rFonts w:ascii="arial" w:eastAsia="arial" w:hAnsi="arial" w:cs="arial"/>
            <w:i/>
            <w:color w:val="0077CC"/>
            <w:sz w:val="20"/>
            <w:u w:val="single"/>
            <w:shd w:val="clear" w:color="auto" w:fill="FFFFFF"/>
            <w:lang w:val="en-US" w:eastAsia="en-US" w:bidi="ar-SA"/>
          </w:rPr>
          <w:t>[1993] 1 S.C.R. 867</w:t>
        </w:r>
      </w:hyperlink>
      <w:r>
        <w:rPr>
          <w:rFonts w:ascii="arial" w:eastAsia="arial" w:hAnsi="arial" w:cs="arial"/>
          <w:color w:val="000000"/>
          <w:sz w:val="20"/>
          <w:lang w:val="en-US" w:eastAsia="en-US" w:bidi="ar-SA"/>
        </w:rPr>
        <w:t xml:space="preserve">, provides the framework for determining if driving amounts to dangerous driving as defined by s. 249(1) of the </w:t>
      </w:r>
      <w:r>
        <w:rPr>
          <w:rFonts w:ascii="arial" w:eastAsia="arial" w:hAnsi="arial" w:cs="arial"/>
          <w:b/>
          <w:i/>
          <w:color w:val="000000"/>
          <w:sz w:val="20"/>
          <w:lang w:val="en-US" w:eastAsia="en-US" w:bidi="ar-SA"/>
        </w:rPr>
        <w:t>Criminal Code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Section 249(1) provides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249(1)</w:t>
      </w:r>
      <w:r>
        <w:rPr>
          <w:rFonts w:ascii="arial" w:eastAsia="arial" w:hAnsi="arial" w:cs="arial"/>
          <w:color w:val="000000"/>
          <w:sz w:val="20"/>
          <w:lang w:val="en-US" w:eastAsia="en-US" w:bidi="ar-SA"/>
        </w:rPr>
        <w:t xml:space="preserve"> Every one commits an offence who operates</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motor vehicle in a manner that is dangerous to the public, having regard to all the circumstances, including the nature, condition and use of the place at which the motor vehicle is being operated and the amount of traffic that at the time is or might reasonably be expected to be at that 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R. v. Beatty</w:t>
      </w:r>
      <w:r>
        <w:rPr>
          <w:rFonts w:ascii="arial" w:eastAsia="arial" w:hAnsi="arial" w:cs="arial"/>
          <w:color w:val="000000"/>
          <w:sz w:val="20"/>
          <w:lang w:val="en-US" w:eastAsia="en-US" w:bidi="ar-SA"/>
        </w:rPr>
        <w:t xml:space="preserve"> </w:t>
      </w:r>
      <w:hyperlink r:id="rId52" w:history="1">
        <w:r>
          <w:rPr>
            <w:rFonts w:ascii="arial" w:eastAsia="arial" w:hAnsi="arial" w:cs="arial"/>
            <w:i/>
            <w:color w:val="0077CC"/>
            <w:sz w:val="20"/>
            <w:u w:val="single"/>
            <w:shd w:val="clear" w:color="auto" w:fill="FFFFFF"/>
            <w:lang w:val="en-US" w:eastAsia="en-US" w:bidi="ar-SA"/>
          </w:rPr>
          <w:t>(2006), 31 M.V.R. (5th) 188</w:t>
        </w:r>
      </w:hyperlink>
      <w:r>
        <w:rPr>
          <w:rFonts w:ascii="arial" w:eastAsia="arial" w:hAnsi="arial" w:cs="arial"/>
          <w:color w:val="000000"/>
          <w:sz w:val="20"/>
          <w:lang w:val="en-US" w:eastAsia="en-US" w:bidi="ar-SA"/>
        </w:rPr>
        <w:t xml:space="preserve">, </w:t>
      </w:r>
      <w:hyperlink r:id="rId52" w:history="1">
        <w:r>
          <w:rPr>
            <w:rFonts w:ascii="arial" w:eastAsia="arial" w:hAnsi="arial" w:cs="arial"/>
            <w:i/>
            <w:color w:val="0077CC"/>
            <w:sz w:val="20"/>
            <w:u w:val="single"/>
            <w:shd w:val="clear" w:color="auto" w:fill="FFFFFF"/>
            <w:lang w:val="en-US" w:eastAsia="en-US" w:bidi="ar-SA"/>
          </w:rPr>
          <w:t>2006 BCCA 229</w:t>
        </w:r>
      </w:hyperlink>
      <w:r>
        <w:rPr>
          <w:rFonts w:ascii="arial" w:eastAsia="arial" w:hAnsi="arial" w:cs="arial"/>
          <w:color w:val="000000"/>
          <w:sz w:val="20"/>
          <w:lang w:val="en-US" w:eastAsia="en-US" w:bidi="ar-SA"/>
        </w:rPr>
        <w:t xml:space="preserve"> at [paragraph] 15, Finch C.J. referred to the following extracts from </w:t>
      </w:r>
      <w:r>
        <w:rPr>
          <w:rFonts w:ascii="arial" w:eastAsia="arial" w:hAnsi="arial" w:cs="arial"/>
          <w:b/>
          <w:i/>
          <w:color w:val="000000"/>
          <w:sz w:val="20"/>
          <w:lang w:val="en-US" w:eastAsia="en-US" w:bidi="ar-SA"/>
        </w:rPr>
        <w:t>Hundal</w:t>
      </w:r>
      <w:r>
        <w:rPr>
          <w:rFonts w:ascii="arial" w:eastAsia="arial" w:hAnsi="arial" w:cs="arial"/>
          <w:color w:val="000000"/>
          <w:sz w:val="20"/>
          <w:lang w:val="en-US" w:eastAsia="en-US" w:bidi="ar-SA"/>
        </w:rPr>
        <w:t xml:space="preserve"> as summarizing the type of conduct that constitutes dangerous driving: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[paragraph] 35 Thus, it is clear that the basis of liability for dangerous driving 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question to be asked is not what the accused subjectively intended but rather whether, viewed objectively, the accused exercised the appropriate standard of care. It is not overly difficult to determine when a driver has fallen markedly below the acceptable standard of care. There can be no doubt that the concept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well understood and readily recognized by most Canadians. Negligent driving can be thought of as a continuum that progresses, or regresses, from momentary lack of attention giving rise to civil responsibility through careless driving under a provincial Highway Traffic Act to dangerous driving under the Criminal Code.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[paragraph] 38 Although an objective test must be applied to the offence of dangerous driving it will remain open to the accused to raise a reasonable doubt that a reasonable person would have been aware of the risks in the accused's conduct. The test must be applied with some measure of flexibility. That is to say the objective test should not be applied in a vacuum but rather in the contest of the events surrounding the incident.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[paragraph] 43 It follows then that a trier of fact may convict if satisfied beyond a reasonable doubt that, viewed objectively, the accused was, in the words of the section, driving in a manner that was "dangerous to the public, having regard to all of the circumstances, including the nature, condition and use of such place and the amount of traffic that at the time is or might reasonably be expected to be in such place." In making the assessment, the trier of fact should be satisfied that the conduct amounted to a marked departure from the standard of care that a reasonable person would observe in the accused's situation.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[paragraph] 44 Next, if an explanation is offered by the accused, such as a sudden and unexpected onset of illness, then in order to convict, the trier of fact must be satisfied that a reasonable person in similar circumstances ought to have been aware of the risk and of the danger involved in the conduct manifested by the accused.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Thus, the </w:t>
      </w:r>
      <w:r>
        <w:rPr>
          <w:rFonts w:ascii="arial" w:eastAsia="arial" w:hAnsi="arial" w:cs="arial"/>
          <w:b/>
          <w:i/>
          <w:color w:val="000000"/>
          <w:sz w:val="20"/>
          <w:lang w:val="en-US" w:eastAsia="en-US" w:bidi="ar-SA"/>
        </w:rPr>
        <w:t>Criminal Code</w:t>
      </w:r>
      <w:r>
        <w:rPr>
          <w:rFonts w:ascii="arial" w:eastAsia="arial" w:hAnsi="arial" w:cs="arial"/>
          <w:color w:val="000000"/>
          <w:sz w:val="20"/>
          <w:lang w:val="en-US" w:eastAsia="en-US" w:bidi="ar-SA"/>
        </w:rPr>
        <w:t xml:space="preserve"> defines the </w:t>
      </w:r>
      <w:r>
        <w:rPr>
          <w:rFonts w:ascii="arial" w:eastAsia="arial" w:hAnsi="arial" w:cs="arial"/>
          <w:i/>
          <w:color w:val="000000"/>
          <w:sz w:val="20"/>
          <w:lang w:val="en-US" w:eastAsia="en-US" w:bidi="ar-SA"/>
        </w:rPr>
        <w:t>actus reus</w:t>
      </w:r>
      <w:r>
        <w:rPr>
          <w:rFonts w:ascii="arial" w:eastAsia="arial" w:hAnsi="arial" w:cs="arial"/>
          <w:color w:val="000000"/>
          <w:sz w:val="20"/>
          <w:lang w:val="en-US" w:eastAsia="en-US" w:bidi="ar-SA"/>
        </w:rPr>
        <w:t xml:space="preserve"> of dangerous driving as driving a motor vehicle "in a manner that is dangerous to the public, having regard to all the circumstances, including the nature, condition and use of the place at which the motor vehicle is being operated and the amount of traffic that at the time is or might reasonably be expected to be at that place." </w:t>
      </w:r>
      <w:r>
        <w:rPr>
          <w:rFonts w:ascii="arial" w:eastAsia="arial" w:hAnsi="arial" w:cs="arial"/>
          <w:b/>
          <w:i/>
          <w:color w:val="000000"/>
          <w:sz w:val="20"/>
          <w:lang w:val="en-US" w:eastAsia="en-US" w:bidi="ar-SA"/>
        </w:rPr>
        <w:t>Hundal</w:t>
      </w:r>
      <w:r>
        <w:rPr>
          <w:rFonts w:ascii="arial" w:eastAsia="arial" w:hAnsi="arial" w:cs="arial"/>
          <w:color w:val="000000"/>
          <w:sz w:val="20"/>
          <w:lang w:val="en-US" w:eastAsia="en-US" w:bidi="ar-SA"/>
        </w:rPr>
        <w:t xml:space="preserve"> describes the </w:t>
      </w:r>
      <w:r>
        <w:rPr>
          <w:rFonts w:ascii="arial" w:eastAsia="arial" w:hAnsi="arial" w:cs="arial"/>
          <w:i/>
          <w:color w:val="000000"/>
          <w:sz w:val="20"/>
          <w:lang w:val="en-US" w:eastAsia="en-US" w:bidi="ar-SA"/>
        </w:rPr>
        <w:t>mens rea</w:t>
      </w:r>
      <w:r>
        <w:rPr>
          <w:rFonts w:ascii="arial" w:eastAsia="arial" w:hAnsi="arial" w:cs="arial"/>
          <w:color w:val="000000"/>
          <w:sz w:val="20"/>
          <w:lang w:val="en-US" w:eastAsia="en-US" w:bidi="ar-SA"/>
        </w:rPr>
        <w:t xml:space="preserve"> requirement for dangerous driving as "... a marked departure from the standard of care that a reasonable person would observe in the accused's situation."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Beatty</w:t>
      </w:r>
      <w:r>
        <w:rPr>
          <w:rFonts w:ascii="arial" w:eastAsia="arial" w:hAnsi="arial" w:cs="arial"/>
          <w:color w:val="000000"/>
          <w:sz w:val="20"/>
          <w:lang w:val="en-US" w:eastAsia="en-US" w:bidi="ar-SA"/>
        </w:rPr>
        <w:t xml:space="preserve">, Finch C.J. at [paragraph] 26-27 summarized the application of this test. He stated the first part of the </w:t>
      </w:r>
      <w:r>
        <w:rPr>
          <w:rFonts w:ascii="arial" w:eastAsia="arial" w:hAnsi="arial" w:cs="arial"/>
          <w:b/>
          <w:i/>
          <w:color w:val="000000"/>
          <w:sz w:val="20"/>
          <w:lang w:val="en-US" w:eastAsia="en-US" w:bidi="ar-SA"/>
        </w:rPr>
        <w:t>Hundal</w:t>
      </w:r>
      <w:r>
        <w:rPr>
          <w:rFonts w:ascii="arial" w:eastAsia="arial" w:hAnsi="arial" w:cs="arial"/>
          <w:color w:val="000000"/>
          <w:sz w:val="20"/>
          <w:lang w:val="en-US" w:eastAsia="en-US" w:bidi="ar-SA"/>
        </w:rPr>
        <w:t xml:space="preserve"> test requires a determination of whether the accused's driving was objectively dangerous. If the answer to that question is in the affirmative, such driving "is clearly a marked departure' from the standard of care a reasonable person would observe in the accused's situation." The second part of the </w:t>
      </w:r>
      <w:r>
        <w:rPr>
          <w:rFonts w:ascii="arial" w:eastAsia="arial" w:hAnsi="arial" w:cs="arial"/>
          <w:b/>
          <w:i/>
          <w:color w:val="000000"/>
          <w:sz w:val="20"/>
          <w:lang w:val="en-US" w:eastAsia="en-US" w:bidi="ar-SA"/>
        </w:rPr>
        <w:t>Hundal</w:t>
      </w:r>
      <w:r>
        <w:rPr>
          <w:rFonts w:ascii="arial" w:eastAsia="arial" w:hAnsi="arial" w:cs="arial"/>
          <w:color w:val="000000"/>
          <w:sz w:val="20"/>
          <w:lang w:val="en-US" w:eastAsia="en-US" w:bidi="ar-SA"/>
        </w:rPr>
        <w:t xml:space="preserve"> test sets out how an accused may raise a reasonable doubt with regard to the </w:t>
      </w:r>
      <w:r>
        <w:rPr>
          <w:rFonts w:ascii="arial" w:eastAsia="arial" w:hAnsi="arial" w:cs="arial"/>
          <w:i/>
          <w:color w:val="000000"/>
          <w:sz w:val="20"/>
          <w:lang w:val="en-US" w:eastAsia="en-US" w:bidi="ar-SA"/>
        </w:rPr>
        <w:t>mens rea</w:t>
      </w:r>
      <w:r>
        <w:rPr>
          <w:rFonts w:ascii="arial" w:eastAsia="arial" w:hAnsi="arial" w:cs="arial"/>
          <w:color w:val="000000"/>
          <w:sz w:val="20"/>
          <w:lang w:val="en-US" w:eastAsia="en-US" w:bidi="ar-SA"/>
        </w:rPr>
        <w:t xml:space="preserve"> requirement. If the accused provides an explanation for the objectively dangerous driving that would "raise a reasonable doubt that a reasonable person would have been aware of the risks in the accused's conduct", then the Crown has not established the </w:t>
      </w:r>
      <w:r>
        <w:rPr>
          <w:rFonts w:ascii="arial" w:eastAsia="arial" w:hAnsi="arial" w:cs="arial"/>
          <w:i/>
          <w:color w:val="000000"/>
          <w:sz w:val="20"/>
          <w:lang w:val="en-US" w:eastAsia="en-US" w:bidi="ar-SA"/>
        </w:rPr>
        <w:t>mens rea</w:t>
      </w:r>
      <w:r>
        <w:rPr>
          <w:rFonts w:ascii="arial" w:eastAsia="arial" w:hAnsi="arial" w:cs="arial"/>
          <w:color w:val="000000"/>
          <w:sz w:val="20"/>
          <w:lang w:val="en-US" w:eastAsia="en-US" w:bidi="ar-SA"/>
        </w:rPr>
        <w:t xml:space="preserve"> requirement for dangerous driving.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Application of principles to the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Following the approach set out in </w:t>
      </w:r>
      <w:r>
        <w:rPr>
          <w:rFonts w:ascii="arial" w:eastAsia="arial" w:hAnsi="arial" w:cs="arial"/>
          <w:b/>
          <w:i/>
          <w:color w:val="000000"/>
          <w:sz w:val="20"/>
          <w:lang w:val="en-US" w:eastAsia="en-US" w:bidi="ar-SA"/>
        </w:rPr>
        <w:t>Beatty</w:t>
      </w:r>
      <w:r>
        <w:rPr>
          <w:rFonts w:ascii="arial" w:eastAsia="arial" w:hAnsi="arial" w:cs="arial"/>
          <w:color w:val="000000"/>
          <w:sz w:val="20"/>
          <w:lang w:val="en-US" w:eastAsia="en-US" w:bidi="ar-SA"/>
        </w:rPr>
        <w:t xml:space="preserve">, the first part of the </w:t>
      </w:r>
      <w:r>
        <w:rPr>
          <w:rFonts w:ascii="arial" w:eastAsia="arial" w:hAnsi="arial" w:cs="arial"/>
          <w:b/>
          <w:i/>
          <w:color w:val="000000"/>
          <w:sz w:val="20"/>
          <w:lang w:val="en-US" w:eastAsia="en-US" w:bidi="ar-SA"/>
        </w:rPr>
        <w:t>Hundal</w:t>
      </w:r>
      <w:r>
        <w:rPr>
          <w:rFonts w:ascii="arial" w:eastAsia="arial" w:hAnsi="arial" w:cs="arial"/>
          <w:color w:val="000000"/>
          <w:sz w:val="20"/>
          <w:lang w:val="en-US" w:eastAsia="en-US" w:bidi="ar-SA"/>
        </w:rPr>
        <w:t xml:space="preserve"> test requires the court to determine whether Mr. Jakovljevic's driving was objectively dangerous.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Crown submits that Mr. Jakovljevic was driving at a "criminally dangerous speed" as he entered the fourth curve on the Hill at 112 kph, and that regardless of whether or not his left front tractor trailer deflated, the collision would have occurred. The Crown further relies on Mr. Jakovljevic's admission on cross-examination that he was travelling down the Hill at a speed that made it difficult, if not impossible, for him to heed the posted speed advisory of 80 kph. The Crown submits Mr. Jakovljevic's driving was a marked departure from the standard of care of a reasonably prudent truck driver.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However, this submission fails to distinguish between Mr. Jakovljevic's driving at 96 to 100 kph as he approached the final curve on the Hill, and his driving at 112 kph as he rounded the final curve.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Mr. Jakovljevic's speed of 96 to 100 kph as he approached the posted 80 kph speed advisory cannot, in my view, be described as "objectively dangerous" or a "marked departure" from the standard of care of a reasonably prudent truck driver. Although he was driving over the posted speed limit, Mr. Taylor did not observe anything unusual in Mr. Jakovljevic's driving between Cache Creek to where the collision occurred. Moreover, Mr. Taylor was able to close the distance between his and Mr. Jakovljevic's unit by the point in the road where Mr. Taylor had completed the second curve on the Hill. From that evidence it can be inferred that Mr. Taylor was travelling faster than Mr Jakovljevic before Mr. Taylor had reached the second curve in the road. Moreover, by his standard of care as an experienced truck driver, travelling at a speed of up to 10 kph over the posted speed limit was typical for many truck drivers along that stretch of road. Indeed, Mr. Taylor stated that he planned to descend the Hill at 100 kph.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Cpl. Poitras also concluded that Mr. Jakovljevic was braking moderately as he descended the Hill, albeit he was travelling 96 to 100 kph in a posted 90 kph speed zone before entering the final curve. He concluded that absent any tire problem or over steering, Mr. Jakovljevic would likely have safely negotiated the final curve at that speed. He also concluded that Mr. Jakovljevic could have negotiated the curve at the speed he was travelling, albeit not safely, but for his over correction.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Based on this evidence, I am satisfied beyond a reasonable doubt that only Mr. Jakovljevic's driving at a speed of 112 kph, as he rounded the fourth curve on the Hill, in the posted speed advisory zone of 80 kph, was objectively dangerous. In the absence of an explanation, it is not disputed that this objectively dangerous driving constituted a marked departure from the standard of care of a reasonably prudent truck driver.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The second part of the </w:t>
      </w:r>
      <w:r>
        <w:rPr>
          <w:rFonts w:ascii="arial" w:eastAsia="arial" w:hAnsi="arial" w:cs="arial"/>
          <w:b/>
          <w:i/>
          <w:color w:val="000000"/>
          <w:sz w:val="20"/>
          <w:lang w:val="en-US" w:eastAsia="en-US" w:bidi="ar-SA"/>
        </w:rPr>
        <w:t>Hundal</w:t>
      </w:r>
      <w:r>
        <w:rPr>
          <w:rFonts w:ascii="arial" w:eastAsia="arial" w:hAnsi="arial" w:cs="arial"/>
          <w:color w:val="000000"/>
          <w:sz w:val="20"/>
          <w:lang w:val="en-US" w:eastAsia="en-US" w:bidi="ar-SA"/>
        </w:rPr>
        <w:t xml:space="preserve"> test requires the court to consider Mr. Jakovljevic's explanation for his objectively dangerous driving, in light of the surrounding circumstances he believed he was facing.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Mr. Jakovljevic's explanation for his speed of 112 kph as he rounded the fourth and final curve on the Hill was that his left front tractor tire started to deflate and he believed he could not brake without triggering an immediate roll-over. His credibility, on this point, was not impeached on cross-examination, albeit there was no independent physical evidence that corroborated his claim. Moreover, Mr. Taylor's evidence that Mr. Jakovljevic's unit only started to accelerate away from his unit as Mr. Jakovljevic entered the third curve, in addition to Cpl. Poitras' evidence that Mr. Jakovljevic was braking moderately during his descent of the Hill until he accelerated along the straight stretch into the final curve, also lends some support to Mr. Jakovljevic's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In short, Mr. Jakovljevic's explanation for his objectively dangerous driving could reasonably be true. Whether his decision not to brake was a prudent one, begs the issue of whether he honestly believed that in the circumstances he was facing, he made the best decision. He said that he did and his opinion in that regard was not challenged. Based on this evidence, I am satisfied that Mr. Jakovljevic honestly believed that his left front tractor tire was losing air and that his only choice was to try and negotiate the final curve without braking.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In all of the circumstances, including Mr. Jakovljevic's explanation for his objectively dangerous driving, I am unable to conclude beyond a reasonable doubt that his driving constituted a marked departure from the standard of care that a reasonable prudent truck driver would have observed if faced with the same circumstances as those in Mr. Jakovljevic's situation.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In the result, I am not satisfied beyond a reasonable doubt that Mr. Jakovljevic was criminally culpable for the manner of his driving and I find him not guilty.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D.M. SMITH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39" style="position:absolute;z-index:25170124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3"/>
          <w:headerReference w:type="default" r:id="rId54"/>
          <w:footerReference w:type="even" r:id="rId55"/>
          <w:footerReference w:type="default" r:id="rId56"/>
          <w:headerReference w:type="first" r:id="rId57"/>
          <w:footerReference w:type="first" r:id="rId5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9" w:history="1">
        <w:r>
          <w:rPr>
            <w:rFonts w:ascii="arial" w:eastAsia="arial" w:hAnsi="arial" w:cs="arial"/>
            <w:b/>
            <w:bCs/>
            <w:i/>
            <w:color w:val="0077CC"/>
            <w:kern w:val="32"/>
            <w:sz w:val="28"/>
            <w:szCs w:val="32"/>
            <w:u w:val="single"/>
            <w:shd w:val="clear" w:color="auto" w:fill="FFFFFF"/>
            <w:lang w:val="en-US" w:eastAsia="en-US" w:bidi="ar-SA"/>
          </w:rPr>
          <w:t>S.A.D. v. E.E.P. Estate, [2003] B.C.J. No. 2337</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Boyd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November 18 - 22, 25 - 29, December 2 - 6,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16 - 20, December 9 - 12, 2002 and</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January 27 - 31, 2003.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Written submissions: April - June 2003.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October 9, 2003.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C932927</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[2003] B.C.J. No. 2337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2003 BCSC 1535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125 A.C.W.S. (3d) 1072</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S.A.D. also known as S.A.D. and as C.A.D., L.M.M. and B.L.M., plaintiffs, and C.A.H., C.O.H. Administrator of the Estate of E.E.P., deceased, and Executor and Trustee of the Estate of M.P., deceased, and Her Majesty the Queen in Right of the Province of British Columbia,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(193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40" style="position:absolute;z-index:25166131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8" w:name="Keywords_2"/>
      <w:bookmarkEnd w:id="18"/>
      <w:r>
        <w:rPr>
          <w:rFonts w:ascii="arial" w:eastAsia="arial" w:hAnsi="arial" w:cs="arial"/>
          <w:b/>
          <w:color w:val="000000"/>
          <w:sz w:val="20"/>
          <w:lang w:val="en-US" w:eastAsia="en-US" w:bidi="ar-SA"/>
        </w:rPr>
        <w:t>Damages — Exemplary or punitive damages — Sexual assault — General damages — General damages for personal injury — Pre-trial loss of income — Torts — Trespass — Assault and battery — Sexual assault.</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9" w:name="Case Summary_1"/>
            <w:bookmarkEnd w:id="19"/>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the foster children, SAD, LMM and BLM, against the estates of their former foster parents and the parents' son-in-law for damages for physical, sexual and emotional abuse. The women had already settled with the defendant Crown. The abuse had taken place 30 years earlier when the women were young girls. The foster mother harshly punished, beat and denigrated the children on a daily basis. The women alleged that the son-in-law had sexually abused them on many occasions, including sexual intercourse. They also alleged being sexually abused by the foster father, although less frequently and with less severity. The son-in-law denied that any abuse occurred. All three women suffered from psychological injuries, including anxiety, low self-esteem, depression, suicide attempts and personality disorders. None had completed high school until years later. They worked minimum wage jobs. A psychiatrist concluded that the abuse was the direct cause of the women's injuries.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0" w:name="Holdings of Court_0"/>
            <w:bookmarkEnd w:id="20"/>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Where there was a conflict in the evidence, the evidence of the women was accepted over that of the parents' daughter and son-in-law. The evidence of each woman was similar fact evidence. There was no collusion between them. The limitation period did not begin to run until each woman acquired an awareness, which only materialized when she received therapeutic assistance. The women's action was brought within the limitation period. The abuse by the parents and son-in-law materially contributed to the women's psychological injuries. There was no foundation for any reduction by virtue of any contributing non-tortious acts. General damages of $180,000 were awarded to BLM, $100,000 to SAD and $120,000 to LMM. Each woman was awarded $50,000 in punitive damages. BLM was awarded past loss of income of $219,665 and $145,800 for future loss of income. SAD was awarded $100,000 for past loss of income and no future loss of income. LMM was awarded $225,000 for past loss of income and $150,000 for future loss of income.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1" w:name="Legislation Cited_2"/>
      <w:bookmarkEnd w:id="21"/>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41" style="position:absolute;z-index:25167155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Court Order Interest Act, </w:t>
      </w:r>
      <w:r>
        <w:rPr>
          <w:rFonts w:ascii="arial" w:eastAsia="arial" w:hAnsi="arial" w:cs="arial"/>
          <w:i/>
          <w:color w:val="000000"/>
          <w:sz w:val="20"/>
          <w:lang w:val="en-US" w:eastAsia="en-US" w:bidi="ar-SA"/>
        </w:rPr>
        <w:t>R.S.B.C. 1996, c. 79</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Crown Proceedings Act, s. 17.</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Limitation Act, R.S.B.C. 1996, c. 226, ss. 3(2), 3(3)(k), 6(3), 6(4), 6(5), 6(5)(b), 7.</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2" w:name="Counsel_2"/>
      <w:bookmarkEnd w:id="22"/>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42" style="position:absolute;z-index:25168179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 Stowe and S. Aldinger, for the plaintiffs. P. Pakenham, for the defendants.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3" w:name="Judgment_2"/>
      <w:bookmarkEnd w:id="23"/>
      <w:r>
        <w:pict>
          <v:line id="_x0000_s1043" style="position:absolute;z-index:251692032"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4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4" w:name="BOYD J."/>
            <w:bookmarkEnd w:id="24"/>
            <w:r>
              <w:rPr>
                <w:rFonts w:ascii="arial" w:eastAsia="arial" w:hAnsi="arial" w:cs="arial"/>
                <w:b/>
                <w:color w:val="000000"/>
                <w:sz w:val="30"/>
                <w:lang w:val="en-US" w:eastAsia="en-US" w:bidi="ar-SA"/>
              </w:rPr>
              <w:t>BOYD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is an historical abuse action in which the plaintiffs (B.L.M. and two sisters, L.M.M. and S.A.D.) claim damages for the pain and suffering and loss of quality of life suffered by each of them as a result of the sexual abuse committed by their foster father, E.P., the physical and emotional abuse committed by their foster mother, M.P. and the sexual abuse committed by their son-in-law, C.A.H., during the years they were residents in the P.'s foster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Since the time this action was commenced on May 25, 1993, both the foster parents, E.P. and M.P., have died. The action has been defended by the personal representative of each of their estates.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In October 2001, the plaintiffs settled their claim with the defendant Crown. As a result L.M.M. and B.L.M. received $99,000 and S.A.D. received $51,000.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Like many historical abuse actions, the pivotal issue has been the credibility of the plaintiffs. Overall, I found the plaintiffs to be forthright, convincing witnesses, attempting as best they could, over 30 years after the events, to relay in evidence the very painful memories of their life in this foster home. Not surprisingly there are some gaps in their memory of the events. Further there are some inconsistencies, albeit not glaring inconsistencies, in their versions of the events which occurred. While the plaintiffs have suffered psychological scars, which to some degree have affected their overall performance as witnesses, I nevertheless found their testimony to be both compelling and persuasive.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main defence witnesses were J.H. (E.P.'s and M.P.'s daughter) and her husband, the defendant, C.A.H. At the request of the defence, J.H. was permitted to sit in the courtroom throughout the trial, the rationale being that C.A.H.'s hearing was impaired, that his memory of the events in question was generally poor, and that he was not expected to be able to adequately instruct counsel as the trial proceeded. Over the plaintiff's counsel's objections, I acceded to counsel's request, noting that J.H.'s presence in the courtroom might result in her evidence ultimately being accorded less weight.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While I do not find J.H. deliberately tailored her evidence to contradict that of the plaintiffs, it was noteworthy that in many instances her evidence went beyond that recorded in her "will-say statements" which were produced at the outset of the trial. Her evidence effectively expanded in the course of trial to reject or contradict most of the plaintiffs' allegations.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She presented as a witness with a very obvious personal and financial stake in the outcome of this case. Her evidence was generally very critical of the plaintiffs, while lauding the attributes of her mother and husband, with almost no reconciliation of the extremes.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While she admitted she campaigned for the removal of the foster children from the P's home at many points during their tenure there, she insisted they were nevertheless well loved and nurtured and successfully integrated in the extended family. While I do not find J.H. deliberately lied, I believe she has very little insight into her own family history and its dysfunctional dynamics. I am unable to attribute a great deal of weight to many portions of her evidence. Where her evidence conflicts with that of the plaintiffs, I accept their versions of the events.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For the most part C.A.H. was not a particularly helpful witness. His memory of many events was vague or contradictory or a pure reconstruction of what must have occurred. The thrust of his evidence was to deny any acts of sexual abuse and further to deny any substantial opportunity for access to any of the plaintiffs, given a certain work schedule outside the home. Again, I am unable to place much weight on his evidence. I am satisfied that despite his work schedule, he spent a good deal of time in the home, so much so that he became the central male adult figure or father-figure in the foster home. Where his evidence conflicts with that of the plaintiffs, I accept their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plaintiffs' evidence of the abuse, particularly the physical and emotional abuse wrought by M.P., was corroborated by many of the defence witnesses - the only issue being the degree of the severity of the punishments inflicted, rather than the mode of punishment. However the evidence of the plaintiffs was also supported by the similar fact evidence offered by each of them as well as the proffered similar fact evidence of R.M., C.P. and V.J. I will deal with the issue of whether that evidence ought to be admissible prior to reviewing the evidence of each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Similar Fact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Each plaintiff has submitted that the evidence of each of the other two plaintiffs ought to be admitted as similar fact evidence with respect to their claims against each of the defendants. They further submit that the evidence of R.M., C.P. and V.J. ought to be admitted as similar fact evidence. In the case of R.M. and V.J, the plaintiffs submit their similar fact evidence must be adduced through out-of-court statements because they are dead. The plaintiffs also submitted the similar fact evidence of C.P. ought to also be adduced through out-of-court statements since she could not be located so as to testify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In determining whether the out-of-court statements of R.M., V.J., and C.P. are admissible, I have first considered whether the admissibility of those statements is both necessary and reliable (R. v. Khan, </w:t>
      </w:r>
      <w:hyperlink r:id="rId60" w:history="1">
        <w:r>
          <w:rPr>
            <w:rFonts w:ascii="arial" w:eastAsia="arial" w:hAnsi="arial" w:cs="arial"/>
            <w:i/>
            <w:color w:val="0077CC"/>
            <w:sz w:val="20"/>
            <w:u w:val="single"/>
            <w:shd w:val="clear" w:color="auto" w:fill="FFFFFF"/>
            <w:lang w:val="en-US" w:eastAsia="en-US" w:bidi="ar-SA"/>
          </w:rPr>
          <w:t>[1990] 2 S.C.R. 531</w:t>
        </w:r>
      </w:hyperlink>
      <w:r>
        <w:rPr>
          <w:rFonts w:ascii="arial" w:eastAsia="arial" w:hAnsi="arial" w:cs="arial"/>
          <w:color w:val="000000"/>
          <w:sz w:val="20"/>
          <w:lang w:val="en-US" w:eastAsia="en-US" w:bidi="ar-SA"/>
        </w:rPr>
        <w:t xml:space="preserve">; R. v. Smith, </w:t>
      </w:r>
      <w:hyperlink r:id="rId61" w:history="1">
        <w:r>
          <w:rPr>
            <w:rFonts w:ascii="arial" w:eastAsia="arial" w:hAnsi="arial" w:cs="arial"/>
            <w:i/>
            <w:color w:val="0077CC"/>
            <w:sz w:val="20"/>
            <w:u w:val="single"/>
            <w:shd w:val="clear" w:color="auto" w:fill="FFFFFF"/>
            <w:lang w:val="en-US" w:eastAsia="en-US" w:bidi="ar-SA"/>
          </w:rPr>
          <w:t>[1992] 2 S.C.R. 915</w:t>
        </w:r>
      </w:hyperlink>
      <w:r>
        <w:rPr>
          <w:rFonts w:ascii="arial" w:eastAsia="arial" w:hAnsi="arial" w:cs="arial"/>
          <w:color w:val="000000"/>
          <w:sz w:val="20"/>
          <w:lang w:val="en-US" w:eastAsia="en-US" w:bidi="ar-SA"/>
        </w:rPr>
        <w:t xml:space="preserve">; R. v. B (K.G.), </w:t>
      </w:r>
      <w:hyperlink r:id="rId62" w:history="1">
        <w:r>
          <w:rPr>
            <w:rFonts w:ascii="arial" w:eastAsia="arial" w:hAnsi="arial" w:cs="arial"/>
            <w:i/>
            <w:color w:val="0077CC"/>
            <w:sz w:val="20"/>
            <w:u w:val="single"/>
            <w:shd w:val="clear" w:color="auto" w:fill="FFFFFF"/>
            <w:lang w:val="en-US" w:eastAsia="en-US" w:bidi="ar-SA"/>
          </w:rPr>
          <w:t>[1993] 1 S.C.R. 740</w:t>
        </w:r>
      </w:hyperlink>
      <w:r>
        <w:rPr>
          <w:rFonts w:ascii="arial" w:eastAsia="arial" w:hAnsi="arial" w:cs="arial"/>
          <w:color w:val="000000"/>
          <w:sz w:val="20"/>
          <w:lang w:val="en-US" w:eastAsia="en-US" w:bidi="ar-SA"/>
        </w:rPr>
        <w:t>; B Vol. III, Tab 3 Plaintiffs' Brief of Authorities).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In the case of each of these witnesses, I am not persuaded that their out-of-court statements ought to be admissible in evidence. While the admission of the statements is necessary, it is not clear that any of these statements are necessarily reliable. R.M. uttered his complaints about life in the P. household to Mrs. Margaret Slater and her son, Wayne Martel, after he had been charged with threatening the P.'s adult daughter J.H. with a weapon, and was apprehended and removed from the home. The evidence is that at this time, he was seriously abusing both drugs and alcohol.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As to V.J., I am again not persuaded that his evidence is necessarily reliable. He lived as a foster child in the P.'s home after the plaintiffs left. As part of the criminal investigation into the physical and sexual assaults alleged by the plaintiffs, V.J. was interviewed and gave a statement to Constable Mieras of the Prince George Detachment of the RCMP on February 26, 1991 (Exhibit A). The statement generally describes the beatings rendered by the foster mother and the fact her husband was never home. It is a relatively general statement lacking in the particularity or detail required for characterization as similar fact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Finally, sometime after the commencement of the action, C.P. (niece of C.A.H. and granddaughter of E.P.) provided a letter to either the lawyer for E.P. or for C.A.H. In the letter, she alleged that both C.A.H. and E.P. had sexually touched her during her childhood. The letter is now missing although no explanation has been offered as to how, why or when the letter disappeared. D.P. admitted that on learning of these allegations from his daughter, he suggested she contact the plaintiffs' counsel. She did so and provided a written statement to counsel for the plaintiffs dated September 12, 2000 (Exhibit B), in which she confirmed the earlier allegations set out in the letter. C.P. reported that she had been sexually abused by the defendant C.A.H. and by her paternal grandfather, E.P.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I will not address the stated indicia of reliability since in my view, the blanket allegation of sexual abuse cannot, in the circumstances of this case, amount to evidence which can be characterized as "similar acts" to the acts alleged by the plaintiffs, within the meaning expounded by the Supreme Court of Canada in Regina v. Shearing </w:t>
      </w:r>
      <w:hyperlink r:id="rId63" w:history="1">
        <w:r>
          <w:rPr>
            <w:rFonts w:ascii="arial" w:eastAsia="arial" w:hAnsi="arial" w:cs="arial"/>
            <w:i/>
            <w:color w:val="0077CC"/>
            <w:sz w:val="20"/>
            <w:u w:val="single"/>
            <w:shd w:val="clear" w:color="auto" w:fill="FFFFFF"/>
            <w:lang w:val="en-US" w:eastAsia="en-US" w:bidi="ar-SA"/>
          </w:rPr>
          <w:t>[2002] S.C.J. No. 59</w:t>
        </w:r>
      </w:hyperlink>
      <w:r>
        <w:rPr>
          <w:rFonts w:ascii="arial" w:eastAsia="arial" w:hAnsi="arial" w:cs="arial"/>
          <w:color w:val="000000"/>
          <w:sz w:val="20"/>
          <w:lang w:val="en-US" w:eastAsia="en-US" w:bidi="ar-SA"/>
        </w:rPr>
        <w:t xml:space="preserve">, </w:t>
      </w:r>
      <w:hyperlink r:id="rId64" w:history="1">
        <w:r>
          <w:rPr>
            <w:rFonts w:ascii="arial" w:eastAsia="arial" w:hAnsi="arial" w:cs="arial"/>
            <w:i/>
            <w:color w:val="0077CC"/>
            <w:sz w:val="20"/>
            <w:u w:val="single"/>
            <w:shd w:val="clear" w:color="auto" w:fill="FFFFFF"/>
            <w:lang w:val="en-US" w:eastAsia="en-US" w:bidi="ar-SA"/>
          </w:rPr>
          <w:t>2002 SCC 58</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On a review of all the evidence, I am persuaded however that the evidence of each of the plaintiffs amounts to similar fact evidence. There were many points of similarity: each of the plaintiffs was a foster child in the P. home; each of them was subject to the physical and emotional abuse levelled by M.P.; each of them was subject to varying levels of sexual abuse by C.A.H during roughly the same period; and each of them treated C.A.H. as their uncle who occupied a position of authority and trust in the extended family household. While B.L.M. was placed in the home in the mid-1960's, her own placement and that of the M. sisters overlapped for the period from January 1989 until the mid-1970's. During that period, they lived together as foster sisters and occupied a bedroom together. I am not persuaded that there was any collusion amongst the plaintiffs to concoct the allegations before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1.1 Dismissal for Want of Prosecution: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In September 2002, the defendant, C.A.H., applied for a dismissal of the action for want of prosecution. Here the action was not commenced until May 1993, almost 27 years after the date when B.L.M. states the first acts of sexual assault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The thrust of the defence submission is that there has been inordinate delay in the prosecution of this action, the delay has been inexcusable; and finally the defendants have been seriously prejudiced by this delay. (Allen v. Sir Alfred McAlpine &amp; Sons (1968) 2 Q.B. 229; Irving v. Irving </w:t>
      </w:r>
      <w:hyperlink r:id="rId65" w:history="1">
        <w:r>
          <w:rPr>
            <w:rFonts w:ascii="arial" w:eastAsia="arial" w:hAnsi="arial" w:cs="arial"/>
            <w:i/>
            <w:color w:val="0077CC"/>
            <w:sz w:val="20"/>
            <w:u w:val="single"/>
            <w:shd w:val="clear" w:color="auto" w:fill="FFFFFF"/>
            <w:lang w:val="en-US" w:eastAsia="en-US" w:bidi="ar-SA"/>
          </w:rPr>
          <w:t>[1982] B.C.J. No. 970</w:t>
        </w:r>
      </w:hyperlink>
      <w:r>
        <w:rPr>
          <w:rFonts w:ascii="arial" w:eastAsia="arial" w:hAnsi="arial" w:cs="arial"/>
          <w:color w:val="000000"/>
          <w:sz w:val="20"/>
          <w:lang w:val="en-US" w:eastAsia="en-US" w:bidi="ar-SA"/>
        </w:rPr>
        <w:t xml:space="preserve">; and Busse v. Robinson Morelli Cherkow. </w:t>
      </w:r>
      <w:hyperlink r:id="rId66" w:history="1">
        <w:r>
          <w:rPr>
            <w:rFonts w:ascii="arial" w:eastAsia="arial" w:hAnsi="arial" w:cs="arial"/>
            <w:i/>
            <w:color w:val="0077CC"/>
            <w:sz w:val="20"/>
            <w:u w:val="single"/>
            <w:shd w:val="clear" w:color="auto" w:fill="FFFFFF"/>
            <w:lang w:val="en-US" w:eastAsia="en-US" w:bidi="ar-SA"/>
          </w:rPr>
          <w:t>[1999] B.C.J. No. 1101</w:t>
        </w:r>
      </w:hyperlink>
      <w:r>
        <w:rPr>
          <w:rFonts w:ascii="arial" w:eastAsia="arial" w:hAnsi="arial" w:cs="arial"/>
          <w:color w:val="000000"/>
          <w:sz w:val="20"/>
          <w:lang w:val="en-US" w:eastAsia="en-US" w:bidi="ar-SA"/>
        </w:rPr>
        <w:t xml:space="preserve">, </w:t>
      </w:r>
      <w:hyperlink r:id="rId66" w:history="1">
        <w:r>
          <w:rPr>
            <w:rFonts w:ascii="arial" w:eastAsia="arial" w:hAnsi="arial" w:cs="arial"/>
            <w:i/>
            <w:color w:val="0077CC"/>
            <w:sz w:val="20"/>
            <w:u w:val="single"/>
            <w:shd w:val="clear" w:color="auto" w:fill="FFFFFF"/>
            <w:lang w:val="en-US" w:eastAsia="en-US" w:bidi="ar-SA"/>
          </w:rPr>
          <w:t>1999 BCCA 313</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Mr. Pakenham notes that most of the examinations for discovery did not proceed until the fall of 1995. The action was initially set to proceed to trial in January 1996, then adjourned to January 2000 and finally did not proceed until November 2002. Over the course of the litigation, J.H. testified that approximately 12 defence witnesses had either died or become infirm or otherwise had become unavailable to attend as witnesses. Most importantly, M.P. died in January 1993. Her husband, E.P., died in March 1998. At the very least, the defendants submit that there has been at least a 10-year delay, which period should be presumed to be both unreasonable and prejudicial to the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The defence say that this delay has worked in the plaintiffs' favour. In the interim, both E.P. and M.P. died, the issue of the Crown's vicarious liability was resolved by the Courts in the plaintiffs' favour, and the quantum of awards for damages rose steadily through the 1990's. The plaintiffs moved to commence actions for damages for fraudulent preference and conveyance to secure their rising claims, </w:t>
      </w:r>
      <w:hyperlink r:id="rId67" w:history="1">
        <w:r>
          <w:rPr>
            <w:rFonts w:ascii="arial" w:eastAsia="arial" w:hAnsi="arial" w:cs="arial"/>
            <w:i/>
            <w:color w:val="0077CC"/>
            <w:sz w:val="20"/>
            <w:u w:val="single"/>
            <w:shd w:val="clear" w:color="auto" w:fill="FFFFFF"/>
            <w:lang w:val="en-US" w:eastAsia="en-US" w:bidi="ar-SA"/>
          </w:rPr>
          <w:t>[2003] B.C.J. No. 915</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While there was indeed some delay in this matter, the delay between the dates the wrongful conduct was committed and the date the action was commenced against the defendant C.A.H. cannot be taken into account in determining whether there has been an inordinate delay on the part of the plaintiffs in prosecuting their action. In both K.E.G. v. G.R. </w:t>
      </w:r>
      <w:hyperlink r:id="rId68" w:history="1">
        <w:r>
          <w:rPr>
            <w:rFonts w:ascii="arial" w:eastAsia="arial" w:hAnsi="arial" w:cs="arial"/>
            <w:i/>
            <w:color w:val="0077CC"/>
            <w:sz w:val="20"/>
            <w:u w:val="single"/>
            <w:shd w:val="clear" w:color="auto" w:fill="FFFFFF"/>
            <w:lang w:val="en-US" w:eastAsia="en-US" w:bidi="ar-SA"/>
          </w:rPr>
          <w:t>[1992] B.C.J. No. 256</w:t>
        </w:r>
      </w:hyperlink>
      <w:r>
        <w:rPr>
          <w:rFonts w:ascii="arial" w:eastAsia="arial" w:hAnsi="arial" w:cs="arial"/>
          <w:color w:val="000000"/>
          <w:sz w:val="20"/>
          <w:lang w:val="en-US" w:eastAsia="en-US" w:bidi="ar-SA"/>
        </w:rPr>
        <w:t xml:space="preserve"> and M.K. v. M.(H.) </w:t>
      </w:r>
      <w:hyperlink r:id="rId69" w:history="1">
        <w:r>
          <w:rPr>
            <w:rFonts w:ascii="arial" w:eastAsia="arial" w:hAnsi="arial" w:cs="arial"/>
            <w:i/>
            <w:color w:val="0077CC"/>
            <w:sz w:val="20"/>
            <w:u w:val="single"/>
            <w:shd w:val="clear" w:color="auto" w:fill="FFFFFF"/>
            <w:lang w:val="en-US" w:eastAsia="en-US" w:bidi="ar-SA"/>
          </w:rPr>
          <w:t>[1992] S.C.J. No. 85</w:t>
        </w:r>
      </w:hyperlink>
      <w:r>
        <w:rPr>
          <w:rFonts w:ascii="arial" w:eastAsia="arial" w:hAnsi="arial" w:cs="arial"/>
          <w:color w:val="000000"/>
          <w:sz w:val="20"/>
          <w:lang w:val="en-US" w:eastAsia="en-US" w:bidi="ar-SA"/>
        </w:rPr>
        <w:t xml:space="preserve">, the British Columbia Supreme Court and the Supreme Court of Canada recognized that delay on the part of adult survivors of childhood sexual abuse was justifiable. Falling on the heels of those decisions, the British Columbia legislature amended the Limitation Act, </w:t>
      </w:r>
      <w:hyperlink r:id="rId70" w:history="1">
        <w:r>
          <w:rPr>
            <w:rFonts w:ascii="arial" w:eastAsia="arial" w:hAnsi="arial" w:cs="arial"/>
            <w:i/>
            <w:color w:val="0077CC"/>
            <w:sz w:val="20"/>
            <w:u w:val="single"/>
            <w:shd w:val="clear" w:color="auto" w:fill="FFFFFF"/>
            <w:lang w:val="en-US" w:eastAsia="en-US" w:bidi="ar-SA"/>
          </w:rPr>
          <w:t>R.S.B.C. 1996, Chapter 266</w:t>
        </w:r>
      </w:hyperlink>
      <w:r>
        <w:rPr>
          <w:rFonts w:ascii="arial" w:eastAsia="arial" w:hAnsi="arial" w:cs="arial"/>
          <w:color w:val="000000"/>
          <w:sz w:val="20"/>
          <w:lang w:val="en-US" w:eastAsia="en-US" w:bidi="ar-SA"/>
        </w:rPr>
        <w:t xml:space="preserve">, to remove any limitation period for the commencement of civil suits for childhood sexual abuse. That legislation is retrospective in its application (J.P. v. Sinclair </w:t>
      </w:r>
      <w:hyperlink r:id="rId71" w:history="1">
        <w:r>
          <w:rPr>
            <w:rFonts w:ascii="arial" w:eastAsia="arial" w:hAnsi="arial" w:cs="arial"/>
            <w:i/>
            <w:color w:val="0077CC"/>
            <w:sz w:val="20"/>
            <w:u w:val="single"/>
            <w:shd w:val="clear" w:color="auto" w:fill="FFFFFF"/>
            <w:lang w:val="en-US" w:eastAsia="en-US" w:bidi="ar-SA"/>
          </w:rPr>
          <w:t>[1997] B.C.J. No. 1327</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Following the commencement of the litigation in 1993, the parties battled the broad issue of whether Section 17 of the Crown Proceedings Act was an absolute bar to the plaintiffs' claims against the Crown for breach of fiduciary duty. The defendant Crown sought to have the issue determined pursuant to Rule 34 and accordingly forced the adjournment of the first trial date in January 1996. The issue was then heard by Dillon J. who determined the issue in the plaintiffs' favour in October 1997. The Crown's appeal was dismissed by the Court of Appeal in May 1999. Then in May 2000, the Supreme Court of Canada refused the Crown's application for leave to appeal, </w:t>
      </w:r>
      <w:hyperlink r:id="rId72" w:history="1">
        <w:r>
          <w:rPr>
            <w:rFonts w:ascii="arial" w:eastAsia="arial" w:hAnsi="arial" w:cs="arial"/>
            <w:i/>
            <w:color w:val="0077CC"/>
            <w:sz w:val="20"/>
            <w:u w:val="single"/>
            <w:shd w:val="clear" w:color="auto" w:fill="FFFFFF"/>
            <w:lang w:val="en-US" w:eastAsia="en-US" w:bidi="ar-SA"/>
          </w:rPr>
          <w:t>[1999] S.C.C.A. No. 259</w:t>
        </w:r>
      </w:hyperlink>
      <w:r>
        <w:rPr>
          <w:rFonts w:ascii="arial" w:eastAsia="arial" w:hAnsi="arial" w:cs="arial"/>
          <w:color w:val="000000"/>
          <w:sz w:val="20"/>
          <w:lang w:val="en-US" w:eastAsia="en-US" w:bidi="ar-SA"/>
        </w:rPr>
        <w:t>. There is apparently no dispute that the appeals by the Crown were pursued in a timely, diligent manner.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I reject the notion that the delay here was the result of some tactical manoeuvre on the plaintiffs' part to perfect their claim against the defendant Crown, with the by-product of prejudicing the position of the other defendants. To the contrary, given the statutory defence mounted by the Crown, the plaintiffs had no choice but to challenge that defence. The plaintiffs' successful challenge of that issue has benefited the defendant estates, since at law, it could now be said the defendant Crown was vicariously liable for the wrongful acts of E.P. and M.P. Further, since the plaintiffs had claims which were also based on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breach of fiduciary duty, the defendant Crown and the defendant C.A.H. could be held jointly and severally liable as tortfeasors.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 accept that it was reasonable for the plaintiffs to await the outcome of the issue relating to Crown liability, since the favourable outcome of the appeal did in fact improve the possibility of settlement with the Crown. The length of the trial was considerably shortened and unquestionably both the parties' own costs and the commitment of court resources was reduced.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Thus I am satisfied that in the circumstances of this case, there has not been any inordinate delay. Since there has been no inordinate delay, there is no reason to consider the second or third prongs of the test, that is whether the delay is inexcusable and whether the defendants have been seriously prejudiced by such delay.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1.2 B.L.M. - sexual assaults: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B.L.M. was born May 14, 1959. In the year after her birth, her parents surrendered her care to her maternal grandmother with whom she remained until she was three-years-old. These early years were apparently very happy ones, spent with a grandmother who doted on her. She was then returned to her natural parents. Both the plaintiff's evidence and the Ministry records confirm that B.L.M.'s mother rejected her. She recalls a night when her mother attempted to murder her with a knife and was stopped short by her father. When she was six-years-old, her parents voluntarily placed her in the guardianship of the Superintendent of Child Welfare and later consented to her placement for adoption (See Exhibit 5, Tab 1, Adoption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She was placed with the P.'s, a couple who lived in East Pine, a rural area several miles to the North of Prince George. She arrived there in December 1965, when she was 6 years-old. The P.'s were then aged 49 and 50 years old. They had two biological children, D.P., then aged 17, and J.P. (now J.H.) then aged 24. While D.P. lived at home, J.P. was an independent married adult. At the time of B.L.M.'s arrival, there were two other foster children in the P. home, J.M. (then aged 6 who had lived with the P.'s since infancy) and R.D. (who had lived with the P.'s since aged 18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evidence is clear that the home was administered under the harsh rule of M.P. She was a rigid disciplinarian who lived in accordance with a strict moral code which she imposed on all under her domain. While he was a much more moderate, warm individual, E.P. was rarely home. He worked as a millwright in Quesnel and only occasionally travelled home for holidays.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Almost immediately on her arrival, M.P. took B.L.M.'s toys away. She shunned any attempts the child made to seek out any affection or closeness with her new foster mother. Early on, a social worker visited the farm and walked about with B.L.M., to privately learn from the child how she was faring in her new home. She told the social worker that she found the place "smelly", meaning that she was not used to animal smells. The information was relayed to M.P. who, after the social worker left, marched B.L.M. out to the barn and pushed her face down into a pile of manure. From early on, B.L.M. learned that that any disclosure would come at the cost of retribution.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Prior to this period, J.H. had been dating C.A.H., a Saskatchewan farmer some seven years her senior who had travelled to British Columbia to find work. He worked at her father's (E.P.'s) mill for her father, and over time, he built up a relationship with J.H. Notwithstanding some effort on the P.'s part to closely chaperone the relationship, J.H. became pregnant by C.A.H. and they married May 2, 1959.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H. family moved west of Hope-Hudson where they began work in the sawmills-C.A.H. working in the mill and J.H. working as the camp cook. There was conflicting evidence concerning the extent to which the H.'s spent any time in East Pine. I accept that for the most part during this period, the H.'s did indeed live in logging camps where they also raised their eldest children, D.H. and W.H. However, based on the evidence of B.L.M., as well as the H.s' sons, D.H. and W.H., I find that on many weekends and during spring break-up, the H. family travelled to East Pine where they stayed in their small home, a converted office, which was next door to the P.'s home. They shopped for the camp's groceries and also drove M.P. into Dawson Creek to buy her own supplies and groceries.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It was during these visits to East Pine that the defendant, C.A.H., befriended B.L.M. He became her most trusted adult and confidante, someone she could run to and be comforted by as she coped with M.P.'s regime. In the context of their special relationship, C.A.H. allowed B.L.M. into the bedroom of his adjoining home and allowed her to see and wear his wife's rings which she kept in a jewellery box in the bedroom.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Although never a warm relationship to begin with, B.L.M.'s relationship with both M.P. and J.H. deteriorated markedly following an incident in approximately 1967. B.L.M. (then 7 or 8 years old) took some of J.H.'s rings to school and handed them out to schoolmates. The distribution of the rings was reported by a classmate to her mother and in turn, was reported to M.P. Theft was one of the most serious infractions in M.P.'s moral code. The incident culminated in a beating at the hands of M.P. following which B.L.M. was forced to publicly confess her transgression at school. More significantly, the incident led to a distinct alienation from J.H., who remained hostile towards B.L.M. for the balance of her stay in the P.'s home. Clearly, the incident has been the subject of discussion in the H.'s family for many years. Thereafter, B.L.M. was known as a "thief" and "someone not to be trusted" and whatever casual traffic there had been between the H.'s home and the P.'s home ended-the foster children being denied entry without knocking and being subject to supervision once inside.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Denied any rapprochement or friendship with either of the two adult females in the home, B.L.M. turned more and more to C.A.H. for comfort and friendship. She spent every opportunity she had with him when he was in the home in East Pine. Notwithstanding his denials, I find that during the time the family lived in East Pine, B.L.M. was sexually assaulted by C.A.H. on many occasions, either in the basement bedroom of the P.'s home or in the bedroom of the H.'s home, when J.H. and her mother, M.P., were off on shopping trips to Dawson Creek. The incidents always occurred in private and consisted of face-to-face encounters when C.A.H. would put his hands under her underwear and fondle her vaginal area while he masturbated himself. On another occasion, they were in the outhouse on the property. He sat and masturbated himself while he touched her vaginal area. B.L.M. recalled that the incident ended when D.P. opened the door of the outhouse. He stood there for a minute and walked away and never mentioned the incident again. While D.P. could not recall the incident occurring, he did not deny it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In 1966, both families had purchased adjoining lots on Chestnut Drive, a then semi-rural suburb on the edge of Prince George. As in the case of the East Pine properties, their houses were built side-by-side, separated by a driveway. While the construction was underway, E.P. and his carpenter were living in a large shack built adjacent to the P.'s home. From time to time, M.P. travelled down from Prince George with the foster children and on some occasions, the H. family were also present. At least on one occasion, I find that a number of members of both families slept in cots in that shack, including B.L.M. and C.A.H. I accept her evidence that on that occasion, while he lay in an adjoining cot, C.A.H. reached under her covers and digitally penetrated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Shortly after the families arrived in Prince George, the M. children (L.M.M.-aged 9, S.A.D.-aged 8, and R.M.-aged 5) were also placed in the P.'s home. Their father, a logger, had died in a work related accident. Their grief-stricken mother became increasingly alcohol dependent and was unable to cope with the parenting of their eight children. For a period, the family lived with their maternal grandmother in Prince George but eventually the three youngest were apprehended by the Ministry and within a month, by late January 1969, they were placed in the care of the 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While B.L.M. was initially happy to have two girls to interact with, the evidence is clear that almost from the outset, there was some conflict between B.L.M. and L.M.M. This conflict was partly attributable to some jealously on B.L.M.'s part, partly attributable to the other children's resistance to B.L.M.'s efforts to take control as the eldest child, and finally attributable to M.P.'s own efforts to turn the children against each other. Thus, despite the new children's arrival, B.L.M. remained largely isolated. The children had few friends, no visiting friends, and whatever free time they had was dominated by a never-ending routine of indoor and outdoor chores.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Following the move to Prince George, the H.'s and P.'s homes became even more integrated and C.A.H.'s sexual assaults on B.L.M. escalated both in frequency and severity. The assaults usually occurred in the basement, in a dark and secluded area underneath the kitchen stairs, between the sump pump and the woodpile. Often B.L.M. had had an altercation with M.P. and he would follow her downstairs to comfort her. On other occasions, he would indicate, simply by the use of a subtle eye-signal, that she was to go downstairs where he would join her. In the basement, he would digitally penetrate her while exposing his penis and masturbating himself. He referred to his penis as a "peer" and told her that "one day his peer would go inside (her) peer".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There were other assaults which occurred in other locations in the basement of the P.'s home-both in the rumpus room and in the foster girls' bedroom. On these occasions, the assaults took the form of C.A.H. lying on top of B.L.M. and between her legs, simulating sexual intercourse. Very early on, after the families' arrival in Prince George, the incidents progressed to sexual intercourse. I accept B.L.M.'s recollection of two specific incidents of sexual intercourse. The first incident occurred in a bedroom in the basement of the H.'s home, which B.L.M. believed to be W.H.'s bedroom, when she was approximately 10 years old. Another incident occurred in the barn at the back of the P.'s lot, while B.L.M. stood by the gate entrance looking out towards the field. She kept a lookout while C.A.H. assaulted her from behind and engaged in full sexual intercourse.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Without B.L.M.'s knowledge, both S.A.D. and L.M.M. witnessed at least one assault each-one in the rumpus room and one in the girls' bedroom.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In approximately late 1973, M.P. told her son, D.P., "something was going on" between B.L.M. and C.A.H. She told her son not to speak to anyone about the matter, stating that "she would handle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In January 1974, when she was 15 years of age, B.L.M. missed a menstrual period and mistakenly believed that she was pregnant by C.A.H. She confided she was pregnant to a girlfriend's mother who insisted she tell M.P. B.L.M. told her she was reluctant to do so since she feared physical reprisal. She finally agreed to do so, but only in the presence of a social worker. She did so and to her surprise, M.P. was relatively calm and understanding on hearing this devastating news. She promised the social worker she would not punish B.L.M. She insisted on B.L.M. moving into her bedroom for a few days and tried to extract some information about who the father might be.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During this same period, J.H. confronted B.L.M. about the source of the cigarettes in her possession. She responded that C.A.H. had given her the cigarettes which J.H. insisted was a lie. She told her that C.A.H. gave her other things as well and revealed their sexual intimacy. A full-blown physical fight ensued between an enraged J.H. and B.L.M. B.L.M. fled to a neighbour's home and later fled again, eventually ending up in a group home in Prince George. She never returned to the P.'s home, except as an adult. D.P. testified that the next time he visited his mother's home, all of the foster girls had left. Indeed, within a short time after B.L.M.'s departure, L.M.M. left, followed later by S.A.D.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1.3 B.L.M.-sexual assaults by E.P.: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While she lived in the P.'s home, B.L.M. was also sexually assaulted by E.P. However these assaults were infrequent and of much less severity than those perpetrated by C.A.H.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most serious assault occurred when B.L.M. was approximately 13 or 14 years of age and, together with L.M.M., had been sent up to Quesnel to stay with E.P. who was building a house. She recalled that while watching the evening news with him, she learned that her natural mother had been killed in a motor vehicle accident. E.P. tried to console her and took her to the bedroom where he lay down with her and tried to masturbate her. She refused to participate and the incident ended when he told her to go to bed.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L.M.M. recalled another occasion in Prince George when E.P. had offered both her and B.L.M. some red wine which they consumed freely. She testified that she awoke in the morning and looked into E.P.'s bedroom area to find B.L.M. naked in the arms of E.P. who was also naked. Although B.L.M. could not recall the incident and S.A.D. (who also visited with both L.M.M. and B.L.M. in Quesnel) had no recollection of the incident, I accept L.M.M.'s evidence that this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B.L.M. also described an incident in which she was called into the H.'s home where both E.P. and C.A.H. were busy constructing a basement bedroom area. She described being lifted onto a wooden plank and both men laughing as they touched her sexually, essentially passing the child between them. Given the general dynamics of that household, the prevalent repressive sexual attitudes and the general relationship between the two adult males, I find it is highly improbable that this incident occurred as B.L.M. has described. While there may well have been some joint playtime man-handling of the child while some construction was underway, but I reject the notion that any sexual misconduct was involved on that occasion.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1.4 S.A.D.-sexual assaults by C.A.H.: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As I noted earlier, the M. children were placed in the P.'s home in January 1969. The children embraced M.P. as their new mother. They considered J.H., their aunt, C.A.H., their uncle, and the H.'s children, their cousins.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E.P. worked in the Quesnel area as a millwright and a machinist, and was rarely home after the move to Prince George. After the H.'s moved to Prince George, C.A.H. obtained employment in the logging industry. While his work still took him away from home, he was home far more frequently than E.P. During his time home, he was frequently in and out of the P.'s home, assisting his mother-in-law and acting as the general handyman about the house. J.H. worked at a local grocery store and later, at a second grocery store in Prince George until her youngest child was born in 1972. In effect, C.A.H. became the "father figure" for his own children as well as the children in the P.'s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 accept S.A.D.'s evidence that she was sexually assaulted by C.A.H. on a number of occasions, although she only specifically recalls two incidents. The most serious incident occurred in the basement of the H.'s home. S.A.D. had been sent to that home to get something. She came around a corner and suddenly C.A.H. came up behind her, held one arm across her abdomen and with his other hand, reached under her underwear and began to rub her vaginal area. There was no digital penetration. She has no further memory of the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In 1995, S.A.D. reported to Dr. O'Shaughnessy that during this incident C.A.H. opened his pant fly, pulled out his penis and rubbed it between her legs in the vaginal area. This detail is no longer part of her memory of the incident. Dr. O'Shaughnessy has opined that S.A.D. has coped in life by suppressing her memories of the abuse.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S.A.D. also recalls being sexually touched by C.A.H. while at Summit Lake. She recalls that he was playing in the water, lifting the children up and throwing them back into the water. As he lifted her, she recalled that he would deliberately touch her vagina on the outside of the bathing suit, causing her to swim away or stop playing the game to avoid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1.5 L.M.M.-sexual assaults by C.A.H.: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L.M.M. was also sexually assaulted by C.A.H. She has three remaining memories of sexual assaults which occurred in the basement of the P.'s home-once in the rumpus room, once near the preserves shelving area and finally in the storage room of the basement, against the freezer. On each occasion C.A.H. came up behind her and put his hand into her underwear and touched her vaginal area. In two instances, he digitally penetrated her. Nothing was said.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When she was interviewed by Dr. O'Shaughnessy in 1995, L.M.M. had much more detailed memories of the sexual assaults. On the occasions when he approached her from behind, she recalled that he held her with one arm and then using the other, grabbed her in the vaginal area and digitally penetrated her. She also recalled that when she tried to get away, he struck her and threatened to tell M.P. She also recalled two episodes of sexual intercourse-one at approximately age 11 in the storage room and the second incident in the bathroom of the P.'s home when he forced her into the shower and raped her. Contrary to the dynamic between B.L.M. and C.A.H., there was no general affection between the two. She told Dr. O'Shaughnessy that she coped with the situation by dissociating - that is thinking of an escapist fantasy activity during the abuse or "tuning out". In this way she was able to shut off her thoughts and feelings and simply lie there as the abused occurred. I accept Dr. O'Shaughnessy's opinion that L.M.M. is suffering from a residual Post-Traumatic Stress Disorder.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2.0 Physical and emotional abuse by M.P.: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There is overwhelming evidence that all of the plaintiffs, as well as all other foster children in the P.'s home, other than J.M., suffered terrible physical and emotional abuse at the hands of M.P. on a daily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Each child was assigned certain daily tasks, beginning in the early morning hours before school. The tasks included mostly outdoor tasks for the boys (milking, feeding of farm animals, cleaning of barn, weeding of garden), indoor domestic tasks for the girls (meal preparation, dishwashing, general housekeeping and laundry) and in the case of B.L.M., a combination of both indoor and outdoor work. The slightest failure to perform work to M.P.'s exacting standards, whether real or perceived, resulted in punishment. Her methods of discipline were cruel, unusual and degrading.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Any lying (real or perceived), bad language or talking back resulted in the "Tabasco treatment"-that is drops of Tabasco sauce were placed on the child's lips and tongue, resulting in blistering of the lips and mucosal tissue. The Tabasco treatment was often combined with the kneeling punishment-kneeling on the floor of the kitchen, against the wall between the stove and fridge, and being forced to hold one's arms outstretched for lengthy periods of time. If a child moved or attempted to lower his or her arms, Ms. P. would strike their heads.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 physical punishments consisted of any manner of violence-being pulled about the house by the hair and being slapped, kicked, punched. The beatings were often administered with whatever object was at hand- a willow stick, a lathe strap, a wooden spoon, a belt-but perhaps most prominent and feared in the repertoire of instruments was the Hot Wheel Track, a flexible plastic track piece with ridges on one side. The guilty child was beaten with the track, often against a naked buttocks or legs, leaving welts. Sometimes the child was made to spell out the act for which he or she was being punished.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 beatings were administered openly before the other children. If a child was not the object of M.P.'s fits of violence, then he or she was forced to participate or watch harm being inflicted on the other children. The beatings continued well into the pubescent period. Each of the plaintiffs recalled being beaten on their bare buttocks before the male foster children, exposing their buttocks and pubic hair to their view. Many of the beatings were not precipitated by any alleged cause of the children's behaviour.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 P.'s quarrelled about M.P.'s disciplinary methods. From time to time, he attempted unsuccessfully to intervene and to stop her. He was unable to control her violent temper or to effect any reduction in the harshness or cruelty of her methods. When he was home, some of her venom was directed at him as well as she screamed and swore at him and regularly called him a pig. He appears to have coped with the situation by simply withdrawing and essentially establishing a separate life in a different town, away from the cruel household which his wife ruled.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Perhaps worse than the physical abuse was the emotional abuse inflicted on the children. Each of the plaintiffs was a vulnerable child who looked to M.P. as a source of maternal affection and nurturing. Not only was there no affection shown, but M.P. went further and actively undertook a campaign of denigration. She told B.L.M. she had "big ugly horse teeth" and "crow's feet", referring to her large feet. She told her she laughed like a horse and had a horse's tail (referring to her ponytail). Public humiliation was also inflicted. When B.L.M. rebelled against M.P. taking all of her babysitting money by taking back $10 from her purse, M.P. revealed the theft to her teachers and told them B.L.M. was a thief and not to be trusted. I have already referred to the theft of the rings and her humiliation at the school.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She regularly called all of the children names-stupid, useless, pigs, whores.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She told B.L.M. that her mother had not wanted her, implying that there was something about her which warranted the parental alienation.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She regularly made derogatory comments about the M. girls' mother and relatives-describing them as "squaws" or "drunken Indians". These racist comments extended to B.L.M. as well. Indeed, until recently, B.L.M. was under the impression she was also part Aboriginal.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 Ministry of the Children files clearly underscore the social workers' concerns about M.P.'s negative remarks concerning the M.'s children's parents and relatives, which remarks were made in the presence of the children. I am satisfied that this attitude was very prevalent in the P.'s household and that much the same views were at least held, if perhaps not openly expressed, by J.H.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M.P. worked to undermine the relationships between the children themselves. The children were isolated from others outside the family and also alienated from each other. M.P. fostered conflict between the foster children, particularly between the foster girls. As noted, she ensured each child witnessed the punishment of another and sometimes they were invited to strike the other child during a beating. On one occasion, S.A.D. was forced to scrub her younger brother R.M.'s extremely chapped hands with a brush. The children were sometimes made to participate in humiliating a child who was being punished. Once, M.P. found a soiled sanitary napkin in some inappropriate disposal area, blamed B.L.M. for the infraction and then pinned the napkin across the lower half of her face and called on all the other children to watch and join in ridiculing her. Despite his denials, I find that an incident occurred in which R.S. audibly passed gas in company and was forced to wear a baby's diaper. All of the children were forced to join in ridiculing him. The children were regularly conscripted by M.P. to tattle or "rat" on the others. No child could trust another. No child would confide in another.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All of the defence witnesses conceded that M.P. was indeed a strict disciplinarian. Defence counsel characterized her disciplinary methods as "swift, sure and uncompromising." However he submitted that "short of inflicting physical or mental injury, that is a parent or foster parent's responsibility". The defence witnesses each rejected the plaintiffs' evidence of a household where there was unremitting corporeal punishment and emotional abuse. Instead, they have painted the picture of M.P., largely living as a single parent, attempting to operate a foster home with 6-10 children of various ages. They say that to accomplish this end, M.P. followed a strict disciplinary code meting out punishments on a graduated scale, varying with the severity of the infraction. At the lowest end were verbal reprimands and at the highest end, a spanking or the placement of a drop of soap or hot sauce on the tongue. They dispute the plaintiffs' evidence concerning the severity and regularity of the punishments inflicted and say the plaintiffs have exaggerated their evidence in the extreme.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Having seen and heard the witnesses' testify, I have concluded that there was a very clear division in the treatment of the children in the two households. The H.'s children fell under their own parents' control-a strict but relatively benevolent regime, with little or no corporeal punishment. From time to time, when they were in the P.'s home, the H.'s children were subject to the same punishments as the foster children-most particularly the kneeling or hot sauce punishments-which, tellingly, neither C.A.H. or J.H. were even aware of before these proceedings. However none of them was ever subject to a beating. Nor were any of them subject to the degrading, humiliating punishments meted out daily to the foster children. Clearly, for M.P., the foster children fell into a very different category and deserved very different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While the defence witnesses universally adopted the theme that the two households were like one big, happy family, in and out of each other's houses, happily playing together and enjoying normal childhood activities, I formed the distinct impression that instead, there was a bright dividing line there. While there were play times together, the foster children nevertheless carried a much heavier load of chores. Further, after the children reached pubescence, the contact between the foster children and the H.'s children was strictly supervised and controlled. As I noted earlier, the H.'s home was off limits to the foster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The H. adults, particularly J.H., regularly argued with M.P. about the risks which the foster children posed. She was convinced that the foster girls were encouraging sexual misadventures with her sons and pleaded with her mother to arrange for new placements for the girls. She had very strong negative views about the M. children's aboriginal relatives and the possibility that the children themselves would fall into drunken, truant behaviour. M.P. could not be persuaded to give up the children. I infer that the foster placements had become a regular, dependable source of income, not to be lightly given 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Perhaps most significantly, although each of the H.'s children espoused some close relationship with the foster girls, not one of them had any clear idea or explanation of the circumstances which had led to their departures from the P.'s household. I have formed the clear impression that their purported closeness to the foster children is much exaggerated and I am unable to attach much, if any weight, to their evidence concerning their grandmother's parenting style nor the general circumstances in the P.'s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Limitation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The action was commenced on May 25, 1993. At that point B.L.M. was 34, L.M.M. was 33 and S.A.D. was 31.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xml:space="preserve">  The defence position is that the plaintiffs' claims brought against the estate of M.P. for damages for physical and emotional abuse ought to be dismissed, since they are statute-barred, not having been commenced within two years of each plaintiff having reached the age of majority. The defence position is that the two year limitation period set out in s. 3(2) of the Limitation Act, </w:t>
      </w:r>
      <w:hyperlink r:id="rId73" w:history="1">
        <w:r>
          <w:rPr>
            <w:rFonts w:ascii="arial" w:eastAsia="arial" w:hAnsi="arial" w:cs="arial"/>
            <w:i/>
            <w:color w:val="0077CC"/>
            <w:sz w:val="20"/>
            <w:u w:val="single"/>
            <w:shd w:val="clear" w:color="auto" w:fill="FFFFFF"/>
            <w:lang w:val="en-US" w:eastAsia="en-US" w:bidi="ar-SA"/>
          </w:rPr>
          <w:t>R.S.B.C. 1996, c. 226</w:t>
        </w:r>
      </w:hyperlink>
      <w:r>
        <w:rPr>
          <w:rFonts w:ascii="arial" w:eastAsia="arial" w:hAnsi="arial" w:cs="arial"/>
          <w:color w:val="000000"/>
          <w:sz w:val="20"/>
          <w:lang w:val="en-US" w:eastAsia="en-US" w:bidi="ar-SA"/>
        </w:rPr>
        <w:t xml:space="preserve"> ("the Act") applies to these claims for damages arising from physical assaults, subject to s. 7 of the Act, which provides that the limitation period does not begin to run until each plaintiff reaches the age of majority. Thus the defence position is that in the case of B.L.M., L.M.M. and S.A.D., the limitation period expired in May 1980, January 1981 and August 1982 respectively.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The plaintiffs' position is that they are entitled to a postponement of the limitation period until 1993 by virtue of the provisions of s. 6(3)(4) and (5) of the Act. Section 6(3) provides:</w:t>
      </w:r>
      <w:r>
        <w:rPr>
          <w:rFonts w:ascii="arial" w:eastAsia="arial" w:hAnsi="arial" w:cs="arial"/>
          <w:sz w:val="20"/>
          <w:lang w:val="en-US" w:eastAsia="en-US" w:bidi="ar-SA"/>
        </w:rPr>
        <w:cr/>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running of time with respect to the limitation periods set by this Act for any of the following actions is postponed as provided in subsection (4):</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for personal injury;</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for damage to property;</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for professional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based on fraud or deceit;</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which material facts relating to the cause of action have been wilfully concealed;</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for relief from the consequences of a mistake;</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brought under the Family Compensation Act;</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for breach of trust not within subsection (1).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Sections 6(4) and (5) provide:</w:t>
      </w:r>
      <w:r>
        <w:rPr>
          <w:rFonts w:ascii="arial" w:eastAsia="arial" w:hAnsi="arial" w:cs="arial"/>
          <w:sz w:val="20"/>
          <w:lang w:val="en-US" w:eastAsia="en-US" w:bidi="ar-SA"/>
        </w:rPr>
        <w:cr/>
      </w:r>
    </w:p>
    <w:p>
      <w:pPr>
        <w:numPr>
          <w:numId w:val="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Time does not begin to run against a plaintiff with respect to an action referred to in subsection (3) until the identity of the defendant is known to the plaintiff and those facts within the plaintiff's means of knowledge are such that a reasonable person, knowing those facts and having taken the appropriate advice a reasonable person would seek on those facts, would regard those facts as showing that</w:t>
      </w:r>
    </w:p>
    <w:p>
      <w:pPr>
        <w:numPr>
          <w:numId w:val="4"/>
        </w:numPr>
        <w:tabs>
          <w:tab w:val="num" w:pos="1840"/>
          <w:tab w:val="clear" w:pos="220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an action on the cause of action would, apart from the effect of the expiration of a limitation period, have a reasonable prospect of success, and</w:t>
      </w:r>
    </w:p>
    <w:p>
      <w:pPr>
        <w:numPr>
          <w:numId w:val="4"/>
        </w:numPr>
        <w:tabs>
          <w:tab w:val="num" w:pos="1840"/>
          <w:tab w:val="clear" w:pos="220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person whose means of knowledge is in question ought, in the person's own interests and taking the person's circumstances into account, to be able to bring an action.</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For the purpose of subsection (4),</w:t>
      </w:r>
    </w:p>
    <w:p>
      <w:pPr>
        <w:numPr>
          <w:numId w:val="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"appropriate advice", in relation to facts, means the advice of competent persons, qualified in their respective fields, to advise on the medical, legal and other aspects of the facts, as the case may require,</w:t>
      </w:r>
    </w:p>
    <w:p>
      <w:pPr>
        <w:numPr>
          <w:numId w:val="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"facts" include</w:t>
      </w:r>
    </w:p>
    <w:p>
      <w:pPr>
        <w:numPr>
          <w:numId w:val="7"/>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existence of a duty owed to the plaintiff by the defendant, and</w:t>
      </w:r>
    </w:p>
    <w:p>
      <w:pPr>
        <w:numPr>
          <w:numId w:val="8"/>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a breach of a duty caused injury, damage or loss to the plaintiff,</w:t>
      </w:r>
    </w:p>
    <w:p>
      <w:pPr>
        <w:numPr>
          <w:numId w:val="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if a person claims through a predecessor in right, title or interest, the knowledge or means of knowledge of the predecessor before the right, title or interest passed is that of the first mentioned person, and</w:t>
      </w:r>
    </w:p>
    <w:p>
      <w:pPr>
        <w:numPr>
          <w:numId w:val="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if a question arises about the knowledge or means of knowledge of a deceased person, the court may have regard to the conduct and statements of the deceased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xml:space="preserve">  The defence submits, relying on the decision of Lowry J. in H.(J.) v. B.C. </w:t>
      </w:r>
      <w:hyperlink r:id="rId74" w:history="1">
        <w:r>
          <w:rPr>
            <w:rFonts w:ascii="arial" w:eastAsia="arial" w:hAnsi="arial" w:cs="arial"/>
            <w:i/>
            <w:color w:val="0077CC"/>
            <w:sz w:val="20"/>
            <w:u w:val="single"/>
            <w:shd w:val="clear" w:color="auto" w:fill="FFFFFF"/>
            <w:lang w:val="en-US" w:eastAsia="en-US" w:bidi="ar-SA"/>
          </w:rPr>
          <w:t>[1998] B.C.J. No. 2926</w:t>
        </w:r>
      </w:hyperlink>
      <w:r>
        <w:rPr>
          <w:rFonts w:ascii="arial" w:eastAsia="arial" w:hAnsi="arial" w:cs="arial"/>
          <w:color w:val="000000"/>
          <w:sz w:val="20"/>
          <w:lang w:val="en-US" w:eastAsia="en-US" w:bidi="ar-SA"/>
        </w:rPr>
        <w:t xml:space="preserve"> (S.C.), that none of the plaintiffs can rely on s. 6(3) of the Act since each plaintiff knew the identity of the defendant and can be presumed to have been a "reasonable person" well able to have taken "appropriate advice" prior to 1993. Defence counsel notes that B.L.M. successfully advanced a claim to the Criminal Injury Compensation Board in 1991 (See Exhibit 1, Tab 19). Further he notes that as early as 1994, L.M.M. reported to the Bathhurst Community Mental Health Service that she was brought up in a household that was "terrible-very strict". He notes that S.A.D., although perhaps of all the plaintiffs, in the best emotional state and best able to assess her situation, did nothing until 1988 to pursue any complaints against M.P. He says that even then, her primary motive was to seek revenge for what she perceived to M.P.'s responsibility for her brother R.M.'s death, and not to report allegations of any assaults upon herself.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xml:space="preserve">  Relying on the decision of the Supreme Court of Canada in Novak v. Bond </w:t>
      </w:r>
      <w:hyperlink r:id="rId75" w:history="1">
        <w:r>
          <w:rPr>
            <w:rFonts w:ascii="arial" w:eastAsia="arial" w:hAnsi="arial" w:cs="arial"/>
            <w:i/>
            <w:color w:val="0077CC"/>
            <w:sz w:val="20"/>
            <w:u w:val="single"/>
            <w:shd w:val="clear" w:color="auto" w:fill="FFFFFF"/>
            <w:lang w:val="en-US" w:eastAsia="en-US" w:bidi="ar-SA"/>
          </w:rPr>
          <w:t>[1999] 1 S.C.R. 808</w:t>
        </w:r>
      </w:hyperlink>
      <w:r>
        <w:rPr>
          <w:rFonts w:ascii="arial" w:eastAsia="arial" w:hAnsi="arial" w:cs="arial"/>
          <w:color w:val="000000"/>
          <w:sz w:val="20"/>
          <w:lang w:val="en-US" w:eastAsia="en-US" w:bidi="ar-SA"/>
        </w:rPr>
        <w:t>, the defence says that the plaintiffs must at least provide some evidentiary foundation for the Court to invoke the postponement provisions in the Act, evidence which the defence submits has not been led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I should note here that as a result of the enactment of section 3(3)(k) of the Act, R.S.B.C., 1979, c. 236, as amended by S.B.C. 1992 c. 44, the Court is no longer required to assess whether a victim of sexual abuse has brought his or her action in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The plaintiffs say that due to the obtuse language of s. 6(4), the relative novelty of adult survivors seeking legal remedies for childhood abuse, and the complex nature of the injuries sustained by these individuals, the application of the postponement provisions of the Act to historical abuse cases is difficult.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xml:space="preserve">  Ms. Stowe, counsel for the plaintiffs, submits that the appropriate test for determining whether a limitation period has expired in these cases is the same test that was initially applied by the Court to sexual abuse cases prior to the enactment of s. 3(3)(k) of the Act (Gray v. Reeves, </w:t>
      </w:r>
      <w:hyperlink r:id="rId68" w:history="1">
        <w:r>
          <w:rPr>
            <w:rFonts w:ascii="arial" w:eastAsia="arial" w:hAnsi="arial" w:cs="arial"/>
            <w:i/>
            <w:color w:val="0077CC"/>
            <w:sz w:val="20"/>
            <w:u w:val="single"/>
            <w:shd w:val="clear" w:color="auto" w:fill="FFFFFF"/>
            <w:lang w:val="en-US" w:eastAsia="en-US" w:bidi="ar-SA"/>
          </w:rPr>
          <w:t>(1992) 89 D.L.R. (4th) 315</w:t>
        </w:r>
      </w:hyperlink>
      <w:r>
        <w:rPr>
          <w:rFonts w:ascii="arial" w:eastAsia="arial" w:hAnsi="arial" w:cs="arial"/>
          <w:color w:val="000000"/>
          <w:sz w:val="20"/>
          <w:lang w:val="en-US" w:eastAsia="en-US" w:bidi="ar-SA"/>
        </w:rPr>
        <w:t xml:space="preserve">, (B.C.S.C); M.(K.) v. M.(H.), </w:t>
      </w:r>
      <w:hyperlink r:id="rId76" w:history="1">
        <w:r>
          <w:rPr>
            <w:rFonts w:ascii="arial" w:eastAsia="arial" w:hAnsi="arial" w:cs="arial"/>
            <w:i/>
            <w:color w:val="0077CC"/>
            <w:sz w:val="20"/>
            <w:u w:val="single"/>
            <w:shd w:val="clear" w:color="auto" w:fill="FFFFFF"/>
            <w:lang w:val="en-US" w:eastAsia="en-US" w:bidi="ar-SA"/>
          </w:rPr>
          <w:t>(1992) 96 D.L.R. (4th) 289</w:t>
        </w:r>
      </w:hyperlink>
      <w:r>
        <w:rPr>
          <w:rFonts w:ascii="arial" w:eastAsia="arial" w:hAnsi="arial" w:cs="arial"/>
          <w:color w:val="000000"/>
          <w:sz w:val="20"/>
          <w:lang w:val="en-US" w:eastAsia="en-US" w:bidi="ar-SA"/>
        </w:rPr>
        <w:t xml:space="preserve"> (S.C.C.))-that is the common law discoverability rule. The running of time against the plaintiff cannot commence "before the existence of the cause of action is reasonably discoverable. To determine when the running of time should commence....the court is generally directed to consider the actions of a reasonable person in the particular plaintiff's circumstances". (Novak v. Bond, supra at page 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xml:space="preserve">  In V.(J.L.) v. H.(P.) </w:t>
      </w:r>
      <w:hyperlink r:id="rId77" w:history="1">
        <w:r>
          <w:rPr>
            <w:rFonts w:ascii="arial" w:eastAsia="arial" w:hAnsi="arial" w:cs="arial"/>
            <w:i/>
            <w:color w:val="0077CC"/>
            <w:sz w:val="20"/>
            <w:u w:val="single"/>
            <w:shd w:val="clear" w:color="auto" w:fill="FFFFFF"/>
            <w:lang w:val="en-US" w:eastAsia="en-US" w:bidi="ar-SA"/>
          </w:rPr>
          <w:t>(1997) 31 B.C.L.R. (3d) 155</w:t>
        </w:r>
      </w:hyperlink>
      <w:r>
        <w:rPr>
          <w:rFonts w:ascii="arial" w:eastAsia="arial" w:hAnsi="arial" w:cs="arial"/>
          <w:color w:val="000000"/>
          <w:sz w:val="20"/>
          <w:lang w:val="en-US" w:eastAsia="en-US" w:bidi="ar-SA"/>
        </w:rPr>
        <w:t xml:space="preserve"> (S.C.); affirmed </w:t>
      </w:r>
      <w:hyperlink r:id="rId78" w:history="1">
        <w:r>
          <w:rPr>
            <w:rFonts w:ascii="arial" w:eastAsia="arial" w:hAnsi="arial" w:cs="arial"/>
            <w:i/>
            <w:color w:val="0077CC"/>
            <w:sz w:val="20"/>
            <w:u w:val="single"/>
            <w:shd w:val="clear" w:color="auto" w:fill="FFFFFF"/>
            <w:lang w:val="en-US" w:eastAsia="en-US" w:bidi="ar-SA"/>
          </w:rPr>
          <w:t>(1998) 109 B.C.A.C. 165</w:t>
        </w:r>
      </w:hyperlink>
      <w:r>
        <w:rPr>
          <w:rFonts w:ascii="arial" w:eastAsia="arial" w:hAnsi="arial" w:cs="arial"/>
          <w:color w:val="000000"/>
          <w:sz w:val="20"/>
          <w:lang w:val="en-US" w:eastAsia="en-US" w:bidi="ar-SA"/>
        </w:rPr>
        <w:t xml:space="preserve"> (C.A.), Stromberg-Stein J. applied the Gray test in determining whether the cause of action of a woman, who had been both physically and sexually abused as a child, was statute barred. She found that the physical abuse was linked with the sexual abuse in the assessment of the cause of action. She found it was not until some two years after undergoing therapy that the plaintiff first began to reveal details of the abuse. She held that it was not until 1993 that "she was in a position, with medical assistance, to realize the nexus between the accused's wrongful conduct and the nature and extent of her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xml:space="preserve">  A similar case was dealt with by the Court of Appeal in B. (K.L.) v. British Columbia </w:t>
      </w:r>
      <w:hyperlink r:id="rId79" w:history="1">
        <w:r>
          <w:rPr>
            <w:rFonts w:ascii="arial" w:eastAsia="arial" w:hAnsi="arial" w:cs="arial"/>
            <w:i/>
            <w:color w:val="0077CC"/>
            <w:sz w:val="20"/>
            <w:u w:val="single"/>
            <w:shd w:val="clear" w:color="auto" w:fill="FFFFFF"/>
            <w:lang w:val="en-US" w:eastAsia="en-US" w:bidi="ar-SA"/>
          </w:rPr>
          <w:t>(2001) 197 D.L.R. (4th) 431</w:t>
        </w:r>
      </w:hyperlink>
      <w:r>
        <w:rPr>
          <w:rFonts w:ascii="arial" w:eastAsia="arial" w:hAnsi="arial" w:cs="arial"/>
          <w:color w:val="000000"/>
          <w:sz w:val="20"/>
          <w:lang w:val="en-US" w:eastAsia="en-US" w:bidi="ar-SA"/>
        </w:rPr>
        <w:t>. There the plaintiffs had also suffered both physical and sexual abuse in a foster home. Three years before the commencement of the action, two of the plaintiffs had met with a lawyer regarding their civil remedies. Three years before the commencement of the action, all four plaintiffs wrote a letter to the Ministry of Social Services requesting financial compensation, including payment for counselling. The trial judge held that the plaintiffs' cause of action was nevertheless not statute barred by the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The decision was reversed on appeal on the limitation issue, the Court finding that by 1991 at the latest, and probably by 1987, the plaintiffs knew all of the facts within s. 6(5)(b) and that any reasonable person, knowing those facts, would know he had some reasonable prospect of success and ought to have brought an action. In the decision Mackenzie J.A. comments on the Court's earlier decision in V.(J.L.) and concludes at [paragraph] 48: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opinion, the case stands for the proposition that in cases of combined sexual and physical abuse caused by the same defendant the court should not give a generous ambit to s. 6(3)(k). There is no obligation to attempt to make fine distinctions between the two categories for limitation periods in such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I agree with Ms. Stowe that this comment by the Court is obiter dicta and cannot be interpreted in a manner contrary to the principles set out in Novak, supra. Specifically, as plaintiffs' counsel has submitted: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cannot be interpreted to preclude the postponement of a limitation period in circumstances where one person in a position of trust and authority in a family unit severely physically abused a child concurrently with another adult in the same family committing sexual assaults against the child, causing concurrent psychological damage and/or aggravating the damage caused by the wrongful actions of the other. The subjective/objective test requires that a limitation defence be considered within the context of the particular facts in a given case from the perspective of a reasonable person in the circumstances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I find the evidence of Dr. O'Shaughnessy establishes that the injuries sustained by each of the plaintiffs as a result of the physical abuse by M.P. and those suffered as a result of the sexual abuse perpetrated by the other defendants were effectively conjoined. In these circumstances, I conclude that the approach taken in Gray and M.(K.) is indeed the test to be applied here in determining when the limitation period begins to run with respect to the cause of action of each plaintiff against M.P. I find that the limitation period did not begin to run until each plaintiff acquired an awareness, which only materialized when she received some form of therapeutic assistance, either professionally or in the general community.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In this case, B.L.M. did not even begin therapy until January 1991. Even by 1992 (Exhibit V, Tab 14) her therapist was continuing to attempt to establish a trusting therapeutic relationship with her. The O'Shaughnessy report of October 1995 outlines "the challenges B.L.M. faces in her attempts to understand the ways in which she was harmed by the physical and sexual abuse in the P.'s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Although S.A.D. sought some therapy in 1985 and 1988, it was not until after she began to see Mr. Thompson in 1992 that she started to break through her rage, depression, and self-isolation and talk about what happened to her in the P.'s home in an honest, open manner. Even by October 1995, Dr. O'Shaughnessy found her to be "an angry and very emotionally distant and constricted woman who has never been able to trust others so as to feel comfortable in dealing with psychologically or emotionally intimate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As to L.M.M., the therapy process had not yet begun. As Dr. O'Shaughnessy has noted, her pattern of raging and running and stopping briefly to obtain some crisis counselling is likely to continue unless she obtains some significant medical intervention.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In all of these circumstances, I find that the plaintiffs' cause of action against M.P. was indeed brought within the limitation period, having regard to s. 6(3) of the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B.L.M.: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The evidence overwhelmingly supports the conclusion that B.L.M. has suffered deep psychological injuries as a result of the physical and sexual abuse suffered at the hands of the defendants. She was a child starved for affection and love and perceived C.A.H's sexual assaults as confirmation of his affection for her. He effectively became her ally in the face of the emotional and physical abuse committed by M.P. As Dr. O'Shaughnessy notes in his report of October 30, 1985: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B.L.M.'s childhood world, she perceived herself as evil and unwanted and this was constantly reinforced by the emotional abuse by M.P. who criticized her on a frequent basis with demeaning statements regarding her appearance and behaviour that certainly would have caused severe difficulties in any child experiencing such abuse. Her statements that she perceived herself solely as a sexual object and in fact traded this for emotional warmth and affection from C.A.H. is certainly understandable in those circumstances and ...is well described in the experiences of survivors of sexual abuse.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Ms. Alison Armstrong, the social worker who worked with her in September 1974 noted that even at the age of 15 years, B.L.M. had a deep-set negative image. As she noted: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She expects to be criticized and apologizes continuously and needlessly. She expects people to dislike her and is most critical of others as well as herself. She expresses dislike for the P.'s family and at the same time (she) has a lot of guilt feelings about letting M.P. down by leaving that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Since leaving the P.'s home, B.L.M. has led a chaotic life, initially engaging in a sexual relationship with her new foster father in the H. (J. and F.) household and then a further series of promiscuous encounters with residents in a group home. Beginning at the age of 17, she has been involved in a series of domestic relationships, all involving older, controlling males who were both physically and emotionally abusive towards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Fortunately, despite continuing episodes of depression and periods of intense anger and rage, she has managed to sustain an ongoing spousal-like relationship with her current partner, Mr. W., since 1996. She described him as a "very caring, very dependable" individual who she trusts and feels safe with. He has not been abusive towards her and has supported her financially and emotionally over the past seven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While they apparently remain committed to each other, it is clear that neither of them is happy with their obviously dysfunctional relationship. He appears to understand the depth of her dependency on him and tolerates her depression and rages and their frequent arguments. She clearly trusts him and depends on him but feels incapable of having a full meaningful relationship with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Her interpersonal skills are very poor due to lack of self-worth and confidence. While she has relied on alcohol to be social in the past, she now relies on marijuana. In recent years, she has become increasingly isolated from others. The relationship with her only close friend, Ms. Van Veen, deteriorated and eventually ended in 1999. She has often fought or argued with employers or supervisors in the workplace. When she attended a local college for an upgrading course, she experienced acute anxiety in the classroom setting. If she was required to do a presentation in front of the class, she experienced severe anxiety.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Since 1991, she has been involved in seeking medical treatment and counselling for her psychological problems. Her initial medical treatment was followed by an attendance at the E.S.C.A.P. and Victim Assistance Program in Abbotsford. This led to her referral to Annette Kasahara, a counsellor specializing in therapy for victims of childhood abuse. I am satisfied that throughout her therapy sessions, Ms. Kasahara has applied a proper therapeutic method and that she has not done or said anything to create or plant in B.L.M. any false memories of her past.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In his 1995 report, Dr. O'Shaughnessy addressed the nature of the trauma suffered in B.L.M.'s case and concluded: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evident that she would be on the severe end of the spectrum of trauma. Notably, she was severely sexually abused on a frequent basis over a long period of time, including vaginal penetration. These traits generally predict for worse outcome compared to those individuals who are abused for a short period of time and in which there is no penetration. Secondly, the abuse occurred in an atmosphere of severe fright and other traumas, including what I would consider ...moderate to severe physical abuse and severe emotional abuse. The evidence of recent studies indicates that when these situations are combined, ie. physical plus sexual abuse, that there is a significantly higher rate of negative outcome or psychological dysfunction. Overall, I would consider the extent of the traumatic variables in her situation to be severe and likely to induce significant psychological damages in the vast majority of individuals experiencing such trauma.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At page 12 of the report, he summarizes the effect of the abuse on her sense of self:</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Notably she is unable to trust others, but more importantly has impairment in feeling confident about herself or indeed even appreciating or liking herself, such that she continues to perceive herself as impaired, unwanted, and unloveable. This generally is associated with accompanying rage and as a result intrudes in any kind of interpersonal relationship that may develop subsequently. Such women, like Ms. Marshall, often perceive themselves in such a manner that they subsequently engage in abusive relationships with men as they unconsciously feel they are unworthy of any mutually satisfying relationship. They are unduly sensitive to any type of rejection or criticism and generally display very profound dependency needs that when unmet produce considerable rage responses that again interfere with interpersonal relationships.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As at October 1995, Dr. O'Shaughnessy opined that she suffered from a number of serious psychiatric disorders, including clinical anxiety with social phobias, panic attack, anticipatory anxiety and very impaired self-esteem and self-confidence. In addition, he diagnosed her as suffering a severe personality disorder, which impaired her interpersonal relationships, her sense of self worth and her vocational abilities. He concluded that the vast majority of her psychological difficulties were a direct causation of the combined effects of the physical and emotional abuse and the sexual abuse. Hs also concluded that she suffered from severe sexual dysfunction and that this was directly attributable to the sexual abuse inflicted by C.A.H.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B.L.M. was reassessed by Dr. O'Shaughnessy in October 2000. At that time, he concluded: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the current time she does not show any signs or symptoms of any major psychiatric disorder such as a Mood Disorder, Anxiety Disorder, or Post Traumatic Stress Disorder. She does, however show significant psychological dysfunction with ongoing impairment in personality functioning and in particular in self-image and self-esteem as well as marked shame and guilt over he past sexual abuse and resultant behaviours. She continues to have interpersonal difficulties with fears of rejection while also longing for acceptance and nurturance.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He also concluded, given the dynamics of her relationship with Mr. W., that she continued to suffer from a significant sexual dysfunction.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Relying upon the plaintiff's own evidence of her personal history since leaving the P.'s home, combined with the opinions expressed in Dr. O'Shaughnessy's reports, I find this plaintiff has clearly established on a balance of probabilities that she has suffered some considerable psychological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At least on the surface, S.A.D.'s journey following her departure from the P.'s home, appears to have been a far more stable one than that of her natural sister L.M.M. and her foster sister, B.L.M. S.A.D. married young, raised several children, sought and obtained responsible employment and has remained in a stable, ongoing marriage for many years. However the evidence reveals that her life has been marked by deep depressions, suicidal attacks, sexual dysfunction, lack of intimacy with her husband and children-all of which have come very close to destroying the family which she relies on for her day-to-day strength and functioning.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After running away from the P.'s home, she resided for a period with her sister and brother-in-law in Kinuso, Alberta and then began to date and live with T.D. She was 14 years of age. He was seven years her senior. They moved onto his family homestead in Faust, Alberta and married when she was 18-years-old.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The couple fell into a very traditional marriage, with him working in the oilfields and her working in the home as a homemaker. Within 2-3 years of marriage, she began to tell him about the physical abuse she had endured in the P.'s home. These recountings caused her much anxiety and stress and caused her to go into rages. She refused to discuss the matter in any depth with her husband or to seek help.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Increasingly, she abused marijuana to the extent it impaired her ability to care for the children. Only when faced with the threat of her husband leaving and taking the children, did she stop smoking marijuana. However she became constantly depressed and anxious, constantly crying, unable to be intimate with her children, and then finally being physically abusive towards her second daughter. Matters escalated to the point this child was removed by the local Social Services for a period. She began to have suicidal ideation, called a Hotline number and was connected with Alberta Health.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She began to receive counselling in August 1985. Her expression of suicidal ideation led to a three-week hospitalization at the High Prairie Regional Hospital in October 1985. The notes recorded by her during that stay indicate the deep-rooted, severe psychological problems she was then confronting. Despite some intense therapy, she remained largely unwilling to share her abusive experiences. However by the end of the stay, she apparently had progressed to the point that she no longer perceived herself as inherently worthless and having deserved the treatment she had suffered.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She told Dr. O'Shaughnessy she did not continue with this therapy because of her inability to cope with the depression, rage, and anxiety caused by having to recall and review the history of abuse. In any case, her therapist was directed to focus on her present marital difficulties and not on her past.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S.A.D. continued to try to cope with her problems with varying success in the 1980's, but suffered a profound depression following her brother R.M.'s death in July 1988. Since she was the last of the two sisters to leave the P.'s, she saw herself as having abandoned R.M., the youngest sibling, who was left alone to contend with M.P.'s abuse. Her brother's death brought back all the painful memories of the abuse. She attended further therapy with her previous therapist from July 1988 until November 1988. It was not until following R.M.'s death, that S.A.D. disclosed, for the first time, the sexual abuse by C.A.H. Her husband T.D. had difficulty dealing with this disclosure and told her to get some counselling. She sought no further counselling until July 1992, when she began to see a Dr. David Thompson, a psychologist with Alberta Mental Health. At that time, her two eldest daughters were also suffering from psychological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In October 1992, she was admitted to a hospital in Grand Prairie, following a suicide attempt prompted by a conflict with her second daughter. She was released on condition that she would pursue counselling through Alberta Mental health. At this time, she began therapy on a regular basis with Dr. Thompson.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The first report of S.A.D. providing a mental health professional with details of the physical, emotional, and sexual abuse in the P.'s home is recorded in Dr. Thompson's notes of November 17, 1992. He counselled her husband to remove any hunting rifles from the family home, fearing a possible future suicide attempt. In December 1992, she met with legal counsel to discuss a potential lawsuit.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She persisted with the therapy sessions with Dr. Thompson until June 1993, all the while making further disclosure. She has received no further therapy since that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Relying on Dr. O'Shaughnessy opinion, I am satisfied that S.A.D. has suffered a variety of psychological and psychiatric injuries as a result of the physical, emotional and sexual abuse endured while a foster child in the P.'s home. He opined in his report of October 1995, at pages 7-9: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Diagnostically S.A.D. has a number of disorders, with evidence of recurrent Mood Disorders as well as underlying Personality Disorders and sexual dysfunctioning. I would also be of the opinion that she has symptoms of Residual Post-Traumatic Stress Disorder in which she continues to experience recurrent and intrusive memories of the sexual abuse and as well has quite profound avoidance symptoms and sexual dysfunction commonly seen in such patients.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She affirmed some symptoms of Post-Traumatic Stress Disorder, including recurrent and intrusive memories of sexual abuse, especially when reminded of the activities, and brooding and resentment over the past difficulties as well as avoidance of sexual activity and inability to enjoy intimacy physically or emotionally.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Overall, I would regard the extent of the physical and emotional abuse as being in the severe end of the spectrum, with only those cases in which there is serious physical injury and/or head injury being more severe than experienced by S.A.D.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Interestingly, in Dr. O'Shaughnessy's opinion, not only was S.A.D. injured by being sexually abused by C.A.H., she and her sister also suffered harm from witnessing the sexual acts between B.L.M. and C.A.H. At page 9 of his October 1995 report, Dr. O'Shaughnessy provides his opinion as to the severity and causation of the psychological problems of S.A.D. based on his diagnosis: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would also appear that S.A.D. and her sister, L.M.M., were exposed to the abuse by C.A.H. on B.L.M., and this too would factor in to the effect this type of abuse would have on them. I would rate the severity of the sexual abuse she experienced as in the moderate degree of severity based on the above variables.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Despite her involvement in therapy, at the time of her assessment by Dr. O'Shaughnessy in 1995, S.A.D. continued to suffer from a sort of emotional paralysis, which prevented her from forming close intimate relationships, including one of a sexual nature. This paralysis, in the opinion of Dr. O'Shaughnessy, was directly attributable to the physical and sexual abuse of S.A.D. in the P.'s home. At pages 9 and 10, Dr. O'Shaughnessy comments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[s]he remains an angry and very emotionally distant and constricted woman who has never been able to trust others for feel comfortable in dealing with psychologically or emotionally intimate issues. This has affected her relationships greatly, not only with her husband but also with her daughters where there is a great deal of ongoing conflict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described above, S.A.D. presents with ongoing and severe sexual dysfunction. At this point, she has not addressed this psychotherapy as every time she does it raised unpleasant memories that cause her considerable distress. This avoidance phenomena is quite commonly seen in Post-Traumatic Stress Disorders in which the individual may intellectually be aware that they need to deal with the fears and the distressed feelings but cannot face them due to the severity of the anxiety and distress it provokes. When I telephoned her following my interview with her it was evident that the interview itself was extremely distressing and she had a great deal of anxiety symptoms for a number of days after my interview with her. In large measure this is common in sexual abuse victims in which an independent examination demands that you cover some of the issues that the patients wish to avoid and in doing so it causes them considerable anxiety symptoms which fits into the pattern described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S.A.D. was also reassessed by Dr. O'Shaughnessy in October 2000. Over the intervening five years, S.A.D.'s life had significantly changed. She found employment and her children became independent. She and her husband began to communicate about the abuse and its impact on S.A.D.'s sense of self-worth, her parenting and her marriage. Although she sincerely loves T.D. and acknowledges the significant role his support has played in her recovery since the death of R.M., S.A.D.'s evidence is that her decisions regarding these fundamental choices-marriage and parenthood-were influenced by her mental state after leaving the P.'s home. When she met T.D., S.A.D. was fourteen years old and, like all adolescents, she wanted to be loved and she wanted a place to call home. In her examination-in-chief, she testified: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love my husband very much. But when I look back on things, if I had had a better life I wouldn't have ended up being a mum so young. I would have done something with my life. My husband's a good man. We've had our problems but (we) have worked through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The improvement in her marital relationship is the subject of comment in Dr. O'Shaughnessy's second report dated November 20, 2000 [Exhibit III, Tab 5]. He notes at page 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she states that her relationship with her husband T.D. is much improved in that their communication has been much better and their intimacy in turn has increased. Of note is that she states that prior to 1994 she did not discuss the sexual abuse with T.D. and he did not understand the nature of the sexual dysfunction or difficulties with expressing affection. She in fact tells me that after my interviews with her she discussed it with T.D. and since then he has been quite understanding and supportive ... she states their communications have been much improved although there continue to be ongoing difficulties. She states in fact they had a major issue only a short time before my examination in which her husband was quite candid with her and indicated his longstanding unhappiness with her failure to show affection and to be aloof emotionally. Of interest is that she never recognized that in herself and this was an illuminating experience for her.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the last few years S.A.D.'s sexual dysfunction has diminished in intensity and severity. She contributes this in large measure to the general improvement in their relationship and communication as well as her husband's understanding of her difficulties. She states that they are now able to talk about the matter. She states over the last few years she has taught herself to relax during sexual intimacy through cognitive controls that have been quite effective. At this point she is now able to enjoy physical intimacy and actually become sexually aroused. Although she still refuses to perform certain sexual acts that remind her of the abuse, overall her sexual adaptation has improved and I suspect this also has improved the relationship.</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When asked regarding specific symptoms of psychiatric disorder, it is evident that S.A.D. has been functioning quite well. Although she still has memories of the abuse that are spontaneous and intrusive, she is now much better at repressing them and they cause her less distress than in the past. She tells me that she has learned how to cognitively control these memories on her own and this has been quite effective for her.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this point she does not demonstrate any significant signs of depression or Anxiety Disorder. She still has some residual features of a Post Traumatic Stress Disorder but these are much reduced and are no longer causing her significant disability. As above, she is still left with some residual sexual dysfunction, but again this, too, has improved and she is generally satisfied with the progress she has made even though further improvements could be possible.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L.M.M: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L.M.M.'s path in life since she left the P.'s home is perhaps the most tragic of the three plaintiffs, partly since she has never succeeded in ever finding a life partner to provide her with her much needed emotional support and partly since, even to the present date, she still clearly struggles with coming to terms with her past and committing herself to some long-term 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After leaving the P.'s home she was placed in a number of foster homes but eventually ran away to her family in Alberta in 1975. Over the first two yeas she lived with various family members, but each stay resulted in conflict. She began to cohabit with a young aboriginal man and work with him on his trap line in northern Alberta. They both began to drink to excess. She became pregnant but when he became physically abusive towards her, she returned to live with her family. She eventually gave up the baby boy for adoption.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Following the birth she began to live with another man, but he too was violent and drank heavily. She became pregnant again but terminated the pregnancy. It was during this period that L.M.M. herself began to drink heavily and abuse prescription medication. She ended this relationship and moved to Grande Prairie in 1980.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In 1981 she telephoned M.P., asking whether she could help her find a job and a place to live. Her relationship with her own family members was strained and she had no friends or money. She travelled to Prince George, stayed for one night with M.P. and then, as arranged by M.P., began to work with her son D.P. in Vanderhoof, B.C. D.P. was separated from his wife. Within a short period the relationship became sexually intimate and soon after, the couple engaged to be married. While L.M.M. did not love D.P., she liked him and appreciated his kindness. She did not disclose the pregnancy to him before a miscarriage occurred. She attempted to commit suicide and was admitted to the Prince George Regional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She left Prince George in 1982, and returned to Alberta where she became involved with a Mr. M., originally from Bathhurst, New Brunswick. She moved back to New Brunswick with him. Later that year she was admitted to a Mental Health Clinic for treatment and therapy. At one of the two therapy sessions she attended at the clinic, she appears to have verbalized, for the first time, the emotional pains associated with her stay in the P.'s home and her guilt over leaving her younger sister and brother behind.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The relationship with Mr. M. ended in 1983. Her last therapy visit there was in January 1983. Thereafter she moved to Red Deer, Alberta, then returned to Bathurst to briefly reconcile with Mr. M. During this period she returned to the Mental Health Clinic for therapy with no record of any disclosure of the abuse suffered in the P.'s home. Then in late 1984, she returned to Faust, Alberta where she employed briefly by her sister as a logging camp cook. She moved to Barrie, Ontario where she lived with a sister and found work as a stable hand. She performed well as was taken into an apprenticeship program on another horse farm in Tennessee. The job lasted several months before she quit and returned to Alberta to live briefly with her sister S.A.D. She left in 1987, returned to Ontario and met and married a Mr. D, a man she had known for a few months while working in a trucking café. She discovered he was addicted to cocaine and extremely violent. She left him and moved in with friends in the Kimberly area and then returned to Barrie, Ontario.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The death of her brother R.M. triggered something of a psychological crisis. She once again began to seriously abuse pharmaceutical painkillers. She "doctor shopped" in an effort to amass as many prescription drugs as possible. While in Ontario she met a Mr. R. and together they decide to move to Alberta. While the first two years of the relationship were apparently happy ones, by 1992, the relationship floundered, provoked by her inability to tolerate sexual intimacy within the relationship. Generally she preferred to be celibate.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She contacted Alberta Mental Health in late 1992. The assigned therapist, Ms. Marcia Swaybe, began therapy on January 19, 1993. During this period, she continued to abuse pharmaceuticals. At the request of the therapist, she was assessed by Dr. Christiane Lussier, a psychiatrist. Dr. Lussier diagnosed her as suffering from a Dysthymic Disorder and Post-Traumatic Stress Disorder. Therapy continued throughout the spring and summer of 1993, with two serious crises erupting at the end of April and the end of June 1993. In April 1993, her boyfriend took her to the police station since she was threatening to kill herself and others. Then in June 1993, B.L.M. visited her. The visit triggered childhood memories of life in the P.'s home as well as anger and resentment against B.L.M. During the visit, she attempted suicide by overdosing on medication. Her stomach was pumped and she was released into the care of her boyfriend and B.L.M. At the request of her friend, B.L.M. cut short her visit, since it was too stressful for L.M.M. to be in her presence.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She continued her therapy with Ms. Swaybe until July 1995. The records indicate that during this period she remained incapable of and did not openly and honestly discuss the particulars of her physical and sexual abuse. Throughout these periods she was seriously impaired by drug abuse. Ms. Swaybe's Termination Summary (Exhibit 18, page 47) documents some evidence of paranoia on the part of L.M.M. during the therapy sessions.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Dr. O'Shaughnessy's first session with L.M.M. was in June-July 1995, approximately one month before her last session with Ms. Swaybe. While he saw no evidence of any phobias or panic attacks, he describes: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evidence of social anxieties and fears related to sexual assaults with anticipatory anxiety and some evidence of recurrent memories and distress associated with sexual assaults by C.A.H.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In his 1995 report, he opines: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..she shows evidence of recurrent depressions as well as evidence of chronic anxiety symptoms, especially in interpersonal functioning. She also shows evidence of sexual relationships coupled with anticipatory fear that can be seen as residual effects of a Post Traumatic Stress Disorder. Effectively L.M.M. is left with multiple diagnoses with evidence of recurrent Mood Disorder's and Anxiety Disorder coupled with an underlying Personality Disorder as well as sexual dysfunction and a past history of intermittent substance abuse.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His remarks concerning her inability to establish a trusting relationship with a counsellor are prophetic:</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L.M.M. has had some treatment in the past related to acute crises where she exhibited depression and suicidal behaviour. Most of the interventions seemed to be relationship crisis-oriented because she was unable to tolerate longer-term psychotherapy focussing on her problems. This again is a common pattern in some victims of sexual abuse in which they are unable to tolerate the intimacy of a psychotherapeutic relationship or trust the therapist with the symptoms they are experiencing and as soon as they are feeling subjectively somewhat improved they discontinue therapy and continue on in their lives until they have yet again another crisis. L.M.M. appears to have gained maturity over time and seems to have less demonstrable avoidance in the last few years, but she has still not gotten involved in ongoing psychotherapy. She is quite sensitive to any perceived criticism or rejection or any condescension which in turn provokes very angry reaction and acting out behaviour. This also has appeared to interfere with some of her attempts at getting therapy in the past.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Indeed, eleven months after terminating therapy with Ms. Swaybe, she contacted Alberta Mental Health complaining of acute depression and anxiety. She was referred to a psychiatric nurse but stormed out of the therapy session. She received no further therapy for the next four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During that time, she had casual relationships with two men, each of whom had substance abuse problems. In 1998, she married T.D., a status Indian and they began to live together on the Reserve in Kinuso. He was quiet, easy going and not particularly interested in sex. In September 1998 they took in two foster girls. She began to suspect that T.D. was sexually abusing the girls and she returned them to Alberta Social Services. She left her husband in 1999 and they divorced in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From that point until she resettled in Faust, Alberta in 2001, she has lived a nomadic life, moving from women's shelter to women's shelter. She returned to her old habits of "doctor shopping" and abusing painkillers.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She again contacted Alberta Mental Health in January 2000 and was referred to a Ms. Khau for therapy. Between January and March she attended four therapy sessions with Ms. Khau but would not commit to working through any of her psychological problems in a therapeutic setting. She remained unable to discuss her past abuse. Ms. Khau diagnosed her as suffering from Generalized Anxiety Disorder and Panic with Agoraphobia. She questioned whether she was also suffering from Post-Traumatic Stress Disorder and possible Borderline Personality Traits.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She left Hinton and moved to Edmonton, Alberta, where she again contacted Alberta Mental Health. She continued to abuse prescription drugs and eventually, on the recommendation of a new counsellor, was accepted into a drug and alcohol residential program in Edmonton in May 2000. She left daily, without permission, to travel to the hospital to receive Demerol injections. She was asked to leave the recovery center after three weeks.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She took an overdose of pain medication in July 2000 and was admitted to hospital, but denied any suicide attempt. She left hospital before any assessment could be completed. She entered another Recovery Center in July 2002 but left after two 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By the time this trial commenced in November 2002, L.M.M. testified she had been off drugs and "clean" throughout the months of June, July and August 2002. In September 2002, she went to see a physician complaining of headaches and he gave her a prescription for 30 painkillers which she consumed in 3-4 days. At the end of October 2002, she was again able to obtain a prescription for 30 painkillers, which she again consumed in about three days. In the first month of the trial, she broke her finger and was prescribed a month's worth of painkillers and again repeated her consumption pattern. During the trial itself, she suffered what appeared to be some sort for acute anxiety attack and was taken to St. Paul's Hospital. She was provided a prescription for two Ativans per day, which were thereafter administered under the supervision of legal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When Dr. O'Shaughnessy reassessed L.M.M. in October 2000, he noted that while she was feeling somewhat better about herself and more optimistic about the future, her prognosis for recovery from her psychological injuries remained pessimistic. He noted: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She remained symptomatic with residual features of Post Traumatic Stress Disorder including intrusive recollections and nightmares of the abuse as well as preoccupation with what occurred to her coupled with ongoing sexual dysfunctions and avoidance. She did not evidence other marked anxiety symptoms. Although she affirmed paranoid fears while taking drugs, there was no evidence of paranoia on my examination and in particular no signs or symptoms of guardedness, defensiveness, or fearlessness. There was no evidence of any hallucinations or delusions nor was there any impairment in her thought form.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Since July 2000 L.M.M. has been able to withdrawal from narcotics and remains clean and sober. She is still living in somewhat of a precarious situation that has little future but at the current time she appears to be moderately content with her life and has some optimism regarding her future. In my view, however, this is not likely to persist or continue and I have little doubt that she will again experience further turmoil psychologically and socially. On a more positive note, however, she does have some improvement in her general insights. She certainly recognizes her profound dependency needs and was able to discuss with me her very unrealistic expectations within relationships. She does recognize that this in large measure stems from her own impaired self-image in which she perceives herself to be "garbage" and only deserving of "garbage" in other people. She seems to have some recognition that in turn this leads to her inappropriate choices in partners that is fuelled both by her impaired self-esteem and expectations as well as her profound dependency needs in which she quickly enters into relationships that are ill-suited. As above, she is taking some satisfaction from her work in art and although this appears to be modest it is a firm area of improved functioning from her.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previously stated, I am pessimistic regarding her future and I think we will see a great deal more chaos and instability in her life before things eventually settle down for her. Many individuals with this type of Personality Disorder settle down in their forties and this will hopefully occur with L.M.M. although it is by no means assured. She does have support from her support (sic) from her sister S.A.D., who in turn is doing much better and will be an ongoing support for her. Hopefully she will have increasing insight that may provide her with greater stability, especially if this is occurring with ongoing psychological therapy for emotional support.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Dr. O'Shaughnessy's predictions have indeed proven to be accurate. L.M.M. has indeed remained incapable of sustaining a therapeutic relationship in which she is able to discuss the details of the childhood abuse and begin the work towards a full recovery.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While not underscored as the one of the cornerstones of the defence, the defence nevertheless did raise the issue of causation. As Mr. Pakenham notes in his written submissions: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starting point must be the fact that any child being placed in care of foster parents undoubtedly faces legion of disadvantages fortunately not shared by his or her peers the majority of whom have the benefit of two, or even one natural parent.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In this case, the defence goes further and notes that each of the plaintiffs came from a highly dysfunctional 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The defence says that B.L.M.: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was a difficult child. She was rejected by her natural mother at the age of five, been reprimanded for inappropriate rejected behaviour with her brothers and was the subject of a psychiatric assessment to determine whether, even the, the damage was irreversible.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While not specifically articulated, the underlying inference appears to be that even before placement in the P.'s home, B.L.M. was a "damaged" individual and that her life's trajectory is more the result of that early imprint rather than any alleged abuse committed within the P.'s household.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Similarly, in the case of S.A.D. and L.M.M., the defence position is that these individuals were members of a dysfunctional family and that they were placed for adoption after their widowed mother and grandmother, both alcohol abusers, were unable to provide the necessities of life required to shelter and nurture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Before dealing generally with this issue, I wish to address the defence submission that B.L.M. presented from the outset as a damaged child and that she displayed bizarre sexual behaviours or interests even as a young child. On a review of the evidence, I find that quite to the contrary, despite her difficult early years, B.L.M.'s psychological status was not in issue at the time of placement in her report, Dr. R. E. Hegalson, a psychiatrist , noted: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is no indication that B.L.M. has been seriously damaged from her experiences and every indication is that she would fit into an adoptive home quite readily.... (see Exhibit V, Tab 1, pages 42-43)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While each of the plaintiffs was indeed a vulnerable child, each subject to difficult childhood experiences, there is no evidence that any of these difficulties are the direct cause of the psychological injuries suffered by each of the plaintiffs. To the contrary, the only expert evidence before the Court concerning this issue is that of Dr. O'Shaughnessy who opines that the childhood abuse suffered by each of the plaintiffs was indeed the direct cause of their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Regarding B.L.M., Dr. O'Shaughnessy notes in his report of October 30, 1995 at page 11-13: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causal connection between childhood abuse and adult functioning is inherently complicated. However, based on, the severity of the abuse she experienced over a prolonged period of time and the absence of any other significant stressors in childhood, it would be my opinion that the vast majority of B.L.M.'s psychological difficulties are a direct causation of the combined effects of the physical and emotional abuse and the sexual abuse.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does not appear to be any significant other stresses that may have led to the difficulties described. Although clearly individuals who are rejected by their biological parents have understandable resentments and anger, the vast majority of individuals so placed in foster-homes actually settle in relatively well and, in a supportive environment, are able to deal with this emotional rejection and put it in its proper light. This never occurred with B.L.M. because of the combined abuse experienced while at the P.'s home. Had the environment been more supportive, it is likely that she would not have gone on to develop any significant psychological sequelae as a result of the rejection by her biological mother.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Regarding S.A.D., he notes at page 9 of his report of October 30, 1995: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Given the severity of the physical, emotional, and sexual abuse she experienced in the P.'s home, I think one can only conclude that the vast majority of her psychological difficulties are a direct result of the interaction of these abuses.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Finally, regarding L.M.M., he notes at pages 9-10 of his report of October 30, 1998: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As with my other reports, it is important to understand the complexity of variables that may precede and/or cause such severe psychological dysfunction. In L.M.M.'s case, it is evident that she experienced some neglect prior to placement in the Social Services Ministry, but there was no evidence of any physical or sexual abuse or any other traumas. It is certainly evident that following her father's death her mother's alcohol abuse worsened considerably, to the point where mother was neglecting the children on a regular basis. Fortunately, family members did step in to assist them and she was supported in large measure by her older sister.... Paradoxically, I understand that (the older sister) was only seeking assistance from Social Services Ministry so that she could raise the children on her own, but instead they were apprehended and placed subsequently with the P. In my opinion, had L.M.M. been placed in an appropriate home after apprehension, there would have been some psychological dysfunctions as a result of the early childhood neglect, but I would have thought these to have been very minor especially in comparison to what happened subsequently. From my review of the severity and continuity of the emotional, physical, and sexual abuse she received in the P. home, I would be of the opinion that the vast majority of her current psychological dysfunctions are directly related to the combination of the physical, sexual, and emotional abuse while a resident at the P.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xml:space="preserve">  In W.R.B. v. Plint, </w:t>
      </w:r>
      <w:hyperlink r:id="rId80" w:history="1">
        <w:r>
          <w:rPr>
            <w:rFonts w:ascii="arial" w:eastAsia="arial" w:hAnsi="arial" w:cs="arial"/>
            <w:i/>
            <w:color w:val="0077CC"/>
            <w:sz w:val="20"/>
            <w:u w:val="single"/>
            <w:shd w:val="clear" w:color="auto" w:fill="FFFFFF"/>
            <w:lang w:val="en-US" w:eastAsia="en-US" w:bidi="ar-SA"/>
          </w:rPr>
          <w:t>[2001] B.C.J. No. 1446</w:t>
        </w:r>
      </w:hyperlink>
      <w:r>
        <w:rPr>
          <w:rFonts w:ascii="arial" w:eastAsia="arial" w:hAnsi="arial" w:cs="arial"/>
          <w:color w:val="000000"/>
          <w:sz w:val="20"/>
          <w:lang w:val="en-US" w:eastAsia="en-US" w:bidi="ar-SA"/>
        </w:rPr>
        <w:t xml:space="preserve">, </w:t>
      </w:r>
      <w:hyperlink r:id="rId80" w:history="1">
        <w:r>
          <w:rPr>
            <w:rFonts w:ascii="arial" w:eastAsia="arial" w:hAnsi="arial" w:cs="arial"/>
            <w:i/>
            <w:color w:val="0077CC"/>
            <w:sz w:val="20"/>
            <w:u w:val="single"/>
            <w:shd w:val="clear" w:color="auto" w:fill="FFFFFF"/>
            <w:lang w:val="en-US" w:eastAsia="en-US" w:bidi="ar-SA"/>
          </w:rPr>
          <w:t>2001 BCSC 997</w:t>
        </w:r>
      </w:hyperlink>
      <w:r>
        <w:rPr>
          <w:rFonts w:ascii="arial" w:eastAsia="arial" w:hAnsi="arial" w:cs="arial"/>
          <w:color w:val="000000"/>
          <w:sz w:val="20"/>
          <w:lang w:val="en-US" w:eastAsia="en-US" w:bidi="ar-SA"/>
        </w:rPr>
        <w:t xml:space="preserve">, Brenner C.J.B.C. reviewed the principles to be applied in determining causation in cases involving allegations of historical sexual abuse. He applied the general principles articulated by the Supreme Court of Canada in Athey, </w:t>
      </w:r>
      <w:hyperlink r:id="rId81"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and noted at [paragraph] 370: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....these "General Principles" can be adapted here where the plaintiffs allege psychological injury arising from sexual assaults in the presence of other psychologically traumatic circumstances in their lives:</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psychological injury would have occurred at the same time, without the injuries sustained in the sexual assault, then causation is not proven;</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it was necessary to have both the sexual assaults and the other life circumstances for the psychological injury to occur, then causation is proven since the psychological injury would not have occurred but for the sexual assaults.</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sexual assaults alone could have been a sufficient cause, and the other life circumstances alone could have been a sufficient cause, then it is unclear which was the cause in fact of the psychological injury. The trial judge must determine, on a balance of probabilities, whether the defendant's sexual assault(s) materially contributed to the psychological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On a consideration of all of the evidence in this case, I accept Dr. O'Shaughnessy's opinion that the combination of physical, emotional and sexual abuse committed upon the plaintiffs while they were in the P.'s home, was the direct cause of their psychological injuries. I am satisfied this evidence proves on a balance of probabilities that the abuse of the defendants materially contributed to the psychological injuries of the plaintiffs. Further I find that there is no foundation for any percentage reduction in the quantum of damages in the case of any of the plaintiffs, by virtue of some contributing non-tortious acts of some other individual or individuals.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Quantum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xml:space="preserve">  As Cole J. noted in A.B. v. T.S. </w:t>
      </w:r>
      <w:hyperlink r:id="rId82" w:history="1">
        <w:r>
          <w:rPr>
            <w:rFonts w:ascii="arial" w:eastAsia="arial" w:hAnsi="arial" w:cs="arial"/>
            <w:i/>
            <w:color w:val="0077CC"/>
            <w:sz w:val="20"/>
            <w:u w:val="single"/>
            <w:shd w:val="clear" w:color="auto" w:fill="FFFFFF"/>
            <w:lang w:val="en-US" w:eastAsia="en-US" w:bidi="ar-SA"/>
          </w:rPr>
          <w:t>[2000] B.C.J. No. 1271</w:t>
        </w:r>
      </w:hyperlink>
      <w:r>
        <w:rPr>
          <w:rFonts w:ascii="arial" w:eastAsia="arial" w:hAnsi="arial" w:cs="arial"/>
          <w:color w:val="000000"/>
          <w:sz w:val="20"/>
          <w:lang w:val="en-US" w:eastAsia="en-US" w:bidi="ar-SA"/>
        </w:rPr>
        <w:t xml:space="preserve"> at [paragraph] 40: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Although cases that pre-date (Y.(S.) v. C(F.G.) </w:t>
      </w:r>
      <w:hyperlink r:id="rId83" w:history="1">
        <w:r>
          <w:rPr>
            <w:rFonts w:ascii="arial" w:eastAsia="arial" w:hAnsi="arial" w:cs="arial"/>
            <w:i/>
            <w:color w:val="0077CC"/>
            <w:sz w:val="20"/>
            <w:u w:val="single"/>
            <w:shd w:val="clear" w:color="auto" w:fill="FFFFFF"/>
            <w:lang w:val="en-US" w:eastAsia="en-US" w:bidi="ar-SA"/>
          </w:rPr>
          <w:t>[1996] B.C.J. No. 1596</w:t>
        </w:r>
      </w:hyperlink>
      <w:r>
        <w:rPr>
          <w:rFonts w:ascii="arial" w:eastAsia="arial" w:hAnsi="arial" w:cs="arial"/>
          <w:color w:val="000000"/>
          <w:sz w:val="20"/>
          <w:lang w:val="en-US" w:eastAsia="en-US" w:bidi="ar-SA"/>
        </w:rPr>
        <w:t xml:space="preserve"> (B.C.C.A.) are of some interest, the goal post, in my view, has clearly been shifted and the Court of Appeal has indicated that higher awards are required in these types of cases.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Specifically, in Y.(S.), supra the Court of Appeal held that the policy reasons which have given rise to the imposition of a cap in "the trilogy" had no application to sexual abuse cases. Aggravated damages were held not to be a separate head of damages but rather a component of general damages. Factors to be determined by the Court in increasing the general damage award to reflect aggravating circumstances would include: the age of the plaintiff, the degree of violence and coercion, the relationship between the victim and the perpetrator of the abuse, the defendant's lack of remorse, and the physical pain and suffering associated with the abuse.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I have already described at some length the physical, emotional and sexual abuse endured by each of the plaintiffs. Plaintiffs' counsel submits that taking into account the authorities, I ought to award the plaintiffs damages for pain and suffering, inclusive of aggravated damages in the sum of $200,000 for B.L.M., $140,000 for L.M.M. and $125,000 for S.A.D.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xml:space="preserve">  In support, plaintiffs counsel has cited several authorities involving sexual abuse alone; (A.B. v. T.S., supra; L.M.N. v. Munday </w:t>
      </w:r>
      <w:hyperlink r:id="rId84" w:history="1">
        <w:r>
          <w:rPr>
            <w:rFonts w:ascii="arial" w:eastAsia="arial" w:hAnsi="arial" w:cs="arial"/>
            <w:i/>
            <w:color w:val="0077CC"/>
            <w:sz w:val="20"/>
            <w:u w:val="single"/>
            <w:shd w:val="clear" w:color="auto" w:fill="FFFFFF"/>
            <w:lang w:val="en-US" w:eastAsia="en-US" w:bidi="ar-SA"/>
          </w:rPr>
          <w:t>[1998] B.C.J. No. 2591</w:t>
        </w:r>
      </w:hyperlink>
      <w:r>
        <w:rPr>
          <w:rFonts w:ascii="arial" w:eastAsia="arial" w:hAnsi="arial" w:cs="arial"/>
          <w:color w:val="000000"/>
          <w:sz w:val="20"/>
          <w:lang w:val="en-US" w:eastAsia="en-US" w:bidi="ar-SA"/>
        </w:rPr>
        <w:t xml:space="preserve"> (S.C.)); combined sexual and physical abuse (S.Y. v. F.G.C. </w:t>
      </w:r>
      <w:hyperlink r:id="rId83" w:history="1">
        <w:r>
          <w:rPr>
            <w:rFonts w:ascii="arial" w:eastAsia="arial" w:hAnsi="arial" w:cs="arial"/>
            <w:i/>
            <w:color w:val="0077CC"/>
            <w:sz w:val="20"/>
            <w:u w:val="single"/>
            <w:shd w:val="clear" w:color="auto" w:fill="FFFFFF"/>
            <w:lang w:val="en-US" w:eastAsia="en-US" w:bidi="ar-SA"/>
          </w:rPr>
          <w:t>[1996] B.C.J. No. 1596</w:t>
        </w:r>
      </w:hyperlink>
      <w:r>
        <w:rPr>
          <w:rFonts w:ascii="arial" w:eastAsia="arial" w:hAnsi="arial" w:cs="arial"/>
          <w:color w:val="000000"/>
          <w:sz w:val="20"/>
          <w:lang w:val="en-US" w:eastAsia="en-US" w:bidi="ar-SA"/>
        </w:rPr>
        <w:t xml:space="preserve"> (C.A.)); and physical abuse alone. I note that two of the worst cases, in terms of combined physical and emotional abuse, K.A.T. v. J.H.B. </w:t>
      </w:r>
      <w:hyperlink r:id="rId85" w:history="1">
        <w:r>
          <w:rPr>
            <w:rFonts w:ascii="arial" w:eastAsia="arial" w:hAnsi="arial" w:cs="arial"/>
            <w:i/>
            <w:color w:val="0077CC"/>
            <w:sz w:val="20"/>
            <w:u w:val="single"/>
            <w:shd w:val="clear" w:color="auto" w:fill="FFFFFF"/>
            <w:lang w:val="en-US" w:eastAsia="en-US" w:bidi="ar-SA"/>
          </w:rPr>
          <w:t>[1998] B.C.J. No. 1141</w:t>
        </w:r>
      </w:hyperlink>
      <w:r>
        <w:rPr>
          <w:rFonts w:ascii="arial" w:eastAsia="arial" w:hAnsi="arial" w:cs="arial"/>
          <w:color w:val="000000"/>
          <w:sz w:val="20"/>
          <w:lang w:val="en-US" w:eastAsia="en-US" w:bidi="ar-SA"/>
        </w:rPr>
        <w:t xml:space="preserve"> (S.C.) and E.(J.A.K.) v. British Columbia </w:t>
      </w:r>
      <w:hyperlink r:id="rId86" w:history="1">
        <w:r>
          <w:rPr>
            <w:rFonts w:ascii="arial" w:eastAsia="arial" w:hAnsi="arial" w:cs="arial"/>
            <w:i/>
            <w:color w:val="0077CC"/>
            <w:sz w:val="20"/>
            <w:u w:val="single"/>
            <w:shd w:val="clear" w:color="auto" w:fill="FFFFFF"/>
            <w:lang w:val="en-US" w:eastAsia="en-US" w:bidi="ar-SA"/>
          </w:rPr>
          <w:t>[2002] B.C.J. No. 597</w:t>
        </w:r>
      </w:hyperlink>
      <w:r>
        <w:rPr>
          <w:rFonts w:ascii="arial" w:eastAsia="arial" w:hAnsi="arial" w:cs="arial"/>
          <w:color w:val="000000"/>
          <w:sz w:val="20"/>
          <w:lang w:val="en-US" w:eastAsia="en-US" w:bidi="ar-SA"/>
        </w:rPr>
        <w:t xml:space="preserve"> (S.C.), resulted in awards for general damages in the sum of $185,000 and $150,000 respectively.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While I do not underestimate the breadth of the damages suffered by B.L.M., I am not persuaded that B.L.M.'s ordeal can be said to be any worse than those referred to earlier. In both cases, the sexual abuse was accompanied by acts or threats of violence.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Here, the sexual abuse was not accompanied by any threat of violence, except in the case of L.M.M. Nevertheless each of the plaintiffs endured the daily ongoing physical and emotional abuse levied by M.P. Taking this into account, I award the following damages for pain and suffering, inclusive of aggravated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614"/>
        <w:gridCol w:w="6169"/>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Plaintiff</w:t>
            </w:r>
          </w:p>
        </w:tc>
        <w:tc>
          <w:tcPr>
            <w:tcW w:w="604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Amount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778"/>
        <w:gridCol w:w="1882"/>
        <w:gridCol w:w="6169"/>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74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B.L.M.</w:t>
            </w:r>
          </w:p>
        </w:tc>
        <w:tc>
          <w:tcPr>
            <w:tcW w:w="1843"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$180,000</w:t>
            </w:r>
          </w:p>
        </w:tc>
        <w:tc>
          <w:tcPr>
            <w:tcW w:w="6042"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74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S.A.D.</w:t>
            </w:r>
          </w:p>
        </w:tc>
        <w:tc>
          <w:tcPr>
            <w:tcW w:w="1843"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$100,000</w:t>
            </w:r>
          </w:p>
        </w:tc>
        <w:tc>
          <w:tcPr>
            <w:tcW w:w="6042"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74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L.M.M.</w:t>
            </w:r>
          </w:p>
        </w:tc>
        <w:tc>
          <w:tcPr>
            <w:tcW w:w="184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$120,000</w:t>
            </w:r>
          </w:p>
        </w:tc>
        <w:tc>
          <w:tcPr>
            <w:tcW w:w="604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Punitive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In this case, while criminal charges against the defendants were approved, those charges never did proceed to trial. The plaintiffs asked Crown Counsel not to proceed with the criminal trial since they were concerned those proceedings would make it impossible for the civil action to proceed to trial as originally scheduled, in January 1996. In fact the civil trial did not proceed as scheduled but was adjourned.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xml:space="preserve">  In any case, since no criminal sanctions have ever been imposed, the plaintiffs seek punitive damages in this action. Notwithstanding the deaths of both foster parents, M.P. and E.P., I am satisfied that there is nevertheless some foundation for an award of punitive damages as against their estates. Such awards of damages are meant to act as a deterrent, not simply for the defendants but for others who might consider acting in a similar matter. Punitive damages will only be awarded where the combined award of general and aggravated damages would be insufficient to achieve the goal of punishment and deterrence. (E.P. v. J.E.S. </w:t>
      </w:r>
      <w:hyperlink r:id="rId87" w:history="1">
        <w:r>
          <w:rPr>
            <w:rFonts w:ascii="arial" w:eastAsia="arial" w:hAnsi="arial" w:cs="arial"/>
            <w:i/>
            <w:color w:val="0077CC"/>
            <w:sz w:val="20"/>
            <w:u w:val="single"/>
            <w:shd w:val="clear" w:color="auto" w:fill="FFFFFF"/>
            <w:lang w:val="en-US" w:eastAsia="en-US" w:bidi="ar-SA"/>
          </w:rPr>
          <w:t>[2002] B.C.J. No. 997</w:t>
        </w:r>
      </w:hyperlink>
      <w:r>
        <w:rPr>
          <w:rFonts w:ascii="arial" w:eastAsia="arial" w:hAnsi="arial" w:cs="arial"/>
          <w:color w:val="000000"/>
          <w:sz w:val="20"/>
          <w:lang w:val="en-US" w:eastAsia="en-US" w:bidi="ar-SA"/>
        </w:rPr>
        <w:t xml:space="preserve"> (S.C.); Hill v. Church of Scientology of Toronto </w:t>
      </w:r>
      <w:hyperlink r:id="rId88" w:history="1">
        <w:r>
          <w:rPr>
            <w:rFonts w:ascii="arial" w:eastAsia="arial" w:hAnsi="arial" w:cs="arial"/>
            <w:i/>
            <w:color w:val="0077CC"/>
            <w:sz w:val="20"/>
            <w:u w:val="single"/>
            <w:shd w:val="clear" w:color="auto" w:fill="FFFFFF"/>
            <w:lang w:val="en-US" w:eastAsia="en-US" w:bidi="ar-SA"/>
          </w:rPr>
          <w:t>(1995) 126 D.L.R. (4th) 129</w:t>
        </w:r>
      </w:hyperlink>
      <w:r>
        <w:rPr>
          <w:rFonts w:ascii="arial" w:eastAsia="arial" w:hAnsi="arial" w:cs="arial"/>
          <w:color w:val="000000"/>
          <w:sz w:val="20"/>
          <w:lang w:val="en-US" w:eastAsia="en-US" w:bidi="ar-SA"/>
        </w:rPr>
        <w:t xml:space="preserve"> (S.C.C.)).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xml:space="preserve">  In this case, I award punitive damages of $50,000 for each of the plaintiffs. (E.P. ,supra; T.W.N.A. v. Clarke </w:t>
      </w:r>
      <w:hyperlink r:id="rId89" w:history="1">
        <w:r>
          <w:rPr>
            <w:rFonts w:ascii="arial" w:eastAsia="arial" w:hAnsi="arial" w:cs="arial"/>
            <w:i/>
            <w:color w:val="0077CC"/>
            <w:sz w:val="20"/>
            <w:u w:val="single"/>
            <w:shd w:val="clear" w:color="auto" w:fill="FFFFFF"/>
            <w:lang w:val="en-US" w:eastAsia="en-US" w:bidi="ar-SA"/>
          </w:rPr>
          <w:t>[2001] B.C.J. No. 1621</w:t>
        </w:r>
      </w:hyperlink>
      <w:r>
        <w:rPr>
          <w:rFonts w:ascii="arial" w:eastAsia="arial" w:hAnsi="arial" w:cs="arial"/>
          <w:color w:val="000000"/>
          <w:sz w:val="20"/>
          <w:lang w:val="en-US" w:eastAsia="en-US" w:bidi="ar-SA"/>
        </w:rPr>
        <w:t xml:space="preserve"> (S.C.); A.D.Y. v. M.Y.Y. </w:t>
      </w:r>
      <w:hyperlink r:id="rId90" w:history="1">
        <w:r>
          <w:rPr>
            <w:rFonts w:ascii="arial" w:eastAsia="arial" w:hAnsi="arial" w:cs="arial"/>
            <w:i/>
            <w:color w:val="0077CC"/>
            <w:sz w:val="20"/>
            <w:u w:val="single"/>
            <w:shd w:val="clear" w:color="auto" w:fill="FFFFFF"/>
            <w:lang w:val="en-US" w:eastAsia="en-US" w:bidi="ar-SA"/>
          </w:rPr>
          <w:t>[1994] B.C.J. No. 375</w:t>
        </w:r>
      </w:hyperlink>
      <w:r>
        <w:rPr>
          <w:rFonts w:ascii="arial" w:eastAsia="arial" w:hAnsi="arial" w:cs="arial"/>
          <w:color w:val="000000"/>
          <w:sz w:val="20"/>
          <w:lang w:val="en-US" w:eastAsia="en-US" w:bidi="ar-SA"/>
        </w:rPr>
        <w:t xml:space="preserve">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xml:space="preserve">  As Levine J. (as she then was) noted in M.B. v. British Columbia </w:t>
      </w:r>
      <w:hyperlink r:id="rId91" w:history="1">
        <w:r>
          <w:rPr>
            <w:rFonts w:ascii="arial" w:eastAsia="arial" w:hAnsi="arial" w:cs="arial"/>
            <w:i/>
            <w:color w:val="0077CC"/>
            <w:sz w:val="20"/>
            <w:u w:val="single"/>
            <w:shd w:val="clear" w:color="auto" w:fill="FFFFFF"/>
            <w:lang w:val="en-US" w:eastAsia="en-US" w:bidi="ar-SA"/>
          </w:rPr>
          <w:t>[2001] B.C.J. No. 586</w:t>
        </w:r>
      </w:hyperlink>
      <w:r>
        <w:rPr>
          <w:rFonts w:ascii="arial" w:eastAsia="arial" w:hAnsi="arial" w:cs="arial"/>
          <w:color w:val="000000"/>
          <w:sz w:val="20"/>
          <w:lang w:val="en-US" w:eastAsia="en-US" w:bidi="ar-SA"/>
        </w:rPr>
        <w:t xml:space="preserve">, (varied on damages award </w:t>
      </w:r>
      <w:hyperlink r:id="rId92" w:history="1">
        <w:r>
          <w:rPr>
            <w:rFonts w:ascii="arial" w:eastAsia="arial" w:hAnsi="arial" w:cs="arial"/>
            <w:i/>
            <w:color w:val="0077CC"/>
            <w:sz w:val="20"/>
            <w:u w:val="single"/>
            <w:shd w:val="clear" w:color="auto" w:fill="FFFFFF"/>
            <w:lang w:val="en-US" w:eastAsia="en-US" w:bidi="ar-SA"/>
          </w:rPr>
          <w:t>[2002] B.C.J. No. 390</w:t>
        </w:r>
      </w:hyperlink>
      <w:r>
        <w:rPr>
          <w:rFonts w:ascii="arial" w:eastAsia="arial" w:hAnsi="arial" w:cs="arial"/>
          <w:color w:val="000000"/>
          <w:sz w:val="20"/>
          <w:lang w:val="en-US" w:eastAsia="en-US" w:bidi="ar-SA"/>
        </w:rPr>
        <w:t xml:space="preserve"> (C.A.)):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childhood sexual abuse cases there is rarely an educational or employment history unaffected by the injury to serve either as a baseline measure of natural aptitude or intelligence or of pre-trial income, or as a predictor of future capacity to earn (See Cherry v. Borsman </w:t>
      </w:r>
      <w:hyperlink r:id="rId93" w:history="1">
        <w:r>
          <w:rPr>
            <w:rFonts w:ascii="arial" w:eastAsia="arial" w:hAnsi="arial" w:cs="arial"/>
            <w:i/>
            <w:color w:val="0077CC"/>
            <w:sz w:val="20"/>
            <w:u w:val="single"/>
            <w:shd w:val="clear" w:color="auto" w:fill="FFFFFF"/>
            <w:lang w:val="en-US" w:eastAsia="en-US" w:bidi="ar-SA"/>
          </w:rPr>
          <w:t>(1992) 70 B.C.L.R. (2d) 273</w:t>
        </w:r>
      </w:hyperlink>
      <w:r>
        <w:rPr>
          <w:rFonts w:ascii="arial" w:eastAsia="arial" w:hAnsi="arial" w:cs="arial"/>
          <w:color w:val="000000"/>
          <w:sz w:val="20"/>
          <w:lang w:val="en-US" w:eastAsia="en-US" w:bidi="ar-SA"/>
        </w:rPr>
        <w:t xml:space="preserve"> at 317 (C.A.))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[Paragraph 298]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Similarly here, since the abuse occurred during childhood, there is no real pre-abuse history to serve as a baseline measure. Nevertheless, I have no hesitation finding each of the plaintiffs' lives has been so severely affected by her psychological injuries, that not one of them has achieved the educational level or developed the skills necessary to maximize her income earning ability. I will deal with each of the plaintiffs in 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B.L.M.: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While she was a foster child at the P.'s, B.L.M. completed Grades 1 to 9. After she left the P.'s home, she completed Grades 10 and 11. She completed no other education until the spring of 1987, when she attended the First National Business College in Abbotsford. She achieved very high grades (see Exhibit 11, Tab 2). She withdrew during the fall semester due to psychological problems. Then she enrolled and completed a course offered by Conair Aviation Ltd. to qualify as a sheet metal trade mechanic. In 1992 and 1993, she enrolled at the University College of the Fraser Valley in Abbotsford, to complete university entrance course. She completed an advance English course, a provincial level English, Math and Science courses.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In 1995, Ms. Vivian Hirshen, an educational psychologist, assessed her cognitive abilities and academic achievement levels. She noted: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results of this assessment confirm that B.L.M. is an intellectually capable woman who has definite abilities in language, comprehension, vocabulary knowledge, and in reading and expressive writing skills...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Academically, B.L.M.'s reading fluency, spelling and writing skills are marked strengths, at the university level, and should be utilized in the workplace. Math skills are at least within the average range. That for most of her adult years she has had jobs requiring only minimal education and training is yet further evidence that emotional issues, related to a negative view of her abilities and low self-expectations, are operating to prevent B.L.M. from exercising her very good potential.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In February 2002, she enrolled at the Sprott-Shaw Community College and she has completed numerous courses, including many computer courses, with very high marks. She intends to continue her education and to pursue employment opportunities commensurate with her abilities and education.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The summary of her past employment history was reviewed at trial (Exhibit 1, Tab 6). With the exception of a period of eleven months in late 1988-early 1999 when she worked as a sheet metal tradesman for Conair Aviation, she has worked for a minimum wage, largely waitressing or performing non-skilled labouring work (See Exhibit 1, Tab 6). Between 1973 and 1994 (when she was last employed), she estimates she earned $201,674.00. I am satisfied this figure represents a reasonable estimate of her earning during that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Assuming that B.L.M. completed Grade 12 at age 18 and then obtained a college diploma or certificate in 1979, Mr. Carson calculates that she would have earned $421,339 between 1979 and the date of trial. Deducting her earnings during this period, the plaintiff's counsel submits that her past loss of income for the period amounts to $219,665.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Given her obvious intelligence and her high performance in a post-secondary educational setting, I have no difficulty assuming that but for the defendants' actions, B.L.M. would likely have completed high school and at the very least, obtained some form of college diploma or certificate. I accept the calculation of her past wage loss at $219,665.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As to the claim for future loss of income, the plaintiff's counsel has not suggested that B.L.M. will remain unemployed as she has since 1994. Rather she asks the Court to assume:</w:t>
      </w:r>
      <w:r>
        <w:rPr>
          <w:rFonts w:ascii="arial" w:eastAsia="arial" w:hAnsi="arial" w:cs="arial"/>
          <w:sz w:val="20"/>
          <w:lang w:val="en-US" w:eastAsia="en-US" w:bidi="ar-SA"/>
        </w:rPr>
        <w:cr/>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B.L.M. will continue with her post secondary training and will succeed in completing that program by December 2006, thereafter earning $24,000 per annum; and</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commencing in January 2007 her gross earnings would increase annually by $1000 per annum until she reaches a gross salary of $35,000 per annum, thus effectively "catching up" with those women who had obtained their degree or certificate in 1979.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Adopting these assumptions and applying the multipliers set out in his December 20, 2002 report, Mr. Carson calculates that B.L.M. will suffer a future loss of income of $283,891. From this figure, the plaintiff's counsel suggests that a negative contingency of no more than 15% ought to be applied, given the fact that B.L.M. has no children, thus reducing her claim to $241,307. To this figure she adds 7% for loss of benefits, resulting in a claim of $258,000.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While I am confident B.L.M. will likely pursue her post-secondary studies and will complete her certificate or diploma training by December 2006, I reject the assumption that she will require a full ten years within which to reach the $35,733 annual earnings set out in Table 1 of Mr. Carson's report of December 18, 2000. I am satisfied that earning level could be achieved within 5 years. Even accepting that she is and will likely remain unmarried, I note that B.L.M. has always adopted a very traditional approach to her homemaker role in any romantic relationship. Thus, I find that the full 30% labour force contingencies ought to be applied in any calculation. Adopting these assumptions, I roughly calculate that her loss is in the order of $145,800. I award that amount for future loss of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It is noteworthy that in the case of the S.A.D. and L.M.M., the Court has the benefit of the evidence of their elder brother R.M. He was the eldest of the M.'s children. Following his father's death, the family moved briefly to Grande Prairie, then returned to Whitecourt and then moved to Prince George to be closer to Mrs. M.'s family. R.M., then aged 15, remained behind in Prince George. He joined the Armed Forces at the age of 17 and following his discharge approximately two years later, finished his high school diploma and then attended University and completed his Bachelor of Education in 1980. He is clearly a talented educator and has twice won Teaching Excellence awards in the Province of Alberta. While every family member is a unique individual, it is nevertheless significant that this M. sibling, who reached late adolescence under the guidance of his parents, without any history of physical, sexual or emotional abuse, went on to a successful adult career with no history of psychological injury, or substance abuse.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S.A.D. completed Grade 7 while living in the P.'s foster home. She received no further education until approximately 1989 when she completed some basic adult upgrading education in Math, English, and Social Studies at the Alberta Vocational Institute. She later challenged her Grade 12 English and passed the examination without studying. She has been employed at the Kinuso Mercantile store in Faust, Alberta since 1991. She has worked as a retail clerk at the store, except during the tax season when she helps customers with the preparation of their income tax returns. She is currently the manager of the toy department and also works in the tax department. She apparently has no plan for any further education. Ms. Vivian Hirshen's tests confirmed that she is functioning within the average range of intellectual 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Given the results of her testing, her own presentation as a witness, her voiced frustration with the limitations of her life and the evidence of her brother concerning his own career path, I accept that but for the psychological injuries suffered, S.A.D. would very likely have followed a very different trajectory. I assume that she would likely have completed high school at the age of 18, following which she would have obtained a college diploma or certificate in 1982. Had she done so, Mr Carson's report indicates that adopting a lifetime earnings profile of other Alberta resident females with post-secondary, non-university certificates, it may be assumed that between 1974 and the date of trial, she would have earned $396,393. (Exhibit 3, Tab 12, Table 2, column 9). This figure allows for a total negative contingency of approximately 39%, which reflects all labour market contingencies including unemployment and pregnancy. Instead S.A.D. earned approximately $149,500 between 1974 and the date of trial, resulting in a claim for past loss of income of $246,893.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In the case of S.A.D., I have a much greater difficulty assessing her claim in such an arithmetic fashion. While I am confident in assuming that but for the injuries suffered, S.A.D. would attained a higher level of education and a commensurate level of earning, I nevertheless find that while she might have married at a somewhat later age, she would still likely have had a family of three or more children. As a consequence I find that she would likely have adopted a number of different strategies to compensate for what would likely have been a larger than average family-part-time employment, as well as both temporary and more lengthy leaves of absence-all resulting in a substantial reduction in her lifetime earnings. While Mr. Carson's tables assume certain negative contingencies to reflect part-time employment and periods of non-participation in the work force arising from pregnancy, I am not aware of any evidence to reflect the trajectory of women in rural communities who have larger families and raise them in a more traditional setting, without any childcare support. While admittedly arbitrary, I have reduced the assumed earnings to $250,000. Deducting the past earnings of $149,500, I award $100,000 as the past income suffered.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Again, adopting these same earlier assumptions, the plaintiff's counsel calculates a future income claim of $160,000. She assumes that S.A.D. will continue to earn approximately $15,000 per annum, thus earning approximately $343,000 over the next 23 years. Accepting that a woman with a post-secondary, non-university certificate would earn approximately $577,000 during those same years, and applying a 15% negative contingency, results in a net future income claim of approximately $147,0000. Adding 7% for loss of wage benefits results in a claim of approximately $160,000.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I have some difficulty accepting this calculation of S.A.D.'s future income loss. She testified that by virtue of her intensive therapy, her relationship with her husband and children has improved considerably in recent years. She testified that she is content with her employment at the Kinuso store, and that her salary has steadily increased over the last few years. In 2002, she expects that she will work full-time rather than seasonally from December to May only. She expects that her salary will rise to roughly $2000 gross per month. She described herself as happy with her full-time salaried position. She testified she had no intention of pursuing any further education or seeking any other employment. My impression is that while she now well realizes her potential for greater things, she has simply chosen to stay put and has happily accepted her reality.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I find that S.A.D.'s condition is now essentially resolved and that she has effectively made some choices as to how her future will unfold. In his report of November 2000, Dr. O'Shaughnessy opines that while S.A.D. still has some residual features of a Post-Traumatic Stress Disorder, these are much reduced and are no longer causing her any significant disability. He notes she does not demonstrate any significant signs of depression or anxiety disorder. He recommends no further psychiatric intervention.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In these circumstances, I have some difficulty calculating any future loss of income. I note that in Table 2, Mr. Carson calculates an average annual earning of $37,526 for a woman with a post-secondary, non-university certificate which, discounted by 39% to reflect all labour market contingencies (including illness, unemployment), results in an average income of $23,035 per annum. Based on her recent successes, S.A.D.'s expected income is now already $24,000 per annum. While I am confident that S.A.D. is capable of much more, I accept that she is content with her chosen path and that she finds fulfillment in her multiple roles as employee, grandmother, mother and wife, all anchored within a secure family and employment setting.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In all of these circumstances, I make no award for any future income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L.M.M.: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L.M.M. quit school when she ran away from the P.'s home at the age of 15. She did not attend any further schooling until 1982, when she passed her G.E.D. (Grade 12 equivalency examinations) while living in Bathurst, New Brunswick.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More recently she completed some adult upgrading courses at the Alberta Vocational Center where she has excelled in a number of courses. She is clearly a very intelligent woman and indeed Ms. Vivian Hirshen's testing confirms she has the "intellectual ability and academic skills to succeed in higher learning". She opined that her cognitive and academic abilities were average to above average.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The evidence concerning L.M.M.'s past earnings is very spotty. For the period 1980 to 1992, she filed no income tax returns. She testified that up to the present date, she has filed a single tax return for the year 1997, when she worked in Faust, Alberta at the Kinuso store. Exhibit 20 details her employment from September 2000 to the date of trial. Throughout that period she worked as a waitress, a cook, a baker, a landscaper and a harbour master (for the Faust Harbour Authority), earning roughly a minimum wage throughout.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Her counsel submits that for the period 1980 to present, the Court ought to find she earned a total income of $9,360, which figure reflects a minimum wage of $4.50 per hour full a full-time salary each year, culminating in a total imputed past income of $205,900.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Assuming again that but for the psychological injuries, L.M.M. would have completed her Grade 12 certificate at age 18 and obtained a college diploma or certificate by 1980, Mr. Carson has assumed, adopting the lifetime earnings profile based on Census average earnings and labour force status values for Alberta resident females with post-secondary, non-university certificates or diplomas, that L.M.M. would have earned $431,000 between 1980 and the date of trial. Deducting the imputed income of $205,000, I award her the sum the $225,000 as her total past income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As to her future income claim, the plaintiff's counsel submits the Court should assume that given her pronounced psychological injuries, L.M.M. is likely to continue to be either underemployed or unemployed for the foreseeable future up to age 65. While she has assumed earnings of $205,900 for the period 2003 to 2026, I have assumed the subsistence level earning level set out in Mr. Carson's report of December 2000, ie. $211,200. Assuming further that as a woman with a post-secondary, non-university certificate or diploma, she would have obtained income commensurate with her education, she postulates that between 2003 and 2026, she could have anticipated earning $497,200, assuming a negative contingency of 15%. As in the case of B.M, I am more comfortable assuming the full 39% negative contingency, which results in a figure of $356,850, Deducting her future imputed earnings of $211,200, results in a net claim of $145,650. Adding wage benefits of 7%, results in a total claim of $155,845, which I will roughly round off to $150,000 as the award for loss of future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xml:space="preserve">  The plaintiffs claim pre-judgment interest on the non-pecuniary damages awarded from the date of the issuance of the writ to the date of judgment. This claim is based on the principle expressed by Dillon J. in B.(K.L.) v. British Columbia </w:t>
      </w:r>
      <w:hyperlink r:id="rId94" w:history="1">
        <w:r>
          <w:rPr>
            <w:rFonts w:ascii="arial" w:eastAsia="arial" w:hAnsi="arial" w:cs="arial"/>
            <w:i/>
            <w:color w:val="0077CC"/>
            <w:sz w:val="20"/>
            <w:u w:val="single"/>
            <w:shd w:val="clear" w:color="auto" w:fill="FFFFFF"/>
            <w:lang w:val="en-US" w:eastAsia="en-US" w:bidi="ar-SA"/>
          </w:rPr>
          <w:t>[1996] B.C.J. No. 3036</w:t>
        </w:r>
      </w:hyperlink>
      <w:r>
        <w:rPr>
          <w:rFonts w:ascii="arial" w:eastAsia="arial" w:hAnsi="arial" w:cs="arial"/>
          <w:color w:val="000000"/>
          <w:sz w:val="20"/>
          <w:lang w:val="en-US" w:eastAsia="en-US" w:bidi="ar-SA"/>
        </w:rPr>
        <w:t xml:space="preserve"> (S.C.) and adopted by Levine J. in M.B. v. British Columbia, supra, that where the Crown fails in its equitable undertaking to supervise and monitor foster children, a "generous, restorative remedial approach" ought to be taken to the assessment of damages, including an award of "prejudgment equitable interest ancillary to equitable compensation for non-pecuniary loss due to personal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In this case, the Crown has settled its claims directly with the plaintiffs. The amounts paid out by the Crown to the plaintiffs will ultimately be deducted from any amounts owing to the plaintiffs. Notionally, only that part of the non-pecuniary award which is attributable to the Crown ought to attract such a calculation of interest and presumably was considered in the parties' calculation of the settlement figure. In my view such an award cannot properly be made at this stage of the proceedings, absent the Crown participating as a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xml:space="preserve">  As to the balance of the awards of damages, the plaintiffs are entitled to the usual award of pre-judgment and post-judgment interest on the pecuniary damages pursuant to the Court Order Interest Act, </w:t>
      </w:r>
      <w:r>
        <w:rPr>
          <w:rFonts w:ascii="arial" w:eastAsia="arial" w:hAnsi="arial" w:cs="arial"/>
          <w:i/>
          <w:color w:val="000000"/>
          <w:sz w:val="20"/>
          <w:lang w:val="en-US" w:eastAsia="en-US" w:bidi="ar-SA"/>
        </w:rPr>
        <w:t>R.S.B.C. 1996, c. 79</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I am unaware of any offers of settlement exchanged in this case. In the event counsel are unable to resolve the matter of costs between themselves, I leave it to counsel to contact me through the Registry to make further submissions concerning the issue of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In summary I make the following awards: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973"/>
        <w:gridCol w:w="48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89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Plaintiff:</w:t>
            </w:r>
          </w:p>
        </w:tc>
        <w:tc>
          <w:tcPr>
            <w:tcW w:w="471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Amount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B.L.M.: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60"/>
        <w:gridCol w:w="2823"/>
        <w:gridCol w:w="1464"/>
        <w:gridCol w:w="4809"/>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76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Non-pecuniary damages</w:t>
            </w:r>
          </w:p>
        </w:tc>
        <w:tc>
          <w:tcPr>
            <w:tcW w:w="143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180,000</w:t>
            </w:r>
          </w:p>
        </w:tc>
        <w:tc>
          <w:tcPr>
            <w:tcW w:w="4710"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76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Punitive Damages</w:t>
            </w:r>
          </w:p>
        </w:tc>
        <w:tc>
          <w:tcPr>
            <w:tcW w:w="143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50,000</w:t>
            </w:r>
          </w:p>
        </w:tc>
        <w:tc>
          <w:tcPr>
            <w:tcW w:w="4710"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76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Past income loss</w:t>
            </w:r>
          </w:p>
        </w:tc>
        <w:tc>
          <w:tcPr>
            <w:tcW w:w="143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219,665</w:t>
            </w:r>
          </w:p>
        </w:tc>
        <w:tc>
          <w:tcPr>
            <w:tcW w:w="4710"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76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Future Income loss</w:t>
            </w:r>
          </w:p>
        </w:tc>
        <w:tc>
          <w:tcPr>
            <w:tcW w:w="143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145,800</w:t>
            </w:r>
          </w:p>
        </w:tc>
        <w:tc>
          <w:tcPr>
            <w:tcW w:w="4710"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76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TOTAL:</w:t>
            </w:r>
          </w:p>
        </w:tc>
        <w:tc>
          <w:tcPr>
            <w:tcW w:w="143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$ 595,465</w:t>
            </w:r>
          </w:p>
        </w:tc>
        <w:tc>
          <w:tcPr>
            <w:tcW w:w="4710"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60"/>
        <w:gridCol w:w="2823"/>
        <w:gridCol w:w="1464"/>
        <w:gridCol w:w="4809"/>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76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Non-pecuniary damages</w:t>
            </w:r>
          </w:p>
        </w:tc>
        <w:tc>
          <w:tcPr>
            <w:tcW w:w="143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100,000</w:t>
            </w:r>
          </w:p>
        </w:tc>
        <w:tc>
          <w:tcPr>
            <w:tcW w:w="4710"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76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Punitive Damages</w:t>
            </w:r>
          </w:p>
        </w:tc>
        <w:tc>
          <w:tcPr>
            <w:tcW w:w="143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50,000</w:t>
            </w:r>
          </w:p>
        </w:tc>
        <w:tc>
          <w:tcPr>
            <w:tcW w:w="4710"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76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Past income loss</w:t>
            </w:r>
          </w:p>
        </w:tc>
        <w:tc>
          <w:tcPr>
            <w:tcW w:w="143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100,000</w:t>
            </w:r>
          </w:p>
        </w:tc>
        <w:tc>
          <w:tcPr>
            <w:tcW w:w="4710"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76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Future Income loss</w:t>
            </w:r>
          </w:p>
        </w:tc>
        <w:tc>
          <w:tcPr>
            <w:tcW w:w="143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0</w:t>
            </w:r>
          </w:p>
        </w:tc>
        <w:tc>
          <w:tcPr>
            <w:tcW w:w="4710"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76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TOTAL:</w:t>
            </w:r>
          </w:p>
        </w:tc>
        <w:tc>
          <w:tcPr>
            <w:tcW w:w="143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$ 250,000</w:t>
            </w:r>
          </w:p>
        </w:tc>
        <w:tc>
          <w:tcPr>
            <w:tcW w:w="4710"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L.M.M.: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60"/>
        <w:gridCol w:w="2823"/>
        <w:gridCol w:w="1464"/>
        <w:gridCol w:w="4809"/>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76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Non-pecuniary damages</w:t>
            </w:r>
          </w:p>
        </w:tc>
        <w:tc>
          <w:tcPr>
            <w:tcW w:w="143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120,000</w:t>
            </w:r>
          </w:p>
        </w:tc>
        <w:tc>
          <w:tcPr>
            <w:tcW w:w="4710"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76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Punitive Damages</w:t>
            </w:r>
          </w:p>
        </w:tc>
        <w:tc>
          <w:tcPr>
            <w:tcW w:w="143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50,000</w:t>
            </w:r>
          </w:p>
        </w:tc>
        <w:tc>
          <w:tcPr>
            <w:tcW w:w="4710"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76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Past income loss</w:t>
            </w:r>
          </w:p>
        </w:tc>
        <w:tc>
          <w:tcPr>
            <w:tcW w:w="143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225,000</w:t>
            </w:r>
          </w:p>
        </w:tc>
        <w:tc>
          <w:tcPr>
            <w:tcW w:w="4710"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76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Future Income loss</w:t>
            </w:r>
          </w:p>
        </w:tc>
        <w:tc>
          <w:tcPr>
            <w:tcW w:w="143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150,000</w:t>
            </w:r>
          </w:p>
        </w:tc>
        <w:tc>
          <w:tcPr>
            <w:tcW w:w="4710"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76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TOTAL:</w:t>
            </w:r>
          </w:p>
        </w:tc>
        <w:tc>
          <w:tcPr>
            <w:tcW w:w="143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$ 545,000</w:t>
            </w:r>
          </w:p>
        </w:tc>
        <w:tc>
          <w:tcPr>
            <w:tcW w:w="4710"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Plus pre judgment Court order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Interest on the pecuniary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There is no judgment on the issue of costs pending the parties' agreement or further order of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BOYD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44" style="position:absolute;z-index:25170227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95"/>
          <w:headerReference w:type="default" r:id="rId96"/>
          <w:footerReference w:type="even" r:id="rId97"/>
          <w:footerReference w:type="default" r:id="rId98"/>
          <w:headerReference w:type="first" r:id="rId99"/>
          <w:footerReference w:type="first" r:id="rId10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01" w:history="1">
        <w:r>
          <w:rPr>
            <w:rFonts w:ascii="arial" w:eastAsia="arial" w:hAnsi="arial" w:cs="arial"/>
            <w:b/>
            <w:bCs/>
            <w:i/>
            <w:color w:val="0077CC"/>
            <w:kern w:val="32"/>
            <w:sz w:val="28"/>
            <w:szCs w:val="32"/>
            <w:u w:val="single"/>
            <w:shd w:val="clear" w:color="auto" w:fill="FFFFFF"/>
            <w:lang w:val="en-US" w:eastAsia="en-US" w:bidi="ar-SA"/>
          </w:rPr>
          <w:t>Simon v. Canada (Attorney General), [2017] B.C.J. No. 1925</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Cranbrook,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K.W. Ball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July 10, 2017.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August 16, 2017.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5675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Golden</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[2017] B.C.J. No. 1925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2017 BCSC 1438</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Zoltan Andrew Simon, ZuanHao Zhong and JianFeng Ye, Plaintiffs, and Her Majesty the Queen in Right of Canada, represented by the Attorney General of Canada (both in their representative capacity) and Her Majesty the Queen in Right of the Province of British Columbia, represented by the Attorney General of British Columbia (both in their representative capacity),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(69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45" style="position:absolute;z-index:2516623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5" w:name="Keywords_3"/>
      <w:bookmarkEnd w:id="25"/>
      <w:r>
        <w:rPr>
          <w:rFonts w:ascii="arial" w:eastAsia="arial" w:hAnsi="arial" w:cs="arial"/>
          <w:b/>
          <w:color w:val="000000"/>
          <w:sz w:val="20"/>
          <w:lang w:val="en-US" w:eastAsia="en-US" w:bidi="ar-SA"/>
        </w:rPr>
        <w:t>Civil litigation — Civil procedure — Parties — Vexatious litigants — Pleadings — Striking out pleadings or allegations — Grounds — Failure to disclose a cause of action or defence — False, frivolous, vexatious or abuse of process — Motion by defendants for dismissal of action and order declaring the plaintiff a vexatious litigant allowed — Current action relitigated plaintiff's claims relating to unsuccessful sponsorship and collection of sponsorship debt by government — All prior proceedings had been dismissed — Res judicata applied to claims previously struck out — Claims were vexatious, considering both the specific claims advanced and the history of the proceedings — Claims were also prolix, incoherent, inflammatory.</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6" w:name="Case Summary_2"/>
            <w:bookmarkEnd w:id="26"/>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Motion by the defendants for dismissal of the action against them and an order declaring the plaintiff a vexatious litigant. The plaintiff had commenced numerous proceedings since 2007 regarding the unsuccessful sponsorship of his current spouse and her son and the collection proceedings commenced by the government to collect on the plaintiff's sponsorship debt. All the prior proceedings and appeals launched by the plaintiff were dismissed. The plaintiff commenced the present action in 2017 which repeated, incorporated and expanded upon past pleadings which had been struck and dismissed by courts of competent jurisdiction.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7" w:name="Holdings of Court_1"/>
            <w:bookmarkEnd w:id="27"/>
            <w:r>
              <w:rPr>
                <w:rFonts w:ascii="arial" w:eastAsia="arial" w:hAnsi="arial" w:cs="arial"/>
                <w:color w:val="000000"/>
                <w:sz w:val="20"/>
                <w:lang w:val="en-US" w:eastAsia="en-US" w:bidi="ar-SA"/>
              </w:rPr>
              <w:t>HELD: Motion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In so far as the claim repeated or incorporated claims which had been struck out already, the doctrine of res judicata clearly applied. The principle of judicial comity also applied. The wide variety of issues that were described in the claim had already been decided in by other authorities and courts over which this court had no supervisory, review, or appellate authority. The portions of the pleadings in the present action that were not in the same words as in the prior claims were a reiteration of the complaints of the plaintiff previously reviewed by this Court, the Court of Appeal, immigration authorities, the Federal Court of Canada, and the Federal Court of Appeal. The current claims were vexatious, considering both the specific claims advanced and the history of the proceedings which have wended their way through the Immigration and Refugee Board, its Appeal Division, the Federal Court, the Federal Court of Appeal, the Supreme Court of Canada, and the BC courts. The claims were also prolix, incoherent, inflammatory, and rife with assumptions, speculation, and typos. The statement of claim did not generally disclose a cause of action. The whole litigation history revealed a litany of unsuccessful legal proceedings, including previous dismissals of claims found to be scandalous, vexatious, and an abuse of process, of which the current dismissal now formed a part.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8" w:name="Legislation Cited_3"/>
      <w:bookmarkEnd w:id="2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46" style="position:absolute;z-index:25167257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Supreme Court Act, </w:t>
      </w:r>
      <w:hyperlink r:id="rId102" w:history="1">
        <w:r>
          <w:rPr>
            <w:rFonts w:ascii="arial" w:eastAsia="arial" w:hAnsi="arial" w:cs="arial"/>
            <w:i/>
            <w:color w:val="0077CC"/>
            <w:sz w:val="20"/>
            <w:u w:val="single"/>
            <w:shd w:val="clear" w:color="auto" w:fill="FFFFFF"/>
            <w:lang w:val="en-US" w:eastAsia="en-US" w:bidi="ar-SA"/>
          </w:rPr>
          <w:t>R.S.B.C. 1996, c 443, s. 18</w:t>
        </w:r>
      </w:hyperlink>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Supreme Court Civil Rules, </w:t>
      </w:r>
      <w:r>
        <w:rPr>
          <w:rFonts w:ascii="arial" w:eastAsia="arial" w:hAnsi="arial" w:cs="arial"/>
          <w:i/>
          <w:color w:val="000000"/>
          <w:sz w:val="20"/>
          <w:lang w:val="en-US" w:eastAsia="en-US" w:bidi="ar-SA"/>
        </w:rPr>
        <w:t>B.C. Reg. 168/2009, Rule 9-5</w:t>
      </w:r>
      <w:r>
        <w:rPr>
          <w:rFonts w:ascii="arial" w:eastAsia="arial" w:hAnsi="arial" w:cs="arial"/>
          <w:color w:val="000000"/>
          <w:sz w:val="20"/>
          <w:lang w:val="en-US" w:eastAsia="en-US" w:bidi="ar-SA"/>
        </w:rPr>
        <w:t>, Rule 9-5(1), Rule 9-5(1)(a), Rule 9-5(1)(c)</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9" w:name="Counsel_3"/>
      <w:bookmarkEnd w:id="29"/>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47" style="position:absolute;z-index:25168281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Zoltan Simon (Appearing in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Her Majesty the Queen in Right of Canada: A. Brown.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Her Majesty the Queen in Right of British Columbia: M. Weintraub.</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0" w:name="Judgment_3"/>
      <w:bookmarkEnd w:id="30"/>
      <w:r>
        <w:pict>
          <v:line id="_x0000_s1048" style="position:absolute;z-index:25169305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15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1" w:name="K.W. BALL J."/>
            <w:bookmarkEnd w:id="31"/>
            <w:r>
              <w:rPr>
                <w:rFonts w:ascii="arial" w:eastAsia="arial" w:hAnsi="arial" w:cs="arial"/>
                <w:b/>
                <w:color w:val="000000"/>
                <w:sz w:val="30"/>
                <w:lang w:val="en-US" w:eastAsia="en-US" w:bidi="ar-SA"/>
              </w:rPr>
              <w:t>K.W. BALL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This is an application by the defendants, the Attorney General of Canada and the Attorney General of British Columbia, to have a notice of claim in this action brought by the plaintiffs, Zoltan Andrew Simon and others, struck out in its entirety without leave to amend and that the plaintiffs' claims be dismissed pursuant to Rule 9-5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B.C. Reg. 168/2009</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Civil Rules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Further the defendants seek an order pursuant to s. 18 of the </w:t>
      </w:r>
      <w:r>
        <w:rPr>
          <w:rFonts w:ascii="arial" w:eastAsia="arial" w:hAnsi="arial" w:cs="arial"/>
          <w:i/>
          <w:color w:val="000000"/>
          <w:sz w:val="20"/>
          <w:lang w:val="en-US" w:eastAsia="en-US" w:bidi="ar-SA"/>
        </w:rPr>
        <w:t>Supreme Court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443</w:t>
      </w:r>
      <w:r>
        <w:rPr>
          <w:rFonts w:ascii="arial" w:eastAsia="arial" w:hAnsi="arial" w:cs="arial"/>
          <w:color w:val="000000"/>
          <w:sz w:val="20"/>
          <w:lang w:val="en-US" w:eastAsia="en-US" w:bidi="ar-SA"/>
        </w:rPr>
        <w:t xml:space="preserve"> that Mr. Simon be declared a vexatious litigant and that he shall not file additional legal proceedings without first obtaining leave of this Court. The defendants also seek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This saga began when Mr. Simon, one of the plaintiffs, entered into an agreement with immigration authorities to provide financial support for his first spouse as a condition of sponsorship of that individual for immigration. Mr. Simon and that spouse both separated shortly after her immigration into Canada. The spouse then began to collect social assistance in British Columbia and continued to collect social assistance for a number of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Based on the sponsor's undertaking given by Mr. Simon, the quantum of social assistance payments became a debt due from Mr. Simon to the Province of British Columbia ("the sponsorship debt"). The province garnished portions of the sponsorship debt owing in the years 2008 and 2009. The outstanding balance and interest was discharged when Mr. Simon became bankrupt in 2010. Ultimately he was discharged from bankruptcy in 2015. As a result of the default under the sponsorship undertaking, he no longer qualified as a sponsor for the purposes of immigration.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Later, Mr. Simon attempted to sponsor a second spouse, ZuanHao Zhong, and her son, Jiang Feng Ye, the other plaintiffs in this action, for immigration into Canada. As Mr. Simon was disqualified as a sponsor for immigration purposes, the application for immigration was refused.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Litigation History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Since 2007, Mr. Simon has advanced various actions in the courts as follows:</w:t>
      </w:r>
      <w:r>
        <w:rPr>
          <w:rFonts w:ascii="arial" w:eastAsia="arial" w:hAnsi="arial" w:cs="arial"/>
          <w:sz w:val="20"/>
          <w:lang w:val="en-US" w:eastAsia="en-US" w:bidi="ar-SA"/>
        </w:rPr>
        <w:cr/>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October 1, 2007, Mr. Simon commenced Federal Court action T 1758-07 against the Government of Canada seeking damages and an order granting a visitor's visa for Ms. Zhong. The court struck this claim on November 7, 2007.</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March 11, 2009, Mr. Simon commenced an action in the Provincial Court of British Columbia action C090244 seeking damages against a lawyer for the Attorney General of British Columbia arising from communications regarding collection and possible settlement of the sponsorship debt. In that action, the plaintiff, Mr. Simon, also alleged at para. 3 of the statement of claim that: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This claim is laying on the borderlands between civil, constitutional, and criminal law and it mainly deals with torts. The plaintiff is having ongoing legal battles with the provincial authorities of British Columbia and the federal authorities of Canada. Namely, he is claiming that the following government authorities are - and have been since the year 2000 - joint tortfeasors acting against him: Ministry of Housing and Social Development (formerly known as the Ministry of Employment and Income Assistance) of British Columbia, British Columbia Revenue Agency, the Ombudsman British Columbia office, Ministry of Citizenship and Immigration, and Canada Revenue Agency.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court dismissed this claim on May 14, 2009. No appeal was taken from that dismissal.</w:t>
      </w:r>
    </w:p>
    <w:p>
      <w:pPr>
        <w:numPr>
          <w:numId w:val="3"/>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May and December 2009, Mr. Simon brought two separate applications for leave and for judicial review relating to his unsuccessful attempts to sponsor Ms. Zhong and Mr. Ye as permanent residents. The Federal Court dismissed both applications.</w:t>
      </w:r>
    </w:p>
    <w:p>
      <w:pPr>
        <w:numPr>
          <w:numId w:val="4"/>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On October 29, 2009, Mr. Simon commenced British Columbia Supreme Court action S097926 against the Government of Canada and the Province of British Columbia. He discontinued this action on May 7, 2010.</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On April 23, 2010, Mr. Simon commenced Federal Court action T-639-10 against the Government of Canada challenging the enforceability of a sponsorship debt and the propriety of the garnishments. Again, he sought a declaration that ZuanHao Zhong, and her son, Jiang Feng Ye be issued visitors visas. The court struck this claim on jurisdictional grounds on June 8, 2010.</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Mr. Simon appealed the dismissal of Federal Court action T-639-10. On January 10, 2011, the Federal Court of Appeal allowed his appeal in part, and varied the order to grant him leave to amend his pleading.</w:t>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On February 17, 2011, Mr. Simon filed an amended statement of claim in Federal Court action T-639-10. As reflected in Mr. Simon's amended statement of claim, the directions of the Federal Court of Appeal regarding the defects in his original pleading were not heeded. As a result, the court struck and dismissed Mr. Simon's amended statement of claim in that action on May 19, 2011.</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Mr. Simon appealed the order striking out his amended statement of claim Federal Court action T-639-10. On February 13, 2011, the Federal Court of Appeal dismissed his appeal.</w:t>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Mr. Simon attempted to further appeal to the Supreme Court of Canada. The Supreme Court of Canada treated Mr. Simon's notice of appeal as an application for leave to appeal which was dismissed by the Supreme Court of Canada on October 4, 2012.</w:t>
      </w: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Mr. Simon then asked the Supreme Court of Canada to reconsider its decision denying leave. On December 18, 2012, the Supreme Court Registrar wrote to Mr. Simon advising him that his motion did not satisfy the test for reconsideration.</w:t>
      </w:r>
    </w:p>
    <w:p>
      <w:pPr>
        <w:numPr>
          <w:numId w:val="1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On May 25, 2012, Mr. Simon filed a statement of claim in a third Federal Court action number T-1029-12 against the Government of Canada and others including the registry and the Registrar of the Supreme Court of Canada. This claim sought to pre-empt possible future garnishment of Mr. Simon's Canada Pension Plan benefit and to challenge the Supreme Court registry's refusal to accept his direct appeal for filing. For these alleged wrongs, Mr. Simon sought $900,000 in damages.</w:t>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On July 20, 2012, the Federal Court struck action number T-1029-12. Mr. Simon appealed alleging, in part, the Federal Court Judge was biased.</w:t>
      </w:r>
    </w:p>
    <w:p>
      <w:pPr>
        <w:numPr>
          <w:numId w:val="1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On February 18, 2014, the Federal Court of Appeal dismissed Mr. Simon's appeal.</w:t>
      </w:r>
    </w:p>
    <w:p>
      <w:pPr>
        <w:numPr>
          <w:numId w:val="1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Mr. Simon, again, attempted to appeal the dismissal of this claim directly to the Supreme Court of Canada. He also brought a motion to state a constitutional question. The court dismissed Mr. Simon's motion on September 16, 2014, and his appeal on February 26, 2015.</w:t>
      </w:r>
    </w:p>
    <w:p>
      <w:pPr>
        <w:numPr>
          <w:numId w:val="15"/>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On May 23, 2014, Mr. Simon filed a 72 page notice of civil claim in the British Columbia Supreme Court No. 4756 [Golden Registry] against the Attorney General of Canada and the Attorney General of British Columbia. In this claim, Mr. Simon alleged somewhere between 20 and 60 causes of action arising from his sponsorship debt and its consequences and sought nearly $10 million in general damages. The court struck and dismissed this claim on February 27, 2015, with detailed reasons provided by the Honourable Madam Justice Donegan of this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As noted above, on application by the defendants pursuant to Rule 9-5(1)(a-d) of the </w:t>
      </w:r>
      <w:r>
        <w:rPr>
          <w:rFonts w:ascii="arial" w:eastAsia="arial" w:hAnsi="arial" w:cs="arial"/>
          <w:i/>
          <w:color w:val="000000"/>
          <w:sz w:val="20"/>
          <w:lang w:val="en-US" w:eastAsia="en-US" w:bidi="ar-SA"/>
        </w:rPr>
        <w:t>Civil Rules</w:t>
      </w:r>
      <w:r>
        <w:rPr>
          <w:rFonts w:ascii="arial" w:eastAsia="arial" w:hAnsi="arial" w:cs="arial"/>
          <w:color w:val="000000"/>
          <w:sz w:val="20"/>
          <w:lang w:val="en-US" w:eastAsia="en-US" w:bidi="ar-SA"/>
        </w:rPr>
        <w:t xml:space="preserve"> to strike the notice of claim in its entirety without leave to amend, the Honourable Madam Justice Donegan in oral reasons stated at the outset: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 </w:t>
      </w:r>
      <w:r>
        <w:rPr>
          <w:rFonts w:ascii="arial" w:eastAsia="arial" w:hAnsi="arial" w:cs="arial"/>
          <w:b/>
          <w:color w:val="000000"/>
          <w:sz w:val="20"/>
          <w:lang w:val="en-US" w:eastAsia="en-US" w:bidi="ar-SA"/>
        </w:rPr>
        <w:t>I have taken a great deal of time since and prior to the oral hearing of this matter to carefully consider the written materials, the oral submissions, the notice of civil claim in its entirety, and the numerous case authorities that all three parties provided, as I recognize that, as "[v]aluable as it is, the motion to strike is a tool that must be used with care</w:t>
      </w:r>
      <w:r>
        <w:rPr>
          <w:rFonts w:ascii="arial" w:eastAsia="arial" w:hAnsi="arial" w:cs="arial"/>
          <w:color w:val="000000"/>
          <w:sz w:val="20"/>
          <w:lang w:val="en-US" w:eastAsia="en-US" w:bidi="ar-SA"/>
        </w:rPr>
        <w:t xml:space="preserve">." As the Supreme Court of Canada indicated in </w:t>
      </w:r>
      <w:r>
        <w:rPr>
          <w:rFonts w:ascii="arial" w:eastAsia="arial" w:hAnsi="arial" w:cs="arial"/>
          <w:i/>
          <w:color w:val="000000"/>
          <w:sz w:val="20"/>
          <w:lang w:val="en-US" w:eastAsia="en-US" w:bidi="ar-SA"/>
        </w:rPr>
        <w:t>R. v. Imperial Tobacco</w:t>
      </w:r>
      <w:r>
        <w:rPr>
          <w:rFonts w:ascii="arial" w:eastAsia="arial" w:hAnsi="arial" w:cs="arial"/>
          <w:color w:val="000000"/>
          <w:sz w:val="20"/>
          <w:lang w:val="en-US" w:eastAsia="en-US" w:bidi="ar-SA"/>
        </w:rPr>
        <w:t xml:space="preserve">, </w:t>
      </w:r>
      <w:hyperlink r:id="rId103" w:history="1">
        <w:r>
          <w:rPr>
            <w:rFonts w:ascii="arial" w:eastAsia="arial" w:hAnsi="arial" w:cs="arial"/>
            <w:i/>
            <w:color w:val="0077CC"/>
            <w:sz w:val="20"/>
            <w:u w:val="single"/>
            <w:shd w:val="clear" w:color="auto" w:fill="FFFFFF"/>
            <w:lang w:val="en-US" w:eastAsia="en-US" w:bidi="ar-SA"/>
          </w:rPr>
          <w:t>2011 SCC 42</w:t>
        </w:r>
      </w:hyperlink>
      <w:r>
        <w:rPr>
          <w:rFonts w:ascii="arial" w:eastAsia="arial" w:hAnsi="arial" w:cs="arial"/>
          <w:color w:val="000000"/>
          <w:sz w:val="20"/>
          <w:lang w:val="en-US" w:eastAsia="en-US" w:bidi="ar-SA"/>
        </w:rPr>
        <w:t xml:space="preserve"> (CanLII), the law is not static and unchanging. Actions that yesterday were deemed hopeless may tomorrow succeed. As I say, the motion to strike is a tool that must be used with care.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Her Ladyship then proceeded to review the facts presented to the Court and the notice of claim filed by the plaintiffs and made the following findings: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[34] Part 3 of the notice of civil claim entitled "Legal Basis", is, like Part 1, prolix and convoluted. This part is scattered with various arguments that attempt to fit vague yet serious allegations against a multitude of government, judicial, and legal officials into two broad causes of action: contract and tort, with primary emphasis and argument placed upon the tort claim.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[44] As I have indicated, many of the "causes of action" that are pleaded are not known to law, including:</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torts of contravening several acts of Parliament;</w:t>
      </w:r>
    </w:p>
    <w:p>
      <w:pPr>
        <w:numPr>
          <w:numId w:val="1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torts of interference and failure to deliver monies;</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torts of fraudulent conversion;</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torts of mental torture by the plaintiff by conspiracies; and</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tort of defrauding the public by deceit.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[45] As well, the plaintiffs allege numerous violations of the </w:t>
      </w:r>
      <w:r>
        <w:rPr>
          <w:rFonts w:ascii="arial" w:eastAsia="arial" w:hAnsi="arial" w:cs="arial"/>
          <w:i/>
          <w:color w:val="000000"/>
          <w:sz w:val="20"/>
          <w:lang w:val="en-US" w:eastAsia="en-US" w:bidi="ar-SA"/>
        </w:rPr>
        <w:t>Criminal Code</w:t>
      </w:r>
      <w:r>
        <w:rPr>
          <w:rFonts w:ascii="arial" w:eastAsia="arial" w:hAnsi="arial" w:cs="arial"/>
          <w:color w:val="000000"/>
          <w:sz w:val="20"/>
          <w:lang w:val="en-US" w:eastAsia="en-US" w:bidi="ar-SA"/>
        </w:rPr>
        <w:t xml:space="preserve"> against various individuals who are not named as defendants. These allegations include money laundering, torture, perjury, obstruction of justice, and terrorist activities on the part of various government and other officials, to name a few. These are spurious allegations that are not supported by any pleaded material facts and are not properly raised in a civil action.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[46] I also note that, throughout Part 3, the plaintiffs rely upon at least 40 statutes, many of which could have no possible bearing on this case. For example, under the "tort claim" identified as the "</w:t>
      </w:r>
      <w:r>
        <w:rPr>
          <w:rFonts w:ascii="arial" w:eastAsia="arial" w:hAnsi="arial" w:cs="arial"/>
          <w:i/>
          <w:color w:val="000000"/>
          <w:sz w:val="20"/>
          <w:lang w:val="en-US" w:eastAsia="en-US" w:bidi="ar-SA"/>
        </w:rPr>
        <w:t>contra proferentem</w:t>
      </w:r>
      <w:r>
        <w:rPr>
          <w:rFonts w:ascii="arial" w:eastAsia="arial" w:hAnsi="arial" w:cs="arial"/>
          <w:color w:val="000000"/>
          <w:sz w:val="20"/>
          <w:lang w:val="en-US" w:eastAsia="en-US" w:bidi="ar-SA"/>
        </w:rPr>
        <w:t xml:space="preserve"> rule - released from liability", the plaintiffs refer to the Laws of Hammurabi, King of Babylonia. At paragraph 86, in reference to those laws, the plaintiffs argue that "a man is not responsible for the debts created by his wife". Paragraph 86 reads as follows:</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laws of Hammurabi, king of Babylonia (r. 1848-1805 BC), recorded that a man is not responsible for the debts created by his wife. This principle has been accepted universally and it is valid in our days world-wide. If the CIC or the CRA wishes to challenge such massively established international common law, they must produce some good legal argument to this Honourable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Having reviewed the pleadings filed by the plaintiffs, the court found at paragraph 50: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[50] These paragraphs are followed by complex diagrams purporting to depict the various interconnected allegations made in the notice of civil claim, again all of which is not, in my view, supported by any pleaded material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The Court then asked the question "do the pleadings fail to disclose a reasonable claim against either or both of the defendants?" (para. 51). In paras. 55 through to and including para. 59, Donegan J. concluded that it was plain and obvious the action against both defendants could not succeed because the pleadings failed to satisfy their basic purpose of defining issues, a number of the potential causes of action which are unknown to the law were pleaded, and relying on </w:t>
      </w:r>
      <w:r>
        <w:rPr>
          <w:rFonts w:ascii="arial" w:eastAsia="arial" w:hAnsi="arial" w:cs="arial"/>
          <w:i/>
          <w:color w:val="000000"/>
          <w:sz w:val="20"/>
          <w:lang w:val="en-US" w:eastAsia="en-US" w:bidi="ar-SA"/>
        </w:rPr>
        <w:t>Fowler v. Canada (Attorney General)</w:t>
      </w:r>
      <w:r>
        <w:rPr>
          <w:rFonts w:ascii="arial" w:eastAsia="arial" w:hAnsi="arial" w:cs="arial"/>
          <w:color w:val="000000"/>
          <w:sz w:val="20"/>
          <w:lang w:val="en-US" w:eastAsia="en-US" w:bidi="ar-SA"/>
        </w:rPr>
        <w:t xml:space="preserve">, </w:t>
      </w:r>
      <w:hyperlink r:id="rId104" w:history="1">
        <w:r>
          <w:rPr>
            <w:rFonts w:ascii="arial" w:eastAsia="arial" w:hAnsi="arial" w:cs="arial"/>
            <w:i/>
            <w:color w:val="0077CC"/>
            <w:sz w:val="20"/>
            <w:u w:val="single"/>
            <w:shd w:val="clear" w:color="auto" w:fill="FFFFFF"/>
            <w:lang w:val="en-US" w:eastAsia="en-US" w:bidi="ar-SA"/>
          </w:rPr>
          <w:t>2012 BCSC 367</w:t>
        </w:r>
      </w:hyperlink>
      <w:r>
        <w:rPr>
          <w:rFonts w:ascii="arial" w:eastAsia="arial" w:hAnsi="arial" w:cs="arial"/>
          <w:color w:val="000000"/>
          <w:sz w:val="20"/>
          <w:lang w:val="en-US" w:eastAsia="en-US" w:bidi="ar-SA"/>
        </w:rPr>
        <w:t>, that the plaintiffs had failed to plead material facts in support of each element of these claims. Donegan J. stated, "In my view, none of these claims disclose any reasonable cause of action, specifically a contract claim." (para. 59).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At para. 62 Donegan J. found that a bare assertion of tortious conduct was insufficient and as a result that it was plain and obvious that the general tort claim was bound to fail.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At para. 68 Donegan J. reviewed the necessary elements that must be established to found an action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Donegan J. concluded that the plaintiffs had failed to plead material facts in support of each element of a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and as a result, it was plain and obvious the claim disclosed no reasonable cause of action and was bound to fail.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In relation to an apparent claim for breach of statutory duty discussed at para. 70, the court found that this was not a cause of action. It was found plain and obvious that a claim based on a breach of statutory duty disclosed no cause of action and was bound to fail.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Donegan J. described that at paras. 117 to 124 of Part 3 of the notice of claim, the plaintiffs advanced a claim for misfeasance in public office in an "argument". With respect to this claim, Her Ladyship at para. 74 of her reasons found: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[74] As I have repeatedly emphasized in these reasons, the plaintiffs' pleadings involve many assumptions, speculation, and in some instances what I think can fairly be described as bizarre conjecture. They contain no material facts to support a claim for deliberate unlawful conduct by named persons or an awareness that such conduct is unlawful and likely to injure the plaintiffs. They simply make bare allegations of wrongdoing by unnamed defendants, supported by only the plaintiffs' assumptions and speculation. There are no material facts pleaded in support of the elements of this claim, and as such it is plain and obvious that this claim is bound to fail.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With respect to various conspiracies to which Donegan J. made reference, which are referred to in paras. 161-171 of Part 3 of the notice of claim, she found at para. 77 of her reasons that the pleadings do not contain material facts to support the elements of the tort of conspiracy, pleadings which "only contain speculative assumptions". The claim for conspiracy "plainly and obviously discloses no reasonable cause of action and is bound to fail".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Donegan J. also reviewed allegations of a cause of action said by the plaintiffs to arise from breaches of the </w:t>
      </w:r>
      <w:r>
        <w:rPr>
          <w:rFonts w:ascii="arial" w:eastAsia="arial" w:hAnsi="arial" w:cs="arial"/>
          <w:i/>
          <w:color w:val="000000"/>
          <w:sz w:val="20"/>
          <w:lang w:val="en-US" w:eastAsia="en-US" w:bidi="ar-SA"/>
        </w:rPr>
        <w:t>Charter of Rights and Freedoms</w:t>
      </w:r>
      <w:r>
        <w:rPr>
          <w:rFonts w:ascii="arial" w:eastAsia="arial" w:hAnsi="arial" w:cs="arial"/>
          <w:color w:val="000000"/>
          <w:sz w:val="20"/>
          <w:lang w:val="en-US" w:eastAsia="en-US" w:bidi="ar-SA"/>
        </w:rPr>
        <w:t>. Her Ladyship found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[86] No matter how generously one reads these pleadings, it is plain and obvious there are no material facts pleaded to support any cause of action based on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violations. All that is pleaded are assumptions, speculation, and misconstrued legal argument.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A pleading concerning a claim of abuse of process was discerned by Donegan J. but Her Ladyship found that a lack of material facts in support of any of the elements of this claim made it plain and obvious that this claim was bound to fail.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Donegan J. noted the law is clear that vexatious action and litigation, which is an abuse of process, have strikingly similar features (para. 104, relying on </w:t>
      </w:r>
      <w:r>
        <w:rPr>
          <w:rFonts w:ascii="arial" w:eastAsia="arial" w:hAnsi="arial" w:cs="arial"/>
          <w:i/>
          <w:color w:val="000000"/>
          <w:sz w:val="20"/>
          <w:lang w:val="en-US" w:eastAsia="en-US" w:bidi="ar-SA"/>
        </w:rPr>
        <w:t>Freshway Speciality Foods v. Map Produce LLC</w:t>
      </w:r>
      <w:r>
        <w:rPr>
          <w:rFonts w:ascii="arial" w:eastAsia="arial" w:hAnsi="arial" w:cs="arial"/>
          <w:color w:val="000000"/>
          <w:sz w:val="20"/>
          <w:lang w:val="en-US" w:eastAsia="en-US" w:bidi="ar-SA"/>
        </w:rPr>
        <w:t xml:space="preserve">, </w:t>
      </w:r>
      <w:hyperlink r:id="rId105" w:history="1">
        <w:r>
          <w:rPr>
            <w:rFonts w:ascii="arial" w:eastAsia="arial" w:hAnsi="arial" w:cs="arial"/>
            <w:i/>
            <w:color w:val="0077CC"/>
            <w:sz w:val="20"/>
            <w:u w:val="single"/>
            <w:shd w:val="clear" w:color="auto" w:fill="FFFFFF"/>
            <w:lang w:val="en-US" w:eastAsia="en-US" w:bidi="ar-SA"/>
          </w:rPr>
          <w:t>2005 BCSC 1485</w:t>
        </w:r>
      </w:hyperlink>
      <w:r>
        <w:rPr>
          <w:rFonts w:ascii="arial" w:eastAsia="arial" w:hAnsi="arial" w:cs="arial"/>
          <w:color w:val="000000"/>
          <w:sz w:val="20"/>
          <w:lang w:val="en-US" w:eastAsia="en-US" w:bidi="ar-SA"/>
        </w:rPr>
        <w:t>). An action which is an abuse of process includes an action which is a collateral attack against the decisions of the courts and administrative bodies. Such collateral attacks are a frequent occurrence in the pleadings of the plaintiffs in this action. (para. 105).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chambers judge concluded the plaintiffs' pleadings failed to disclose a reasonable cause of action, were scandalous, frivolous, and vexatious, and otherwise constituted an abuse of the process of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On February 27, 2015, Donegan J. struck out the notice of claim without leave to amend and dismissed the action with costs. Costs were fixed on a lump sum basis at $1,000 for each of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On March 25, 2015, Mr. Simon filed a notice of appeal from the dismissal of BCSC Action No. 4756 under Court of Appeal Action No. CA 042664. In his factum on appeal, Mr. Simon alleged, among other things, misconduct on the part of legal counsel appearing in the court below and bias or infirmity on the part of Donegan J. The Court of Appeal dismissed Mr. Simon's appeal on January 21, 2016. Because of the brevity of the reasons of Fitch, J.A. for the Court of Appeal, the reasons indexed as </w:t>
      </w:r>
      <w:r>
        <w:rPr>
          <w:rFonts w:ascii="arial" w:eastAsia="arial" w:hAnsi="arial" w:cs="arial"/>
          <w:i/>
          <w:color w:val="000000"/>
          <w:sz w:val="20"/>
          <w:lang w:val="en-US" w:eastAsia="en-US" w:bidi="ar-SA"/>
        </w:rPr>
        <w:t>Simon v. British Columbia (Attorney General)</w:t>
      </w:r>
      <w:r>
        <w:rPr>
          <w:rFonts w:ascii="arial" w:eastAsia="arial" w:hAnsi="arial" w:cs="arial"/>
          <w:color w:val="000000"/>
          <w:sz w:val="20"/>
          <w:lang w:val="en-US" w:eastAsia="en-US" w:bidi="ar-SA"/>
        </w:rPr>
        <w:t xml:space="preserve">, </w:t>
      </w:r>
      <w:hyperlink r:id="rId106" w:history="1">
        <w:r>
          <w:rPr>
            <w:rFonts w:ascii="arial" w:eastAsia="arial" w:hAnsi="arial" w:cs="arial"/>
            <w:i/>
            <w:color w:val="0077CC"/>
            <w:sz w:val="20"/>
            <w:u w:val="single"/>
            <w:shd w:val="clear" w:color="auto" w:fill="FFFFFF"/>
            <w:lang w:val="en-US" w:eastAsia="en-US" w:bidi="ar-SA"/>
          </w:rPr>
          <w:t>2016 BCCA 52</w:t>
        </w:r>
      </w:hyperlink>
      <w:r>
        <w:rPr>
          <w:rFonts w:ascii="arial" w:eastAsia="arial" w:hAnsi="arial" w:cs="arial"/>
          <w:color w:val="000000"/>
          <w:sz w:val="20"/>
          <w:lang w:val="en-US" w:eastAsia="en-US" w:bidi="ar-SA"/>
        </w:rPr>
        <w:t xml:space="preserve"> are reproduced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 This is an appeal from an order made on February 27, 2015 under Rule 9-5(1) of the Supreme Court Civil Rules striking the whole of the appellants' claim without leave to amend and dismissing the action.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 The detailed and well-considered reasons of the chambers judge are indexed at </w:t>
      </w:r>
      <w:hyperlink r:id="rId107" w:history="1">
        <w:r>
          <w:rPr>
            <w:rFonts w:ascii="arial" w:eastAsia="arial" w:hAnsi="arial" w:cs="arial"/>
            <w:i/>
            <w:color w:val="0077CC"/>
            <w:sz w:val="20"/>
            <w:u w:val="single"/>
            <w:shd w:val="clear" w:color="auto" w:fill="FFFFFF"/>
            <w:lang w:val="en-US" w:eastAsia="en-US" w:bidi="ar-SA"/>
          </w:rPr>
          <w:t>2015 BCSC 924</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 The chambers judge concluded the appellants' pleadings failed to disclose a reasonable cause of action, were scandalous, frivolous and vexatious, and otherwise constituted an abuse of the process of the court.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 The appellants assert that the chambers judge erred in articulating and applying the test governing applications to strike pleadings. In addition, the appellants assert that a reasonable apprehension of bias arises out of the manner in which the chambers judge dealt with the application. In conjunction with the appeal, the appellants have filed in this Court material that was not before the chambers judge. The additional material is summarized at para. 15 of the factum filed on behalf of the Attorney General of Canada. No application has been made to admit this additional material as fresh evidence on the appeal.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 In my view, no grounds have been shown to interfere with the orders made by the chambers judge. Her articulation and application of the governing law is unassailable.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 The reasonable apprehension of bias argument is unsupported by any factual foundation or principled argument and is wholly without merit.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 Finally, I take no account of, nor would I admit, the additional material the appellants have filed in support of this appeal. This material is not properly before us and could not possibly meet the test under </w:t>
      </w:r>
      <w:r>
        <w:rPr>
          <w:rFonts w:ascii="arial" w:eastAsia="arial" w:hAnsi="arial" w:cs="arial"/>
          <w:i/>
          <w:color w:val="000000"/>
          <w:sz w:val="20"/>
          <w:lang w:val="en-US" w:eastAsia="en-US" w:bidi="ar-SA"/>
        </w:rPr>
        <w:t>Palmer v. The Queen</w:t>
      </w:r>
      <w:r>
        <w:rPr>
          <w:rFonts w:ascii="arial" w:eastAsia="arial" w:hAnsi="arial" w:cs="arial"/>
          <w:color w:val="000000"/>
          <w:sz w:val="20"/>
          <w:lang w:val="en-US" w:eastAsia="en-US" w:bidi="ar-SA"/>
        </w:rPr>
        <w:t xml:space="preserve">, </w:t>
      </w:r>
      <w:hyperlink r:id="rId108" w:history="1">
        <w:r>
          <w:rPr>
            <w:rFonts w:ascii="arial" w:eastAsia="arial" w:hAnsi="arial" w:cs="arial"/>
            <w:i/>
            <w:color w:val="0077CC"/>
            <w:sz w:val="20"/>
            <w:u w:val="single"/>
            <w:shd w:val="clear" w:color="auto" w:fill="FFFFFF"/>
            <w:lang w:val="en-US" w:eastAsia="en-US" w:bidi="ar-SA"/>
          </w:rPr>
          <w:t>[1980] 1 S.C.R. 759</w:t>
        </w:r>
      </w:hyperlink>
      <w:r>
        <w:rPr>
          <w:rFonts w:ascii="arial" w:eastAsia="arial" w:hAnsi="arial" w:cs="arial"/>
          <w:color w:val="000000"/>
          <w:sz w:val="20"/>
          <w:lang w:val="en-US" w:eastAsia="en-US" w:bidi="ar-SA"/>
        </w:rPr>
        <w:t xml:space="preserve"> for the admission of fresh evidence on appeal.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 For these reasons, I would dismiss the appeal with costs against the appellant, Zoltan Andrew Simon.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Mr. Simon wrote to the Court of Appeal registry requesting that his appeal be reopened. On February 27, 2017, the Court replied to Mr. Simon explaining that his appeal would not be reopened.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Mr. Simon tried for the third time to appeal from the British Columbia Court of Appeal decision, noted above, directly to the Supreme Court of Canada and a second time to file a motion to state a constitutional question. In this instance, the Supreme Court registry refused to accept his documents for filing on the basis that he first required leave of the court to commence the appeal. He had not and did not obtain leave of the Supreme Court of Canada to bring this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On July 5, 2016, Mr. Simon filed a 155 page statement of claim in a fourth Federal Court action T1066-16 against the Government of Canada. On August 29, 2016, the court struck and dismissed this claim on the basis that it disclosed no reasonable cause of action, was scandalous, vexatious, and an abuse of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On February 16, 2017, the registrar of the Court of Appeal of British Columbia issued a certificate of costs in favour of the Attorney General of British Columbia in action CA 042664 in the amount of $2,445.01. The Attorney General of British Columbia has filed a certificate of costs in the Supreme Court and demanded payment from Mr. Simon. To date these costs remain unpaid.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Notice of Claim in Action No. 5675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On May 3, 2017, Mr. Simon served the province with a 132 page notice of claim in the present action, Golden Registry Action No. 5675, naming Her Majesty the Queen in Right of Canada represented by the Attorney General of Canada and the Province of British Columbia represented by the Attorney General of British Columbia, both in their representative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notice of claim, which is the subject of the current application, repeats, incorporates, and expands upon past pleadings, as will be demonstrated below, all of the pleadings which have been struck and dismissed by courts of competent jurisdiction. Specific examples will be referred to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In so far as the notice of claim repeats or incorporates claims which have been struck out already, as described so ably by Donegan, J. and the Court of Appeal of British Columbia, I am bound by the doctrine of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xml:space="preserve"> which clearly applies to repeated claims based on repeated pleadings.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principle of judicial comity also applies. Judicial comity has been defined as: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Comity is not a rule of law, but one of practise, convenience and expediency. It is something more than mere courtesy, which implies only deference to the opinion of others, since it has a substantial value in securing uniformity of decision, and discouraging repeated litigation of the same question. But its obligation is not imperative, comity persuades; but it does not command. It declares not how a case shall be decided, but how it may with propriety be decided." (</w:t>
      </w:r>
      <w:r>
        <w:rPr>
          <w:rFonts w:ascii="arial" w:eastAsia="arial" w:hAnsi="arial" w:cs="arial"/>
          <w:i/>
          <w:color w:val="000000"/>
          <w:sz w:val="20"/>
          <w:lang w:val="en-US" w:eastAsia="en-US" w:bidi="ar-SA"/>
        </w:rPr>
        <w:t>TMR Energy v. Ukraine(State Property Fund)</w:t>
      </w:r>
      <w:r>
        <w:rPr>
          <w:rFonts w:ascii="arial" w:eastAsia="arial" w:hAnsi="arial" w:cs="arial"/>
          <w:color w:val="000000"/>
          <w:sz w:val="20"/>
          <w:lang w:val="en-US" w:eastAsia="en-US" w:bidi="ar-SA"/>
        </w:rPr>
        <w:t>, [2004] N.J. No. 488, citing Black's Law Dictionary, 4th Edition, West Publishing, St Paul Minnesota.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Further, as detailed above, the Court of Appeal found the decision of Donegan J. striking the pleadings of the plaintiff was a correct decision and that Her Ladyship's "articulation and application of the governing law was unassailable" (para. 5). That decision is clearly binding on this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 have no authority or jurisdiction to reconsider those decisions. I adopt the decision of Donegan, J as affirmed by the Court of Appeal. The same result must follow with respect to striking from this action the pleadings of the plaintiffs referred to in those decisions. As noted above, the balance of the additional pleadings contained in Part 1 of the notice of claim is struck for the reasons set forth above. The wide variety of issues that were described in the notice of claim have already been decided in by other authorities and courts over which this court has no supervisory, review, or appellate authority.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Given the previous decision of the Court of Appeal on the pleadings repeated by the plaintiffs, I will not consider those pleadings further in these reasons, except as the use of pleadings already struck out inform the consideration of whether the plaintiff, Zoltan Andrew Simon, is a vexatious litigant in these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portions of the pleadings in the present action that are not in the same words as in the statement of facts, Part 1 of the notice of claim, (reviewed by Donegan J. and later by the Court of Appeal of BC) are as follows:</w:t>
      </w:r>
      <w:r>
        <w:rPr>
          <w:rFonts w:ascii="arial" w:eastAsia="arial" w:hAnsi="arial" w:cs="arial"/>
          <w:sz w:val="20"/>
          <w:lang w:val="en-US" w:eastAsia="en-US" w:bidi="ar-SA"/>
        </w:rPr>
        <w:cr/>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paras. 1 to 24;</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paras. 27 and 28;</w:t>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para. 32;</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paras. 34 to 37;</w:t>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paras 49 to 50;</w:t>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paras. 70 to 74;</w:t>
      </w:r>
    </w:p>
    <w:p>
      <w:pPr>
        <w:numPr>
          <w:numId w:val="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paras. 94 to 95;</w:t>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paras. 119 to 121;</w:t>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para.158;</w:t>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para. 174;</w:t>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paras. 183 to 185;</w:t>
      </w:r>
    </w:p>
    <w:p>
      <w:pPr>
        <w:numPr>
          <w:numId w:val="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para. 187;</w:t>
      </w:r>
    </w:p>
    <w:p>
      <w:pPr>
        <w:numPr>
          <w:numId w:val="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para. 192; and</w:t>
      </w:r>
    </w:p>
    <w:p>
      <w:pPr>
        <w:numPr>
          <w:numId w:val="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para. 207 to 347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Paragraphs 1 to 24 referred to above are a reiteration of the complaints of the plaintiffs previously reviewed by this Court and by the Court of Appeal and in addition by immigration authorities, the Federal Court of Canada, and the Federal Court of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Paragraph 27 is a conclusion about a list of issues and not a statement of fact. Paragraph 28 is a heading which contains no statement of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Paragraph 32 is a statement of the plaintiffs' reasons for the law suit and damages in tort, against the federal Crown and the provincial Crown, both of which claims were before this Court and the Court of Appeal in the prior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Paragraphs 34 to 37 contain bald allegations of fraud against Crown counsel and other allegations related to matters heard by Donegan J. and the Court of Appeal on appeal from the decision of Donegan J. This court has no jurisdiction to review or re-hear such matters.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comment made in the foregoing paragraph also applies to paras. 48, 49, and 50 of the notice of claim, the contents of which were before Donegan J. This court has no capacity to review matters previously adjudicated.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Paragraphs 70 to 73 are again restatements of matters previously litigated and decided in historical proceedings listed above. Paragraph 73 begins with the phrase "The plaintiff is uncertain..." a phrase which is clearly not a statement of fact and concerns persons about whom the plaintiffs have no personal knowledge. The "conclusion" made by the plaintiffs is not a statement of fact. Paragraph 74 refers to a conditional circumstance which likewise is not a statement of fact, and not appropriate for a notice of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Paragraphs 94 and 95 are matters concerning the debt earlier claimed by British Columbia based on the payment of social assistance to the former spouse of Mr. Simon and the calculation of the amount of that debt. These are matters which have previously been litigated and decided. These matters will not be considered further in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Paragraphs 119 to 121 are demonstrated by their contents to be matters which have been previously litigated and decided. These matters will not be considered further in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Paragraph 158 is based on the premise that the contents of a pleading filed by legal counsel on behalf of a client is a personal statement of counsel akin to the giving of testimony under oath. The premise of this paragraph is quite contrary to the law respecting pleadings filed by legal counsel. The contents of this paragraph make it clear that the conclusion that perjury has occurred is simply nonsense.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Paragraph 74 appears to be a complaint about a document which was admitted to have been served upon and received by Mr. Simon. The circumstances alleged do not contain a cause of action known to the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Paragraph 183 contains the contents of a letter written by the Registrar of the Supreme Court of Canada. Paragraph 184 is a complaint about the quality of the Registrar's use of the French language, alleging an act of bad faith, and a breach of a section of the </w:t>
      </w:r>
      <w:r>
        <w:rPr>
          <w:rFonts w:ascii="arial" w:eastAsia="arial" w:hAnsi="arial" w:cs="arial"/>
          <w:i/>
          <w:color w:val="000000"/>
          <w:sz w:val="20"/>
          <w:lang w:val="en-US" w:eastAsia="en-US" w:bidi="ar-SA"/>
        </w:rPr>
        <w:t>Criminal Code of Canada</w:t>
      </w:r>
      <w:r>
        <w:rPr>
          <w:rFonts w:ascii="arial" w:eastAsia="arial" w:hAnsi="arial" w:cs="arial"/>
          <w:color w:val="000000"/>
          <w:sz w:val="20"/>
          <w:lang w:val="en-US" w:eastAsia="en-US" w:bidi="ar-SA"/>
        </w:rPr>
        <w:t xml:space="preserve">. None of these allegations give rise to a cause of action known to the law. The allegation of a breach of the </w:t>
      </w:r>
      <w:r>
        <w:rPr>
          <w:rFonts w:ascii="arial" w:eastAsia="arial" w:hAnsi="arial" w:cs="arial"/>
          <w:i/>
          <w:color w:val="000000"/>
          <w:sz w:val="20"/>
          <w:lang w:val="en-US" w:eastAsia="en-US" w:bidi="ar-SA"/>
        </w:rPr>
        <w:t>Criminal Code of Canada</w:t>
      </w:r>
      <w:r>
        <w:rPr>
          <w:rFonts w:ascii="arial" w:eastAsia="arial" w:hAnsi="arial" w:cs="arial"/>
          <w:color w:val="000000"/>
          <w:sz w:val="20"/>
          <w:lang w:val="en-US" w:eastAsia="en-US" w:bidi="ar-SA"/>
        </w:rPr>
        <w:t xml:space="preserve"> is personal to the Registrar and the Registrar is not a party to this action. The same frivolous allegation is repeated in paragraph 185.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Paragraph 192 is a repetition of statement about the sponsorship debt claimed by British Columbia concerning payments of social assistance to Ms. Reyes, Mr. Simon's first spouse. These matters have been litigated and ruled upon in earlier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Paragraphs 207 to 347 contain a variety of complaints about legal counsel, administrators, and judges which have no substance and which are unsupported by any statement of material facts which might be proven in a trial. A glaring example of the flawed appreciation by Mr. Simon of the role of courts and the effect of judgments is para. 285 of the notice of claim which, in part states, "Her [Donegan J.] conclusion, supported by the BCCA, means that Canada does not need any court or judges (since most or all of the court cases contain a party's contravention of a statute). A decision of a single judge cannot terminate the jobs of thousands of decision-makers in our country not even indirectly." This is the kind of pleading that is a textbook example of those subject to the limited use of the power to strike pleadings pursuant to the various provisions of Rule 9-5(1).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Vexatious Litigant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The defendants bring their applications to strike the plaintiffs' notice of civil claim pursuant to Rule 9-5(1) of the </w:t>
      </w:r>
      <w:r>
        <w:rPr>
          <w:rFonts w:ascii="arial" w:eastAsia="arial" w:hAnsi="arial" w:cs="arial"/>
          <w:i/>
          <w:color w:val="000000"/>
          <w:sz w:val="20"/>
          <w:lang w:val="en-US" w:eastAsia="en-US" w:bidi="ar-SA"/>
        </w:rPr>
        <w:t>Civil Rules</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Scandalous, frivolous or vexatious matters</w:t>
      </w:r>
    </w:p>
    <w:p>
      <w:pPr>
        <w:numPr>
          <w:numId w:val="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any stage of a proceeding, the court may order to be struck out or amended the whole or any part of a pleading, petition or other document on the ground that</w:t>
      </w:r>
    </w:p>
    <w:p>
      <w:pPr>
        <w:numPr>
          <w:numId w:val="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discloses no reasonable claim or defence, as the case may be,</w:t>
      </w:r>
    </w:p>
    <w:p>
      <w:pPr>
        <w:numPr>
          <w:numId w:val="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unnecessary, scandalous, frivolous or vexatious,</w:t>
      </w:r>
    </w:p>
    <w:p>
      <w:pPr>
        <w:numPr>
          <w:numId w:val="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may prejudice, embarrass or delay the fair trial or hearing of the proceeding, or</w:t>
      </w:r>
    </w:p>
    <w:p>
      <w:pPr>
        <w:numPr>
          <w:numId w:val="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otherwise an abuse of the process of the court,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and the court may pronounce judgment or order the proceeding to be stayed or dismissed and may order the costs of the application to be paid as 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Skolrood J. summarized the principles that govern courts dealing with motion to strike applications generally in </w:t>
      </w:r>
      <w:r>
        <w:rPr>
          <w:rFonts w:ascii="arial" w:eastAsia="arial" w:hAnsi="arial" w:cs="arial"/>
          <w:i/>
          <w:color w:val="000000"/>
          <w:sz w:val="20"/>
          <w:lang w:val="en-US" w:eastAsia="en-US" w:bidi="ar-SA"/>
        </w:rPr>
        <w:t>Strohmaier v. British Columbia (Attorney General)</w:t>
      </w:r>
      <w:r>
        <w:rPr>
          <w:rFonts w:ascii="arial" w:eastAsia="arial" w:hAnsi="arial" w:cs="arial"/>
          <w:color w:val="000000"/>
          <w:sz w:val="20"/>
          <w:lang w:val="en-US" w:eastAsia="en-US" w:bidi="ar-SA"/>
        </w:rPr>
        <w:t xml:space="preserve">, </w:t>
      </w:r>
      <w:hyperlink r:id="rId109" w:history="1">
        <w:r>
          <w:rPr>
            <w:rFonts w:ascii="arial" w:eastAsia="arial" w:hAnsi="arial" w:cs="arial"/>
            <w:i/>
            <w:color w:val="0077CC"/>
            <w:sz w:val="20"/>
            <w:u w:val="single"/>
            <w:shd w:val="clear" w:color="auto" w:fill="FFFFFF"/>
            <w:lang w:val="en-US" w:eastAsia="en-US" w:bidi="ar-SA"/>
          </w:rPr>
          <w:t>2015 BCSC 1189</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[14] The principles governing an application to strike are well known and have been discussed by the Supreme Court of Canada in numerous decisions. For example, in </w:t>
      </w:r>
      <w:r>
        <w:rPr>
          <w:rFonts w:ascii="arial" w:eastAsia="arial" w:hAnsi="arial" w:cs="arial"/>
          <w:i/>
          <w:color w:val="000000"/>
          <w:sz w:val="20"/>
          <w:lang w:val="en-US" w:eastAsia="en-US" w:bidi="ar-SA"/>
        </w:rPr>
        <w:t>Odhavji Estate v. Woodhouse</w:t>
      </w:r>
      <w:r>
        <w:rPr>
          <w:rFonts w:ascii="arial" w:eastAsia="arial" w:hAnsi="arial" w:cs="arial"/>
          <w:color w:val="000000"/>
          <w:sz w:val="20"/>
          <w:lang w:val="en-US" w:eastAsia="en-US" w:bidi="ar-SA"/>
        </w:rPr>
        <w:t xml:space="preserve">, </w:t>
      </w:r>
      <w:hyperlink r:id="rId110" w:history="1">
        <w:r>
          <w:rPr>
            <w:rFonts w:ascii="arial" w:eastAsia="arial" w:hAnsi="arial" w:cs="arial"/>
            <w:i/>
            <w:color w:val="0077CC"/>
            <w:sz w:val="20"/>
            <w:u w:val="single"/>
            <w:shd w:val="clear" w:color="auto" w:fill="FFFFFF"/>
            <w:lang w:val="en-US" w:eastAsia="en-US" w:bidi="ar-SA"/>
          </w:rPr>
          <w:t>2003 SCC 69</w:t>
        </w:r>
      </w:hyperlink>
      <w:r>
        <w:rPr>
          <w:rFonts w:ascii="arial" w:eastAsia="arial" w:hAnsi="arial" w:cs="arial"/>
          <w:color w:val="000000"/>
          <w:sz w:val="20"/>
          <w:lang w:val="en-US" w:eastAsia="en-US" w:bidi="ar-SA"/>
        </w:rPr>
        <w:t xml:space="preserve"> (CanLII), the Court said as follows at para. 15:</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An excellent statement of the test for striking out a claim under such provisions is that set out by Wilson J. in </w:t>
      </w:r>
      <w:r>
        <w:rPr>
          <w:rFonts w:ascii="arial" w:eastAsia="arial" w:hAnsi="arial" w:cs="arial"/>
          <w:i/>
          <w:color w:val="000000"/>
          <w:sz w:val="20"/>
          <w:lang w:val="en-US" w:eastAsia="en-US" w:bidi="ar-SA"/>
        </w:rPr>
        <w:t>Hunt v. Carey Canada Inc.</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1990 CanLII 90</w:t>
      </w:r>
      <w:r>
        <w:rPr>
          <w:rFonts w:ascii="arial" w:eastAsia="arial" w:hAnsi="arial" w:cs="arial"/>
          <w:color w:val="000000"/>
          <w:sz w:val="20"/>
          <w:lang w:val="en-US" w:eastAsia="en-US" w:bidi="ar-SA"/>
        </w:rPr>
        <w:t xml:space="preserve"> (SCC), </w:t>
      </w:r>
      <w:r>
        <w:rPr>
          <w:rFonts w:ascii="arial" w:eastAsia="arial" w:hAnsi="arial" w:cs="arial"/>
          <w:i/>
          <w:color w:val="000000"/>
          <w:sz w:val="20"/>
          <w:lang w:val="en-US" w:eastAsia="en-US" w:bidi="ar-SA"/>
        </w:rPr>
        <w:t>[1990] 2 S.C.R. 959</w:t>
      </w:r>
      <w:r>
        <w:rPr>
          <w:rFonts w:ascii="arial" w:eastAsia="arial" w:hAnsi="arial" w:cs="arial"/>
          <w:color w:val="000000"/>
          <w:sz w:val="20"/>
          <w:lang w:val="en-US" w:eastAsia="en-US" w:bidi="ar-SA"/>
        </w:rPr>
        <w:t>, at p. 980:</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assuming that the facts as stated in the statement of claim can be proved, is it "plain and obvious" that the plaintiff's statement of claim discloses no reasonable cause of action? As in England, if there is a chance that the plaintiff might succeed, then the plaintiff should not be "driven from the judgment seat". Neither the length and complexity of the issues, the novelty of the cause of action, nor the potential for the defendant to present a strong defence should prevent the plaintiff from proceeding with his or her case. Only if the action is certain to fail because it contains a radical defect ... should the relevant portions of a plaintiff's statement of claim be struck out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test is a stringent one. The facts are to be taken as pleaded. When so taken, the question that must then be determined is whether there it is "plain and obvious" that the action must fail. It is only if the statement of claim is certain to fail because it contains a "radical defect" that the plaintiff should be driven from the judgment. See also </w:t>
      </w:r>
      <w:r>
        <w:rPr>
          <w:rFonts w:ascii="arial" w:eastAsia="arial" w:hAnsi="arial" w:cs="arial"/>
          <w:i/>
          <w:color w:val="000000"/>
          <w:sz w:val="20"/>
          <w:lang w:val="en-US" w:eastAsia="en-US" w:bidi="ar-SA"/>
        </w:rPr>
        <w:t>Attorney General of Canada v. Inuit Tapirisat of Canada</w:t>
      </w:r>
      <w:r>
        <w:rPr>
          <w:rFonts w:ascii="arial" w:eastAsia="arial" w:hAnsi="arial" w:cs="arial"/>
          <w:color w:val="000000"/>
          <w:sz w:val="20"/>
          <w:lang w:val="en-US" w:eastAsia="en-US" w:bidi="ar-SA"/>
        </w:rPr>
        <w:t xml:space="preserve">, </w:t>
      </w:r>
      <w:hyperlink r:id="rId111" w:history="1">
        <w:r>
          <w:rPr>
            <w:rFonts w:ascii="arial" w:eastAsia="arial" w:hAnsi="arial" w:cs="arial"/>
            <w:i/>
            <w:color w:val="0077CC"/>
            <w:sz w:val="20"/>
            <w:u w:val="single"/>
            <w:shd w:val="clear" w:color="auto" w:fill="FFFFFF"/>
            <w:lang w:val="en-US" w:eastAsia="en-US" w:bidi="ar-SA"/>
          </w:rPr>
          <w:t>1980 CanLII 21</w:t>
        </w:r>
      </w:hyperlink>
      <w:r>
        <w:rPr>
          <w:rFonts w:ascii="arial" w:eastAsia="arial" w:hAnsi="arial" w:cs="arial"/>
          <w:color w:val="000000"/>
          <w:sz w:val="20"/>
          <w:lang w:val="en-US" w:eastAsia="en-US" w:bidi="ar-SA"/>
        </w:rPr>
        <w:t xml:space="preserve"> (SCC), </w:t>
      </w:r>
      <w:hyperlink r:id="rId111" w:history="1">
        <w:r>
          <w:rPr>
            <w:rFonts w:ascii="arial" w:eastAsia="arial" w:hAnsi="arial" w:cs="arial"/>
            <w:i/>
            <w:color w:val="0077CC"/>
            <w:sz w:val="20"/>
            <w:u w:val="single"/>
            <w:shd w:val="clear" w:color="auto" w:fill="FFFFFF"/>
            <w:lang w:val="en-US" w:eastAsia="en-US" w:bidi="ar-SA"/>
          </w:rPr>
          <w:t>[1980] 2 S.C.R. 735</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[15] The Supreme Court reiterated the test more recently in </w:t>
      </w:r>
      <w:r>
        <w:rPr>
          <w:rFonts w:ascii="arial" w:eastAsia="arial" w:hAnsi="arial" w:cs="arial"/>
          <w:i/>
          <w:color w:val="000000"/>
          <w:sz w:val="20"/>
          <w:lang w:val="en-US" w:eastAsia="en-US" w:bidi="ar-SA"/>
        </w:rPr>
        <w:t>R. v. Imperial Tobacco Canada Ltd.</w:t>
      </w:r>
      <w:r>
        <w:rPr>
          <w:rFonts w:ascii="arial" w:eastAsia="arial" w:hAnsi="arial" w:cs="arial"/>
          <w:color w:val="000000"/>
          <w:sz w:val="20"/>
          <w:lang w:val="en-US" w:eastAsia="en-US" w:bidi="ar-SA"/>
        </w:rPr>
        <w:t xml:space="preserve">, </w:t>
      </w:r>
      <w:hyperlink r:id="rId103" w:history="1">
        <w:r>
          <w:rPr>
            <w:rFonts w:ascii="arial" w:eastAsia="arial" w:hAnsi="arial" w:cs="arial"/>
            <w:i/>
            <w:color w:val="0077CC"/>
            <w:sz w:val="20"/>
            <w:u w:val="single"/>
            <w:shd w:val="clear" w:color="auto" w:fill="FFFFFF"/>
            <w:lang w:val="en-US" w:eastAsia="en-US" w:bidi="ar-SA"/>
          </w:rPr>
          <w:t>2011 SCC 42</w:t>
        </w:r>
      </w:hyperlink>
      <w:r>
        <w:rPr>
          <w:rFonts w:ascii="arial" w:eastAsia="arial" w:hAnsi="arial" w:cs="arial"/>
          <w:color w:val="000000"/>
          <w:sz w:val="20"/>
          <w:lang w:val="en-US" w:eastAsia="en-US" w:bidi="ar-SA"/>
        </w:rPr>
        <w:t xml:space="preserve"> (CanLII) at para. 17:</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parties agree on the test applicable on a motion to strike for not disclosing a reasonable cause of action under r. 19(24)(a) of the B.C. </w:t>
      </w:r>
      <w:r>
        <w:rPr>
          <w:rFonts w:ascii="arial" w:eastAsia="arial" w:hAnsi="arial" w:cs="arial"/>
          <w:i/>
          <w:color w:val="000000"/>
          <w:sz w:val="20"/>
          <w:lang w:val="en-US" w:eastAsia="en-US" w:bidi="ar-SA"/>
        </w:rPr>
        <w:t>Supreme Court Rules</w:t>
      </w:r>
      <w:r>
        <w:rPr>
          <w:rFonts w:ascii="arial" w:eastAsia="arial" w:hAnsi="arial" w:cs="arial"/>
          <w:color w:val="000000"/>
          <w:sz w:val="20"/>
          <w:lang w:val="en-US" w:eastAsia="en-US" w:bidi="ar-SA"/>
        </w:rPr>
        <w:t xml:space="preserve">. This Court has reiterated the test on many occasions. A claim will only be struck if it is plain and obvious, assuming the facts pleaded to be true, that the pleading discloses no reasonable cause of action: </w:t>
      </w:r>
      <w:r>
        <w:rPr>
          <w:rFonts w:ascii="arial" w:eastAsia="arial" w:hAnsi="arial" w:cs="arial"/>
          <w:i/>
          <w:color w:val="000000"/>
          <w:sz w:val="20"/>
          <w:lang w:val="en-US" w:eastAsia="en-US" w:bidi="ar-SA"/>
        </w:rPr>
        <w:t>Odhavji Estate v. Woodhouse</w:t>
      </w:r>
      <w:r>
        <w:rPr>
          <w:rFonts w:ascii="arial" w:eastAsia="arial" w:hAnsi="arial" w:cs="arial"/>
          <w:color w:val="000000"/>
          <w:sz w:val="20"/>
          <w:lang w:val="en-US" w:eastAsia="en-US" w:bidi="ar-SA"/>
        </w:rPr>
        <w:t xml:space="preserve">, </w:t>
      </w:r>
      <w:hyperlink r:id="rId110" w:history="1">
        <w:r>
          <w:rPr>
            <w:rFonts w:ascii="arial" w:eastAsia="arial" w:hAnsi="arial" w:cs="arial"/>
            <w:i/>
            <w:color w:val="0077CC"/>
            <w:sz w:val="20"/>
            <w:u w:val="single"/>
            <w:shd w:val="clear" w:color="auto" w:fill="FFFFFF"/>
            <w:lang w:val="en-US" w:eastAsia="en-US" w:bidi="ar-SA"/>
          </w:rPr>
          <w:t>2003 SCC 69</w:t>
        </w:r>
      </w:hyperlink>
      <w:r>
        <w:rPr>
          <w:rFonts w:ascii="arial" w:eastAsia="arial" w:hAnsi="arial" w:cs="arial"/>
          <w:color w:val="000000"/>
          <w:sz w:val="20"/>
          <w:lang w:val="en-US" w:eastAsia="en-US" w:bidi="ar-SA"/>
        </w:rPr>
        <w:t xml:space="preserve"> (CanLII), </w:t>
      </w:r>
      <w:hyperlink r:id="rId110" w:history="1">
        <w:r>
          <w:rPr>
            <w:rFonts w:ascii="arial" w:eastAsia="arial" w:hAnsi="arial" w:cs="arial"/>
            <w:i/>
            <w:color w:val="0077CC"/>
            <w:sz w:val="20"/>
            <w:u w:val="single"/>
            <w:shd w:val="clear" w:color="auto" w:fill="FFFFFF"/>
            <w:lang w:val="en-US" w:eastAsia="en-US" w:bidi="ar-SA"/>
          </w:rPr>
          <w:t>[2003] 3 S.C.R. 263</w:t>
        </w:r>
      </w:hyperlink>
      <w:r>
        <w:rPr>
          <w:rFonts w:ascii="arial" w:eastAsia="arial" w:hAnsi="arial" w:cs="arial"/>
          <w:color w:val="000000"/>
          <w:sz w:val="20"/>
          <w:lang w:val="en-US" w:eastAsia="en-US" w:bidi="ar-SA"/>
        </w:rPr>
        <w:t xml:space="preserve">, at para. 15; </w:t>
      </w:r>
      <w:r>
        <w:rPr>
          <w:rFonts w:ascii="arial" w:eastAsia="arial" w:hAnsi="arial" w:cs="arial"/>
          <w:i/>
          <w:color w:val="000000"/>
          <w:sz w:val="20"/>
          <w:lang w:val="en-US" w:eastAsia="en-US" w:bidi="ar-SA"/>
        </w:rPr>
        <w:t>Hunt v. Carey Canada Inc.</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1990 CanLII 90</w:t>
      </w:r>
      <w:r>
        <w:rPr>
          <w:rFonts w:ascii="arial" w:eastAsia="arial" w:hAnsi="arial" w:cs="arial"/>
          <w:color w:val="000000"/>
          <w:sz w:val="20"/>
          <w:lang w:val="en-US" w:eastAsia="en-US" w:bidi="ar-SA"/>
        </w:rPr>
        <w:t xml:space="preserve"> (SCC), </w:t>
      </w:r>
      <w:r>
        <w:rPr>
          <w:rFonts w:ascii="arial" w:eastAsia="arial" w:hAnsi="arial" w:cs="arial"/>
          <w:i/>
          <w:color w:val="000000"/>
          <w:sz w:val="20"/>
          <w:lang w:val="en-US" w:eastAsia="en-US" w:bidi="ar-SA"/>
        </w:rPr>
        <w:t>[1990] 2 S.C.R. 959</w:t>
      </w:r>
      <w:r>
        <w:rPr>
          <w:rFonts w:ascii="arial" w:eastAsia="arial" w:hAnsi="arial" w:cs="arial"/>
          <w:color w:val="000000"/>
          <w:sz w:val="20"/>
          <w:lang w:val="en-US" w:eastAsia="en-US" w:bidi="ar-SA"/>
        </w:rPr>
        <w:t xml:space="preserve">, at p. 980. Another way of putting the test is that the claim has no reasonable prospect of success. Where a reasonable prospect of success exists, the matter should be allowed to proceed to trial: see, generally, </w:t>
      </w:r>
      <w:r>
        <w:rPr>
          <w:rFonts w:ascii="arial" w:eastAsia="arial" w:hAnsi="arial" w:cs="arial"/>
          <w:i/>
          <w:color w:val="000000"/>
          <w:sz w:val="20"/>
          <w:lang w:val="en-US" w:eastAsia="en-US" w:bidi="ar-SA"/>
        </w:rPr>
        <w:t>Syl Apps Secure Treatment Centre v. B.D.</w:t>
      </w:r>
      <w:r>
        <w:rPr>
          <w:rFonts w:ascii="arial" w:eastAsia="arial" w:hAnsi="arial" w:cs="arial"/>
          <w:color w:val="000000"/>
          <w:sz w:val="20"/>
          <w:lang w:val="en-US" w:eastAsia="en-US" w:bidi="ar-SA"/>
        </w:rPr>
        <w:t xml:space="preserve">, </w:t>
      </w:r>
      <w:hyperlink r:id="rId112" w:history="1">
        <w:r>
          <w:rPr>
            <w:rFonts w:ascii="arial" w:eastAsia="arial" w:hAnsi="arial" w:cs="arial"/>
            <w:i/>
            <w:color w:val="0077CC"/>
            <w:sz w:val="20"/>
            <w:u w:val="single"/>
            <w:shd w:val="clear" w:color="auto" w:fill="FFFFFF"/>
            <w:lang w:val="en-US" w:eastAsia="en-US" w:bidi="ar-SA"/>
          </w:rPr>
          <w:t>2007 SCC 38</w:t>
        </w:r>
      </w:hyperlink>
      <w:r>
        <w:rPr>
          <w:rFonts w:ascii="arial" w:eastAsia="arial" w:hAnsi="arial" w:cs="arial"/>
          <w:color w:val="000000"/>
          <w:sz w:val="20"/>
          <w:lang w:val="en-US" w:eastAsia="en-US" w:bidi="ar-SA"/>
        </w:rPr>
        <w:t xml:space="preserve"> (CanLII), </w:t>
      </w:r>
      <w:hyperlink r:id="rId112" w:history="1">
        <w:r>
          <w:rPr>
            <w:rFonts w:ascii="arial" w:eastAsia="arial" w:hAnsi="arial" w:cs="arial"/>
            <w:i/>
            <w:color w:val="0077CC"/>
            <w:sz w:val="20"/>
            <w:u w:val="single"/>
            <w:shd w:val="clear" w:color="auto" w:fill="FFFFFF"/>
            <w:lang w:val="en-US" w:eastAsia="en-US" w:bidi="ar-SA"/>
          </w:rPr>
          <w:t>[2007] 3 S.C.R. 83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Odhavji Estate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Hunt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Attorney General of Canada v. Inuit Tapirisat of Canada</w:t>
      </w:r>
      <w:r>
        <w:rPr>
          <w:rFonts w:ascii="arial" w:eastAsia="arial" w:hAnsi="arial" w:cs="arial"/>
          <w:color w:val="000000"/>
          <w:sz w:val="20"/>
          <w:lang w:val="en-US" w:eastAsia="en-US" w:bidi="ar-SA"/>
        </w:rPr>
        <w:t xml:space="preserve">, </w:t>
      </w:r>
      <w:hyperlink r:id="rId111" w:history="1">
        <w:r>
          <w:rPr>
            <w:rFonts w:ascii="arial" w:eastAsia="arial" w:hAnsi="arial" w:cs="arial"/>
            <w:i/>
            <w:color w:val="0077CC"/>
            <w:sz w:val="20"/>
            <w:u w:val="single"/>
            <w:shd w:val="clear" w:color="auto" w:fill="FFFFFF"/>
            <w:lang w:val="en-US" w:eastAsia="en-US" w:bidi="ar-SA"/>
          </w:rPr>
          <w:t>1980 CanLII 21</w:t>
        </w:r>
      </w:hyperlink>
      <w:r>
        <w:rPr>
          <w:rFonts w:ascii="arial" w:eastAsia="arial" w:hAnsi="arial" w:cs="arial"/>
          <w:color w:val="000000"/>
          <w:sz w:val="20"/>
          <w:lang w:val="en-US" w:eastAsia="en-US" w:bidi="ar-SA"/>
        </w:rPr>
        <w:t xml:space="preserve"> (SCC), </w:t>
      </w:r>
      <w:hyperlink r:id="rId111" w:history="1">
        <w:r>
          <w:rPr>
            <w:rFonts w:ascii="arial" w:eastAsia="arial" w:hAnsi="arial" w:cs="arial"/>
            <w:i/>
            <w:color w:val="0077CC"/>
            <w:sz w:val="20"/>
            <w:u w:val="single"/>
            <w:shd w:val="clear" w:color="auto" w:fill="FFFFFF"/>
            <w:lang w:val="en-US" w:eastAsia="en-US" w:bidi="ar-SA"/>
          </w:rPr>
          <w:t>[1980] 2 S.C.R. 735</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[16] Our Court of Appeal has endorsed these principles in numerous cases including </w:t>
      </w:r>
      <w:r>
        <w:rPr>
          <w:rFonts w:ascii="arial" w:eastAsia="arial" w:hAnsi="arial" w:cs="arial"/>
          <w:i/>
          <w:color w:val="000000"/>
          <w:sz w:val="20"/>
          <w:lang w:val="en-US" w:eastAsia="en-US" w:bidi="ar-SA"/>
        </w:rPr>
        <w:t>Poirier v. Community Futures Development Corp.</w:t>
      </w:r>
      <w:r>
        <w:rPr>
          <w:rFonts w:ascii="arial" w:eastAsia="arial" w:hAnsi="arial" w:cs="arial"/>
          <w:color w:val="000000"/>
          <w:sz w:val="20"/>
          <w:lang w:val="en-US" w:eastAsia="en-US" w:bidi="ar-SA"/>
        </w:rPr>
        <w:t xml:space="preserve">, </w:t>
      </w:r>
      <w:hyperlink r:id="rId113" w:history="1">
        <w:r>
          <w:rPr>
            <w:rFonts w:ascii="arial" w:eastAsia="arial" w:hAnsi="arial" w:cs="arial"/>
            <w:i/>
            <w:color w:val="0077CC"/>
            <w:sz w:val="20"/>
            <w:u w:val="single"/>
            <w:shd w:val="clear" w:color="auto" w:fill="FFFFFF"/>
            <w:lang w:val="en-US" w:eastAsia="en-US" w:bidi="ar-SA"/>
          </w:rPr>
          <w:t>2005 BCCA 169</w:t>
        </w:r>
      </w:hyperlink>
      <w:r>
        <w:rPr>
          <w:rFonts w:ascii="arial" w:eastAsia="arial" w:hAnsi="arial" w:cs="arial"/>
          <w:color w:val="000000"/>
          <w:sz w:val="20"/>
          <w:lang w:val="en-US" w:eastAsia="en-US" w:bidi="ar-SA"/>
        </w:rPr>
        <w:t xml:space="preserve"> (CanLII) where the Court added the following at para. 9:</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only thing that I would like to add to that summary of the principles to be applied in considering the rule is set out in a judgment of Mr. Justice Romilly in </w:t>
      </w:r>
      <w:r>
        <w:rPr>
          <w:rFonts w:ascii="arial" w:eastAsia="arial" w:hAnsi="arial" w:cs="arial"/>
          <w:i/>
          <w:color w:val="000000"/>
          <w:sz w:val="20"/>
          <w:lang w:val="en-US" w:eastAsia="en-US" w:bidi="ar-SA"/>
        </w:rPr>
        <w:t>Wayneroy Holdings Ltd. v. Sideen</w:t>
      </w:r>
      <w:r>
        <w:rPr>
          <w:rFonts w:ascii="arial" w:eastAsia="arial" w:hAnsi="arial" w:cs="arial"/>
          <w:color w:val="000000"/>
          <w:sz w:val="20"/>
          <w:lang w:val="en-US" w:eastAsia="en-US" w:bidi="ar-SA"/>
        </w:rPr>
        <w:t xml:space="preserve">, </w:t>
      </w:r>
      <w:hyperlink r:id="rId114" w:history="1">
        <w:r>
          <w:rPr>
            <w:rFonts w:ascii="arial" w:eastAsia="arial" w:hAnsi="arial" w:cs="arial"/>
            <w:i/>
            <w:color w:val="0077CC"/>
            <w:sz w:val="20"/>
            <w:u w:val="single"/>
            <w:shd w:val="clear" w:color="auto" w:fill="FFFFFF"/>
            <w:lang w:val="en-US" w:eastAsia="en-US" w:bidi="ar-SA"/>
          </w:rPr>
          <w:t>2002 BCSC 1510</w:t>
        </w:r>
      </w:hyperlink>
      <w:r>
        <w:rPr>
          <w:rFonts w:ascii="arial" w:eastAsia="arial" w:hAnsi="arial" w:cs="arial"/>
          <w:color w:val="000000"/>
          <w:sz w:val="20"/>
          <w:lang w:val="en-US" w:eastAsia="en-US" w:bidi="ar-SA"/>
        </w:rPr>
        <w:t xml:space="preserve"> (CanLII), </w:t>
      </w:r>
      <w:hyperlink r:id="rId114" w:history="1">
        <w:r>
          <w:rPr>
            <w:rFonts w:ascii="arial" w:eastAsia="arial" w:hAnsi="arial" w:cs="arial"/>
            <w:i/>
            <w:color w:val="0077CC"/>
            <w:sz w:val="20"/>
            <w:u w:val="single"/>
            <w:shd w:val="clear" w:color="auto" w:fill="FFFFFF"/>
            <w:lang w:val="en-US" w:eastAsia="en-US" w:bidi="ar-SA"/>
          </w:rPr>
          <w:t>[2002] B.C.J. No. 2472</w:t>
        </w:r>
      </w:hyperlink>
      <w:r>
        <w:rPr>
          <w:rFonts w:ascii="arial" w:eastAsia="arial" w:hAnsi="arial" w:cs="arial"/>
          <w:color w:val="000000"/>
          <w:sz w:val="20"/>
          <w:lang w:val="en-US" w:eastAsia="en-US" w:bidi="ar-SA"/>
        </w:rPr>
        <w:t xml:space="preserve"> (B.C.S.C.); </w:t>
      </w:r>
      <w:hyperlink r:id="rId114" w:history="1">
        <w:r>
          <w:rPr>
            <w:rFonts w:ascii="arial" w:eastAsia="arial" w:hAnsi="arial" w:cs="arial"/>
            <w:i/>
            <w:color w:val="0077CC"/>
            <w:sz w:val="20"/>
            <w:u w:val="single"/>
            <w:shd w:val="clear" w:color="auto" w:fill="FFFFFF"/>
            <w:lang w:val="en-US" w:eastAsia="en-US" w:bidi="ar-SA"/>
          </w:rPr>
          <w:t>2002 BCSC 1510</w:t>
        </w:r>
      </w:hyperlink>
      <w:r>
        <w:rPr>
          <w:rFonts w:ascii="arial" w:eastAsia="arial" w:hAnsi="arial" w:cs="arial"/>
          <w:color w:val="000000"/>
          <w:sz w:val="20"/>
          <w:lang w:val="en-US" w:eastAsia="en-US" w:bidi="ar-SA"/>
        </w:rPr>
        <w:t xml:space="preserve">, where Mr. Justice Romilly quoted from his judgment in </w:t>
      </w:r>
      <w:r>
        <w:rPr>
          <w:rFonts w:ascii="arial" w:eastAsia="arial" w:hAnsi="arial" w:cs="arial"/>
          <w:i/>
          <w:color w:val="000000"/>
          <w:sz w:val="20"/>
          <w:lang w:val="en-US" w:eastAsia="en-US" w:bidi="ar-SA"/>
        </w:rPr>
        <w:t>Citizens for Foreign Aid Reform Inc. v. Canadian Jewish Congress</w:t>
      </w:r>
      <w:r>
        <w:rPr>
          <w:rFonts w:ascii="arial" w:eastAsia="arial" w:hAnsi="arial" w:cs="arial"/>
          <w:color w:val="000000"/>
          <w:sz w:val="20"/>
          <w:lang w:val="en-US" w:eastAsia="en-US" w:bidi="ar-SA"/>
        </w:rPr>
        <w:t xml:space="preserve">, </w:t>
      </w:r>
      <w:hyperlink r:id="rId115" w:history="1">
        <w:r>
          <w:rPr>
            <w:rFonts w:ascii="arial" w:eastAsia="arial" w:hAnsi="arial" w:cs="arial"/>
            <w:i/>
            <w:color w:val="0077CC"/>
            <w:sz w:val="20"/>
            <w:u w:val="single"/>
            <w:shd w:val="clear" w:color="auto" w:fill="FFFFFF"/>
            <w:lang w:val="en-US" w:eastAsia="en-US" w:bidi="ar-SA"/>
          </w:rPr>
          <w:t>1999 CanLII 5860</w:t>
        </w:r>
      </w:hyperlink>
      <w:r>
        <w:rPr>
          <w:rFonts w:ascii="arial" w:eastAsia="arial" w:hAnsi="arial" w:cs="arial"/>
          <w:color w:val="000000"/>
          <w:sz w:val="20"/>
          <w:lang w:val="en-US" w:eastAsia="en-US" w:bidi="ar-SA"/>
        </w:rPr>
        <w:t xml:space="preserve"> (BC SC), </w:t>
      </w:r>
      <w:hyperlink r:id="rId115" w:history="1">
        <w:r>
          <w:rPr>
            <w:rFonts w:ascii="arial" w:eastAsia="arial" w:hAnsi="arial" w:cs="arial"/>
            <w:i/>
            <w:color w:val="0077CC"/>
            <w:sz w:val="20"/>
            <w:u w:val="single"/>
            <w:shd w:val="clear" w:color="auto" w:fill="FFFFFF"/>
            <w:lang w:val="en-US" w:eastAsia="en-US" w:bidi="ar-SA"/>
          </w:rPr>
          <w:t>[1999] B.C.J. No. 2160</w:t>
        </w:r>
      </w:hyperlink>
      <w:r>
        <w:rPr>
          <w:rFonts w:ascii="arial" w:eastAsia="arial" w:hAnsi="arial" w:cs="arial"/>
          <w:color w:val="000000"/>
          <w:sz w:val="20"/>
          <w:lang w:val="en-US" w:eastAsia="en-US" w:bidi="ar-SA"/>
        </w:rPr>
        <w:t xml:space="preserve"> (B.C.S.C.) at para. 34:</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 In other words, as long as the pleadings disclose a triable issue, either as it exists, or as it may be amended, then the issue should go to trial. The mere fact that the case is weak or not likely to succeed is no ground for striking it out under the provisions of Rule 19(24):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[17] Thus, when determining an application to strike pleadings as disclosing no cause of action, the court must consider the claims both as they are pleaded and as they could be pleaded with appropriate amendments.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With respect to recognizing vexatious pleadings capable of being struck without granting leave to amend pursuant to Rule 9-5-1(b), Smith J.A. of the BC Court of Appeal said this in </w:t>
      </w:r>
      <w:r>
        <w:rPr>
          <w:rFonts w:ascii="arial" w:eastAsia="arial" w:hAnsi="arial" w:cs="arial"/>
          <w:i/>
          <w:color w:val="000000"/>
          <w:sz w:val="20"/>
          <w:lang w:val="en-US" w:eastAsia="en-US" w:bidi="ar-SA"/>
        </w:rPr>
        <w:t>Skender v. Farley</w:t>
      </w:r>
      <w:r>
        <w:rPr>
          <w:rFonts w:ascii="arial" w:eastAsia="arial" w:hAnsi="arial" w:cs="arial"/>
          <w:color w:val="000000"/>
          <w:sz w:val="20"/>
          <w:lang w:val="en-US" w:eastAsia="en-US" w:bidi="ar-SA"/>
        </w:rPr>
        <w:t xml:space="preserve">, </w:t>
      </w:r>
      <w:hyperlink r:id="rId116" w:history="1">
        <w:r>
          <w:rPr>
            <w:rFonts w:ascii="arial" w:eastAsia="arial" w:hAnsi="arial" w:cs="arial"/>
            <w:i/>
            <w:color w:val="0077CC"/>
            <w:sz w:val="20"/>
            <w:u w:val="single"/>
            <w:shd w:val="clear" w:color="auto" w:fill="FFFFFF"/>
            <w:lang w:val="en-US" w:eastAsia="en-US" w:bidi="ar-SA"/>
          </w:rPr>
          <w:t>2007 BCCA 629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Skender</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[64] In </w:t>
      </w:r>
      <w:r>
        <w:rPr>
          <w:rFonts w:ascii="arial" w:eastAsia="arial" w:hAnsi="arial" w:cs="arial"/>
          <w:i/>
          <w:color w:val="000000"/>
          <w:sz w:val="20"/>
          <w:lang w:val="en-US" w:eastAsia="en-US" w:bidi="ar-SA"/>
        </w:rPr>
        <w:t>British Columbia (Attorney General) v. Lindsay</w:t>
      </w:r>
      <w:r>
        <w:rPr>
          <w:rFonts w:ascii="arial" w:eastAsia="arial" w:hAnsi="arial" w:cs="arial"/>
          <w:color w:val="000000"/>
          <w:sz w:val="20"/>
          <w:lang w:val="en-US" w:eastAsia="en-US" w:bidi="ar-SA"/>
        </w:rPr>
        <w:t xml:space="preserve">, </w:t>
      </w:r>
      <w:hyperlink r:id="rId117" w:history="1">
        <w:r>
          <w:rPr>
            <w:rFonts w:ascii="arial" w:eastAsia="arial" w:hAnsi="arial" w:cs="arial"/>
            <w:i/>
            <w:color w:val="0077CC"/>
            <w:sz w:val="20"/>
            <w:u w:val="single"/>
            <w:shd w:val="clear" w:color="auto" w:fill="FFFFFF"/>
            <w:lang w:val="en-US" w:eastAsia="en-US" w:bidi="ar-SA"/>
          </w:rPr>
          <w:t>2007 BCCA 165</w:t>
        </w:r>
      </w:hyperlink>
      <w:r>
        <w:rPr>
          <w:rFonts w:ascii="arial" w:eastAsia="arial" w:hAnsi="arial" w:cs="arial"/>
          <w:color w:val="000000"/>
          <w:sz w:val="20"/>
          <w:lang w:val="en-US" w:eastAsia="en-US" w:bidi="ar-SA"/>
        </w:rPr>
        <w:t xml:space="preserve"> at para. 27, </w:t>
      </w:r>
      <w:hyperlink r:id="rId117" w:history="1">
        <w:r>
          <w:rPr>
            <w:rFonts w:ascii="arial" w:eastAsia="arial" w:hAnsi="arial" w:cs="arial"/>
            <w:i/>
            <w:color w:val="0077CC"/>
            <w:sz w:val="20"/>
            <w:u w:val="single"/>
            <w:shd w:val="clear" w:color="auto" w:fill="FFFFFF"/>
            <w:lang w:val="en-US" w:eastAsia="en-US" w:bidi="ar-SA"/>
          </w:rPr>
          <w:t>238 B.C.A.C. 254</w:t>
        </w:r>
      </w:hyperlink>
      <w:r>
        <w:rPr>
          <w:rFonts w:ascii="arial" w:eastAsia="arial" w:hAnsi="arial" w:cs="arial"/>
          <w:color w:val="000000"/>
          <w:sz w:val="20"/>
          <w:lang w:val="en-US" w:eastAsia="en-US" w:bidi="ar-SA"/>
        </w:rPr>
        <w:t xml:space="preserve">, this Court adopted the following explanation of "vexatious" set out in </w:t>
      </w:r>
      <w:r>
        <w:rPr>
          <w:rFonts w:ascii="arial" w:eastAsia="arial" w:hAnsi="arial" w:cs="arial"/>
          <w:i/>
          <w:color w:val="000000"/>
          <w:sz w:val="20"/>
          <w:lang w:val="en-US" w:eastAsia="en-US" w:bidi="ar-SA"/>
        </w:rPr>
        <w:t>Re Lang Michener and Fabian</w:t>
      </w:r>
      <w:r>
        <w:rPr>
          <w:rFonts w:ascii="arial" w:eastAsia="arial" w:hAnsi="arial" w:cs="arial"/>
          <w:color w:val="000000"/>
          <w:sz w:val="20"/>
          <w:lang w:val="en-US" w:eastAsia="en-US" w:bidi="ar-SA"/>
        </w:rPr>
        <w:t xml:space="preserve"> </w:t>
      </w:r>
      <w:hyperlink r:id="rId118" w:history="1">
        <w:r>
          <w:rPr>
            <w:rFonts w:ascii="arial" w:eastAsia="arial" w:hAnsi="arial" w:cs="arial"/>
            <w:i/>
            <w:color w:val="0077CC"/>
            <w:sz w:val="20"/>
            <w:u w:val="single"/>
            <w:shd w:val="clear" w:color="auto" w:fill="FFFFFF"/>
            <w:lang w:val="en-US" w:eastAsia="en-US" w:bidi="ar-SA"/>
          </w:rPr>
          <w:t>(1987), 59 O.R. (2d) 353</w:t>
        </w:r>
      </w:hyperlink>
      <w:r>
        <w:rPr>
          <w:rFonts w:ascii="arial" w:eastAsia="arial" w:hAnsi="arial" w:cs="arial"/>
          <w:color w:val="000000"/>
          <w:sz w:val="20"/>
          <w:lang w:val="en-US" w:eastAsia="en-US" w:bidi="ar-SA"/>
        </w:rPr>
        <w:t xml:space="preserve">, </w:t>
      </w:r>
      <w:hyperlink r:id="rId118" w:history="1">
        <w:r>
          <w:rPr>
            <w:rFonts w:ascii="arial" w:eastAsia="arial" w:hAnsi="arial" w:cs="arial"/>
            <w:i/>
            <w:color w:val="0077CC"/>
            <w:sz w:val="20"/>
            <w:u w:val="single"/>
            <w:shd w:val="clear" w:color="auto" w:fill="FFFFFF"/>
            <w:lang w:val="en-US" w:eastAsia="en-US" w:bidi="ar-SA"/>
          </w:rPr>
          <w:t>37 D.L.R. (4th) 685</w:t>
        </w:r>
      </w:hyperlink>
      <w:r>
        <w:rPr>
          <w:rFonts w:ascii="arial" w:eastAsia="arial" w:hAnsi="arial" w:cs="arial"/>
          <w:color w:val="000000"/>
          <w:sz w:val="20"/>
          <w:lang w:val="en-US" w:eastAsia="en-US" w:bidi="ar-SA"/>
        </w:rPr>
        <w:t xml:space="preserve"> at 690-91 (Ont. H.C.J.):</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have been referred to the following judicial decisions by counsel for the applicants: </w:t>
      </w:r>
      <w:r>
        <w:rPr>
          <w:rFonts w:ascii="arial" w:eastAsia="arial" w:hAnsi="arial" w:cs="arial"/>
          <w:i/>
          <w:color w:val="000000"/>
          <w:sz w:val="20"/>
          <w:lang w:val="en-US" w:eastAsia="en-US" w:bidi="ar-SA"/>
        </w:rPr>
        <w:t>Foy v. Foy (No. 2)</w:t>
      </w:r>
      <w:r>
        <w:rPr>
          <w:rFonts w:ascii="arial" w:eastAsia="arial" w:hAnsi="arial" w:cs="arial"/>
          <w:color w:val="000000"/>
          <w:sz w:val="20"/>
          <w:lang w:val="en-US" w:eastAsia="en-US" w:bidi="ar-SA"/>
        </w:rPr>
        <w:t xml:space="preserve"> </w:t>
      </w:r>
      <w:hyperlink r:id="rId119" w:history="1">
        <w:r>
          <w:rPr>
            <w:rFonts w:ascii="arial" w:eastAsia="arial" w:hAnsi="arial" w:cs="arial"/>
            <w:i/>
            <w:color w:val="0077CC"/>
            <w:sz w:val="20"/>
            <w:u w:val="single"/>
            <w:shd w:val="clear" w:color="auto" w:fill="FFFFFF"/>
            <w:lang w:val="en-US" w:eastAsia="en-US" w:bidi="ar-SA"/>
          </w:rPr>
          <w:t>(1979), 26 O.R. (2d) 220</w:t>
        </w:r>
      </w:hyperlink>
      <w:r>
        <w:rPr>
          <w:rFonts w:ascii="arial" w:eastAsia="arial" w:hAnsi="arial" w:cs="arial"/>
          <w:color w:val="000000"/>
          <w:sz w:val="20"/>
          <w:lang w:val="en-US" w:eastAsia="en-US" w:bidi="ar-SA"/>
        </w:rPr>
        <w:t xml:space="preserve"> at p. 226, </w:t>
      </w:r>
      <w:hyperlink r:id="rId119" w:history="1">
        <w:r>
          <w:rPr>
            <w:rFonts w:ascii="arial" w:eastAsia="arial" w:hAnsi="arial" w:cs="arial"/>
            <w:i/>
            <w:color w:val="0077CC"/>
            <w:sz w:val="20"/>
            <w:u w:val="single"/>
            <w:shd w:val="clear" w:color="auto" w:fill="FFFFFF"/>
            <w:lang w:val="en-US" w:eastAsia="en-US" w:bidi="ar-SA"/>
          </w:rPr>
          <w:t>102 D.L.R. (3d) 342</w:t>
        </w:r>
      </w:hyperlink>
      <w:r>
        <w:rPr>
          <w:rFonts w:ascii="arial" w:eastAsia="arial" w:hAnsi="arial" w:cs="arial"/>
          <w:color w:val="000000"/>
          <w:sz w:val="20"/>
          <w:lang w:val="en-US" w:eastAsia="en-US" w:bidi="ar-SA"/>
        </w:rPr>
        <w:t xml:space="preserve"> at p. 348, </w:t>
      </w:r>
      <w:hyperlink r:id="rId119" w:history="1">
        <w:r>
          <w:rPr>
            <w:rFonts w:ascii="arial" w:eastAsia="arial" w:hAnsi="arial" w:cs="arial"/>
            <w:i/>
            <w:color w:val="0077CC"/>
            <w:sz w:val="20"/>
            <w:u w:val="single"/>
            <w:shd w:val="clear" w:color="auto" w:fill="FFFFFF"/>
            <w:lang w:val="en-US" w:eastAsia="en-US" w:bidi="ar-SA"/>
          </w:rPr>
          <w:t>12 C.P.C. 188</w:t>
        </w:r>
      </w:hyperlink>
      <w:r>
        <w:rPr>
          <w:rFonts w:ascii="arial" w:eastAsia="arial" w:hAnsi="arial" w:cs="arial"/>
          <w:color w:val="000000"/>
          <w:sz w:val="20"/>
          <w:lang w:val="en-US" w:eastAsia="en-US" w:bidi="ar-SA"/>
        </w:rPr>
        <w:t xml:space="preserve"> (Ont. C.A.); </w:t>
      </w:r>
      <w:r>
        <w:rPr>
          <w:rFonts w:ascii="arial" w:eastAsia="arial" w:hAnsi="arial" w:cs="arial"/>
          <w:i/>
          <w:color w:val="000000"/>
          <w:sz w:val="20"/>
          <w:lang w:val="en-US" w:eastAsia="en-US" w:bidi="ar-SA"/>
        </w:rPr>
        <w:t>Re Kitchener-Waterloo Record Ltd. and Weber</w:t>
      </w:r>
      <w:r>
        <w:rPr>
          <w:rFonts w:ascii="arial" w:eastAsia="arial" w:hAnsi="arial" w:cs="arial"/>
          <w:color w:val="000000"/>
          <w:sz w:val="20"/>
          <w:lang w:val="en-US" w:eastAsia="en-US" w:bidi="ar-SA"/>
        </w:rPr>
        <w:t xml:space="preserve"> </w:t>
      </w:r>
      <w:hyperlink r:id="rId120" w:history="1">
        <w:r>
          <w:rPr>
            <w:rFonts w:ascii="arial" w:eastAsia="arial" w:hAnsi="arial" w:cs="arial"/>
            <w:i/>
            <w:color w:val="0077CC"/>
            <w:sz w:val="20"/>
            <w:u w:val="single"/>
            <w:shd w:val="clear" w:color="auto" w:fill="FFFFFF"/>
            <w:lang w:val="en-US" w:eastAsia="en-US" w:bidi="ar-SA"/>
          </w:rPr>
          <w:t>(1986), 53 O.R. (2d) 687</w:t>
        </w:r>
      </w:hyperlink>
      <w:r>
        <w:rPr>
          <w:rFonts w:ascii="arial" w:eastAsia="arial" w:hAnsi="arial" w:cs="arial"/>
          <w:color w:val="000000"/>
          <w:sz w:val="20"/>
          <w:lang w:val="en-US" w:eastAsia="en-US" w:bidi="ar-SA"/>
        </w:rPr>
        <w:t xml:space="preserve"> at p. 693 (Ont. S.C.); </w:t>
      </w:r>
      <w:r>
        <w:rPr>
          <w:rFonts w:ascii="arial" w:eastAsia="arial" w:hAnsi="arial" w:cs="arial"/>
          <w:i/>
          <w:color w:val="000000"/>
          <w:sz w:val="20"/>
          <w:lang w:val="en-US" w:eastAsia="en-US" w:bidi="ar-SA"/>
        </w:rPr>
        <w:t>Re Law Society of Upper Canada and Zikov</w:t>
      </w:r>
      <w:r>
        <w:rPr>
          <w:rFonts w:ascii="arial" w:eastAsia="arial" w:hAnsi="arial" w:cs="arial"/>
          <w:color w:val="000000"/>
          <w:sz w:val="20"/>
          <w:lang w:val="en-US" w:eastAsia="en-US" w:bidi="ar-SA"/>
        </w:rPr>
        <w:t xml:space="preserve"> </w:t>
      </w:r>
      <w:hyperlink r:id="rId121" w:history="1">
        <w:r>
          <w:rPr>
            <w:rFonts w:ascii="arial" w:eastAsia="arial" w:hAnsi="arial" w:cs="arial"/>
            <w:i/>
            <w:color w:val="0077CC"/>
            <w:sz w:val="20"/>
            <w:u w:val="single"/>
            <w:shd w:val="clear" w:color="auto" w:fill="FFFFFF"/>
            <w:lang w:val="en-US" w:eastAsia="en-US" w:bidi="ar-SA"/>
          </w:rPr>
          <w:t>(1984), 47 C.P.C. 42</w:t>
        </w:r>
      </w:hyperlink>
      <w:r>
        <w:rPr>
          <w:rFonts w:ascii="arial" w:eastAsia="arial" w:hAnsi="arial" w:cs="arial"/>
          <w:color w:val="000000"/>
          <w:sz w:val="20"/>
          <w:lang w:val="en-US" w:eastAsia="en-US" w:bidi="ar-SA"/>
        </w:rPr>
        <w:t xml:space="preserve"> (Ont. S.C.).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From these decisions the following principles may be extracted:</w:t>
      </w:r>
    </w:p>
    <w:p>
      <w:pPr>
        <w:numPr>
          <w:numId w:val="4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bringing of one or more actions to determine an issue which has already been determined by a court of competent jurisdiction constitutes a vexatious proceeding;</w:t>
      </w:r>
    </w:p>
    <w:p>
      <w:pPr>
        <w:numPr>
          <w:numId w:val="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it is obvious that an action cannot succeed, or if the action would lead to no possible good, or if no reasonable person can reasonably expect to obtain relief, the action is vexatious;</w:t>
      </w:r>
    </w:p>
    <w:p>
      <w:pPr>
        <w:numPr>
          <w:numId w:val="4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vexatious actions include those brought for an improper purpose, including the harassment and oppression of other parties by multifarious proceedings brought for purposes other than the assertion of legitimate rights;</w:t>
      </w:r>
    </w:p>
    <w:p>
      <w:pPr>
        <w:numPr>
          <w:numId w:val="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a general characteristic of vexatious proceedings that grounds and issues raised tend to be rolled forward into subsequent actions and repeated and supplemented, often with actions brought against the lawyers who have acted for or against the litigant in earlier proceedings;</w:t>
      </w:r>
    </w:p>
    <w:p>
      <w:pPr>
        <w:numPr>
          <w:numId w:val="4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determining whether proceedings are vexatious, the court must look at the whole history of the matter and not just whether there was originally a good cause of action;</w:t>
      </w:r>
    </w:p>
    <w:p>
      <w:pPr>
        <w:numPr>
          <w:numId w:val="4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failure of the person instituting the proceedings to pay the costs of unsuccessful proceedings is one factor to be considered in determining whether proceedings are vexatious;</w:t>
      </w:r>
    </w:p>
    <w:p>
      <w:pPr>
        <w:numPr>
          <w:numId w:val="5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respondent's conduct in persistently taking unsuccessful appeals from judicial decisions can be considered vexatious conduct of legal proceedings.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removed.]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I would add to Smith J.A.'s description of vexatious pleadings in </w:t>
      </w:r>
      <w:r>
        <w:rPr>
          <w:rFonts w:ascii="arial" w:eastAsia="arial" w:hAnsi="arial" w:cs="arial"/>
          <w:i/>
          <w:color w:val="000000"/>
          <w:sz w:val="20"/>
          <w:lang w:val="en-US" w:eastAsia="en-US" w:bidi="ar-SA"/>
        </w:rPr>
        <w:t>Skender</w:t>
      </w:r>
      <w:r>
        <w:rPr>
          <w:rFonts w:ascii="arial" w:eastAsia="arial" w:hAnsi="arial" w:cs="arial"/>
          <w:color w:val="000000"/>
          <w:sz w:val="20"/>
          <w:lang w:val="en-US" w:eastAsia="en-US" w:bidi="ar-SA"/>
        </w:rPr>
        <w:t xml:space="preserve"> the following principles set out in case law:</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pleading is "unnecessary" or "vexatious" if it does not go to establishing the plaintiff's cause of action or does not advance any claim known in law: </w:t>
      </w:r>
      <w:r>
        <w:rPr>
          <w:rFonts w:ascii="arial" w:eastAsia="arial" w:hAnsi="arial" w:cs="arial"/>
          <w:i/>
          <w:color w:val="000000"/>
          <w:sz w:val="20"/>
          <w:lang w:val="en-US" w:eastAsia="en-US" w:bidi="ar-SA"/>
        </w:rPr>
        <w:t>Citizens for Foreign Aid Reform Inc. v. Canadian Jewish Congress</w:t>
      </w:r>
      <w:r>
        <w:rPr>
          <w:rFonts w:ascii="arial" w:eastAsia="arial" w:hAnsi="arial" w:cs="arial"/>
          <w:color w:val="000000"/>
          <w:sz w:val="20"/>
          <w:lang w:val="en-US" w:eastAsia="en-US" w:bidi="ar-SA"/>
        </w:rPr>
        <w:t xml:space="preserve"> </w:t>
      </w:r>
      <w:hyperlink r:id="rId115" w:history="1">
        <w:r>
          <w:rPr>
            <w:rFonts w:ascii="arial" w:eastAsia="arial" w:hAnsi="arial" w:cs="arial"/>
            <w:i/>
            <w:color w:val="0077CC"/>
            <w:sz w:val="20"/>
            <w:u w:val="single"/>
            <w:shd w:val="clear" w:color="auto" w:fill="FFFFFF"/>
            <w:lang w:val="en-US" w:eastAsia="en-US" w:bidi="ar-SA"/>
          </w:rPr>
          <w:t>(1999), 36 C.P.C. (4th) 266</w:t>
        </w:r>
      </w:hyperlink>
      <w:r>
        <w:rPr>
          <w:rFonts w:ascii="arial" w:eastAsia="arial" w:hAnsi="arial" w:cs="arial"/>
          <w:color w:val="000000"/>
          <w:sz w:val="20"/>
          <w:lang w:val="en-US" w:eastAsia="en-US" w:bidi="ar-SA"/>
        </w:rPr>
        <w:t xml:space="preserve"> (B.C.S.C.) at para. 47, citing </w:t>
      </w:r>
      <w:r>
        <w:rPr>
          <w:rFonts w:ascii="arial" w:eastAsia="arial" w:hAnsi="arial" w:cs="arial"/>
          <w:i/>
          <w:color w:val="000000"/>
          <w:sz w:val="20"/>
          <w:lang w:val="en-US" w:eastAsia="en-US" w:bidi="ar-SA"/>
        </w:rPr>
        <w:t>Strauts v. Harrigan</w:t>
      </w:r>
      <w:r>
        <w:rPr>
          <w:rFonts w:ascii="arial" w:eastAsia="arial" w:hAnsi="arial" w:cs="arial"/>
          <w:color w:val="000000"/>
          <w:sz w:val="20"/>
          <w:lang w:val="en-US" w:eastAsia="en-US" w:bidi="ar-SA"/>
        </w:rPr>
        <w:t xml:space="preserve">, </w:t>
      </w:r>
      <w:hyperlink r:id="rId122" w:history="1">
        <w:r>
          <w:rPr>
            <w:rFonts w:ascii="arial" w:eastAsia="arial" w:hAnsi="arial" w:cs="arial"/>
            <w:i/>
            <w:color w:val="0077CC"/>
            <w:sz w:val="20"/>
            <w:u w:val="single"/>
            <w:shd w:val="clear" w:color="auto" w:fill="FFFFFF"/>
            <w:lang w:val="en-US" w:eastAsia="en-US" w:bidi="ar-SA"/>
          </w:rPr>
          <w:t>[1992] B.C.J. No. 86</w:t>
        </w:r>
      </w:hyperlink>
      <w:r>
        <w:rPr>
          <w:rFonts w:ascii="arial" w:eastAsia="arial" w:hAnsi="arial" w:cs="arial"/>
          <w:color w:val="000000"/>
          <w:sz w:val="20"/>
          <w:lang w:val="en-US" w:eastAsia="en-US" w:bidi="ar-SA"/>
        </w:rPr>
        <w:t xml:space="preserve"> (Q.L.) (B.C.S.C.);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Pleadings which disclose information that is absolutely privileged or contain falsehoods, libel or slander will not disclose a cause of action since it is "clearly a harassment of the defendants and is therefore vexatious". In totality the action is an abuse of process and will be struck out: </w:t>
      </w:r>
      <w:r>
        <w:rPr>
          <w:rFonts w:ascii="arial" w:eastAsia="arial" w:hAnsi="arial" w:cs="arial"/>
          <w:i/>
          <w:color w:val="000000"/>
          <w:sz w:val="20"/>
          <w:lang w:val="en-US" w:eastAsia="en-US" w:bidi="ar-SA"/>
        </w:rPr>
        <w:t>Geyer v. Merritt</w:t>
      </w:r>
      <w:r>
        <w:rPr>
          <w:rFonts w:ascii="arial" w:eastAsia="arial" w:hAnsi="arial" w:cs="arial"/>
          <w:color w:val="000000"/>
          <w:sz w:val="20"/>
          <w:lang w:val="en-US" w:eastAsia="en-US" w:bidi="ar-SA"/>
        </w:rPr>
        <w:t xml:space="preserve"> </w:t>
      </w:r>
      <w:hyperlink r:id="rId123" w:history="1">
        <w:r>
          <w:rPr>
            <w:rFonts w:ascii="arial" w:eastAsia="arial" w:hAnsi="arial" w:cs="arial"/>
            <w:i/>
            <w:color w:val="0077CC"/>
            <w:sz w:val="20"/>
            <w:u w:val="single"/>
            <w:shd w:val="clear" w:color="auto" w:fill="FFFFFF"/>
            <w:lang w:val="en-US" w:eastAsia="en-US" w:bidi="ar-SA"/>
          </w:rPr>
          <w:t>(1979), 16 B.C.L.R. 27</w:t>
        </w:r>
      </w:hyperlink>
      <w:r>
        <w:rPr>
          <w:rFonts w:ascii="arial" w:eastAsia="arial" w:hAnsi="arial" w:cs="arial"/>
          <w:color w:val="000000"/>
          <w:sz w:val="20"/>
          <w:lang w:val="en-US" w:eastAsia="en-US" w:bidi="ar-SA"/>
        </w:rPr>
        <w:t xml:space="preserve"> (S.C.) at paras. 3-4, aff'd </w:t>
      </w:r>
      <w:hyperlink r:id="rId124" w:history="1">
        <w:r>
          <w:rPr>
            <w:rFonts w:ascii="arial" w:eastAsia="arial" w:hAnsi="arial" w:cs="arial"/>
            <w:i/>
            <w:color w:val="0077CC"/>
            <w:sz w:val="20"/>
            <w:u w:val="single"/>
            <w:shd w:val="clear" w:color="auto" w:fill="FFFFFF"/>
            <w:lang w:val="en-US" w:eastAsia="en-US" w:bidi="ar-SA"/>
          </w:rPr>
          <w:t>(1980), 26 B.C.L.R. 374</w:t>
        </w:r>
      </w:hyperlink>
      <w:r>
        <w:rPr>
          <w:rFonts w:ascii="arial" w:eastAsia="arial" w:hAnsi="arial" w:cs="arial"/>
          <w:color w:val="000000"/>
          <w:sz w:val="20"/>
          <w:lang w:val="en-US" w:eastAsia="en-US" w:bidi="ar-SA"/>
        </w:rPr>
        <w:t xml:space="preserve"> (C.A.);</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 pleading is vexatious if it is without bona fides, is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hopelessly oppressive or causes the other party anxiety,</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trouble or expense: </w:t>
      </w:r>
      <w:r>
        <w:rPr>
          <w:rFonts w:ascii="arial" w:eastAsia="arial" w:hAnsi="arial" w:cs="arial"/>
          <w:i/>
          <w:color w:val="000000"/>
          <w:sz w:val="20"/>
          <w:lang w:val="en-US" w:eastAsia="en-US" w:bidi="ar-SA"/>
        </w:rPr>
        <w:t>Northmark Mechanical Systems Inc.</w:t>
      </w:r>
    </w:p>
    <w:p>
      <w:pPr>
        <w:spacing w:before="120" w:line="260" w:lineRule="atLeast"/>
        <w:jc w:val="center"/>
        <w:rPr>
          <w:rFonts w:ascii="arial" w:eastAsia="arial" w:hAnsi="arial" w:cs="arial"/>
          <w:sz w:val="20"/>
          <w:lang w:val="en-US" w:eastAsia="en-US" w:bidi="ar-SA"/>
        </w:rPr>
      </w:pPr>
      <w:r>
        <w:rPr>
          <w:rFonts w:ascii="arial" w:eastAsia="arial" w:hAnsi="arial" w:cs="arial"/>
          <w:i/>
          <w:color w:val="000000"/>
          <w:sz w:val="20"/>
          <w:lang w:val="en-US" w:eastAsia="en-US" w:bidi="ar-SA"/>
        </w:rPr>
        <w:t xml:space="preserve"> v. Watson (Estate)</w:t>
      </w:r>
      <w:r>
        <w:rPr>
          <w:rFonts w:ascii="arial" w:eastAsia="arial" w:hAnsi="arial" w:cs="arial"/>
          <w:color w:val="000000"/>
          <w:sz w:val="20"/>
          <w:lang w:val="en-US" w:eastAsia="en-US" w:bidi="ar-SA"/>
        </w:rPr>
        <w:t xml:space="preserve">,  </w:t>
      </w:r>
      <w:hyperlink r:id="rId125" w:history="1">
        <w:r>
          <w:rPr>
            <w:rFonts w:ascii="arial" w:eastAsia="arial" w:hAnsi="arial" w:cs="arial"/>
            <w:i/>
            <w:color w:val="0077CC"/>
            <w:sz w:val="20"/>
            <w:u w:val="single"/>
            <w:shd w:val="clear" w:color="auto" w:fill="FFFFFF"/>
            <w:lang w:val="en-US" w:eastAsia="en-US" w:bidi="ar-SA"/>
          </w:rPr>
          <w:t>2009 BCSC 1237</w:t>
        </w:r>
      </w:hyperlink>
      <w:r>
        <w:rPr>
          <w:rFonts w:ascii="arial" w:eastAsia="arial" w:hAnsi="arial" w:cs="arial"/>
          <w:color w:val="000000"/>
          <w:sz w:val="20"/>
          <w:lang w:val="en-US" w:eastAsia="en-US" w:bidi="ar-SA"/>
        </w:rPr>
        <w:t xml:space="preserve"> at para. 41; and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power conferred by R. 19(24) is discretionary. Even where a judge considers the action "vexatious", he or she should not exercise the power where other opinions on what the law is or may be are not necessarily unreasonable and it is important to first determine the facts to allow the question of law to be addressed. One must not overlook that many propositions of law thought 50 years ago to be unassailable are no longer thought to be so: </w:t>
      </w:r>
      <w:r>
        <w:rPr>
          <w:rFonts w:ascii="arial" w:eastAsia="arial" w:hAnsi="arial" w:cs="arial"/>
          <w:i/>
          <w:color w:val="000000"/>
          <w:sz w:val="20"/>
          <w:lang w:val="en-US" w:eastAsia="en-US" w:bidi="ar-SA"/>
        </w:rPr>
        <w:t>Prairie Hydraulic Equipment Ltd. v. Everest Equipment Inc.</w:t>
      </w:r>
      <w:r>
        <w:rPr>
          <w:rFonts w:ascii="arial" w:eastAsia="arial" w:hAnsi="arial" w:cs="arial"/>
          <w:color w:val="000000"/>
          <w:sz w:val="20"/>
          <w:lang w:val="en-US" w:eastAsia="en-US" w:bidi="ar-SA"/>
        </w:rPr>
        <w:t xml:space="preserve">, </w:t>
      </w:r>
      <w:hyperlink r:id="rId126" w:history="1">
        <w:r>
          <w:rPr>
            <w:rFonts w:ascii="arial" w:eastAsia="arial" w:hAnsi="arial" w:cs="arial"/>
            <w:i/>
            <w:color w:val="0077CC"/>
            <w:sz w:val="20"/>
            <w:u w:val="single"/>
            <w:shd w:val="clear" w:color="auto" w:fill="FFFFFF"/>
            <w:lang w:val="en-US" w:eastAsia="en-US" w:bidi="ar-SA"/>
          </w:rPr>
          <w:t>[1998] B.C.J. No. 1121</w:t>
        </w:r>
      </w:hyperlink>
      <w:r>
        <w:rPr>
          <w:rFonts w:ascii="arial" w:eastAsia="arial" w:hAnsi="arial" w:cs="arial"/>
          <w:color w:val="000000"/>
          <w:sz w:val="20"/>
          <w:lang w:val="en-US" w:eastAsia="en-US" w:bidi="ar-SA"/>
        </w:rPr>
        <w:t xml:space="preserve"> (C.A.) at para. 39.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Under Rule 9-5(1)(a), a claimant must clearly state material facts upon which it relies in making its claim (</w:t>
      </w:r>
      <w:r>
        <w:rPr>
          <w:rFonts w:ascii="arial" w:eastAsia="arial" w:hAnsi="arial" w:cs="arial"/>
          <w:i/>
          <w:color w:val="000000"/>
          <w:sz w:val="20"/>
          <w:lang w:val="en-US" w:eastAsia="en-US" w:bidi="ar-SA"/>
        </w:rPr>
        <w:t>R. v. Imperial Tobacco</w:t>
      </w:r>
      <w:r>
        <w:rPr>
          <w:rFonts w:ascii="arial" w:eastAsia="arial" w:hAnsi="arial" w:cs="arial"/>
          <w:color w:val="000000"/>
          <w:sz w:val="20"/>
          <w:lang w:val="en-US" w:eastAsia="en-US" w:bidi="ar-SA"/>
        </w:rPr>
        <w:t xml:space="preserve">). Facts pleaded are assumed to be true but the court must not adhere to this rule if the pleadings lack "an air of reality" or are assumptions or speculation (see </w:t>
      </w:r>
      <w:r>
        <w:rPr>
          <w:rFonts w:ascii="arial" w:eastAsia="arial" w:hAnsi="arial" w:cs="arial"/>
          <w:i/>
          <w:color w:val="000000"/>
          <w:sz w:val="20"/>
          <w:lang w:val="en-US" w:eastAsia="en-US" w:bidi="ar-SA"/>
        </w:rPr>
        <w:t>Willow v. Chong</w:t>
      </w:r>
      <w:r>
        <w:rPr>
          <w:rFonts w:ascii="arial" w:eastAsia="arial" w:hAnsi="arial" w:cs="arial"/>
          <w:color w:val="000000"/>
          <w:sz w:val="20"/>
          <w:lang w:val="en-US" w:eastAsia="en-US" w:bidi="ar-SA"/>
        </w:rPr>
        <w:t xml:space="preserve">, </w:t>
      </w:r>
      <w:hyperlink r:id="rId127" w:history="1">
        <w:r>
          <w:rPr>
            <w:rFonts w:ascii="arial" w:eastAsia="arial" w:hAnsi="arial" w:cs="arial"/>
            <w:i/>
            <w:color w:val="0077CC"/>
            <w:sz w:val="20"/>
            <w:u w:val="single"/>
            <w:shd w:val="clear" w:color="auto" w:fill="FFFFFF"/>
            <w:lang w:val="en-US" w:eastAsia="en-US" w:bidi="ar-SA"/>
          </w:rPr>
          <w:t>2013 BCSC 1083</w:t>
        </w:r>
      </w:hyperlink>
      <w:r>
        <w:rPr>
          <w:rFonts w:ascii="arial" w:eastAsia="arial" w:hAnsi="arial" w:cs="arial"/>
          <w:color w:val="000000"/>
          <w:sz w:val="20"/>
          <w:lang w:val="en-US" w:eastAsia="en-US" w:bidi="ar-SA"/>
        </w:rPr>
        <w:t xml:space="preserve"> at para. 19). In such a case, the court may subject such allegations to a skeptical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An embarrassing pleading described in Rule 9-5(1)(c) is a pleading which is irrelevant or includes allegations which are irrelevant to the issues before the court and would involve needless expense and would delay the trial by consideration of irrelevant issues (</w:t>
      </w:r>
      <w:r>
        <w:rPr>
          <w:rFonts w:ascii="arial" w:eastAsia="arial" w:hAnsi="arial" w:cs="arial"/>
          <w:i/>
          <w:color w:val="000000"/>
          <w:sz w:val="20"/>
          <w:lang w:val="en-US" w:eastAsia="en-US" w:bidi="ar-SA"/>
        </w:rPr>
        <w:t>Sahyoun (Committee of) v. Ho</w:t>
      </w:r>
      <w:r>
        <w:rPr>
          <w:rFonts w:ascii="arial" w:eastAsia="arial" w:hAnsi="arial" w:cs="arial"/>
          <w:color w:val="000000"/>
          <w:sz w:val="20"/>
          <w:lang w:val="en-US" w:eastAsia="en-US" w:bidi="ar-SA"/>
        </w:rPr>
        <w:t xml:space="preserve">, </w:t>
      </w:r>
      <w:hyperlink r:id="rId128" w:history="1">
        <w:r>
          <w:rPr>
            <w:rFonts w:ascii="arial" w:eastAsia="arial" w:hAnsi="arial" w:cs="arial"/>
            <w:i/>
            <w:color w:val="0077CC"/>
            <w:sz w:val="20"/>
            <w:u w:val="single"/>
            <w:shd w:val="clear" w:color="auto" w:fill="FFFFFF"/>
            <w:lang w:val="en-US" w:eastAsia="en-US" w:bidi="ar-SA"/>
          </w:rPr>
          <w:t>2015 BCSC 392</w:t>
        </w:r>
      </w:hyperlink>
      <w:r>
        <w:rPr>
          <w:rFonts w:ascii="arial" w:eastAsia="arial" w:hAnsi="arial" w:cs="arial"/>
          <w:color w:val="000000"/>
          <w:sz w:val="20"/>
          <w:lang w:val="en-US" w:eastAsia="en-US" w:bidi="ar-SA"/>
        </w:rPr>
        <w:t xml:space="preserve">, aff'd at </w:t>
      </w:r>
      <w:hyperlink r:id="rId129" w:history="1">
        <w:r>
          <w:rPr>
            <w:rFonts w:ascii="arial" w:eastAsia="arial" w:hAnsi="arial" w:cs="arial"/>
            <w:i/>
            <w:color w:val="0077CC"/>
            <w:sz w:val="20"/>
            <w:u w:val="single"/>
            <w:shd w:val="clear" w:color="auto" w:fill="FFFFFF"/>
            <w:lang w:val="en-US" w:eastAsia="en-US" w:bidi="ar-SA"/>
          </w:rPr>
          <w:t>2017 BCCA 96</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 various provisions of Rule 9-5(1) may apply together in the case of pleadings "so overwhelmed with difficulty that it is simply not possible of fully identify all of the specific inadequacies that exist, or to categorize those difficulties into the specific subparagraphs of R. 9-5(1)" (</w:t>
      </w:r>
      <w:r>
        <w:rPr>
          <w:rFonts w:ascii="arial" w:eastAsia="arial" w:hAnsi="arial" w:cs="arial"/>
          <w:i/>
          <w:color w:val="000000"/>
          <w:sz w:val="20"/>
          <w:lang w:val="en-US" w:eastAsia="en-US" w:bidi="ar-SA"/>
        </w:rPr>
        <w:t>Sahyoun</w:t>
      </w:r>
      <w:r>
        <w:rPr>
          <w:rFonts w:ascii="arial" w:eastAsia="arial" w:hAnsi="arial" w:cs="arial"/>
          <w:color w:val="000000"/>
          <w:sz w:val="20"/>
          <w:lang w:val="en-US" w:eastAsia="en-US" w:bidi="ar-SA"/>
        </w:rPr>
        <w:t xml:space="preserve"> at para. 64).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Applying the principles set out in the cases described above and in considering the plaintiffs' notice of claim, I find that the contents of the notice of claim are vexatious. In addition the contents of the notice of claim are also prolix, incoherent, inflammatory, and rife with assumptions, speculation, and typos. The notice of claim also does not generally disclose a cause of action. For instance, at para. 285 of his notice of claim, Mr. Simon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CA Judges have approved the decision of Madam Justice Donegan, including her conclusion that some of his grounds were "unknown in law". She picked five causes of action that were allegedly unknown to the law. One of them was the contravention of several statutes. If that was acceptable or okay for her than [sic] the contravention of a single statute was not punishable either. Her decision contradicts s. 126(1) of the </w:t>
      </w:r>
      <w:r>
        <w:rPr>
          <w:rFonts w:ascii="arial" w:eastAsia="arial" w:hAnsi="arial" w:cs="arial"/>
          <w:i/>
          <w:color w:val="000000"/>
          <w:sz w:val="20"/>
          <w:lang w:val="en-US" w:eastAsia="en-US" w:bidi="ar-SA"/>
        </w:rPr>
        <w:t>Criminal Code</w:t>
      </w:r>
      <w:r>
        <w:rPr>
          <w:rFonts w:ascii="arial" w:eastAsia="arial" w:hAnsi="arial" w:cs="arial"/>
          <w:color w:val="000000"/>
          <w:sz w:val="20"/>
          <w:lang w:val="en-US" w:eastAsia="en-US" w:bidi="ar-SA"/>
        </w:rPr>
        <w:t>. Her conclusion supported by the BCCA, means that Canada does not need any courts or judges (since most or all of the court cases contain a parties contravention of a statute).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 am unable to identify any claim known in law in the above statement.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In the notice of claim, Mr. Simon also makes several spurious </w:t>
      </w:r>
      <w:r>
        <w:rPr>
          <w:rFonts w:ascii="arial" w:eastAsia="arial" w:hAnsi="arial" w:cs="arial"/>
          <w:i/>
          <w:color w:val="000000"/>
          <w:sz w:val="20"/>
          <w:lang w:val="en-US" w:eastAsia="en-US" w:bidi="ar-SA"/>
        </w:rPr>
        <w:t>ad hominem</w:t>
      </w:r>
      <w:r>
        <w:rPr>
          <w:rFonts w:ascii="arial" w:eastAsia="arial" w:hAnsi="arial" w:cs="arial"/>
          <w:color w:val="000000"/>
          <w:sz w:val="20"/>
          <w:lang w:val="en-US" w:eastAsia="en-US" w:bidi="ar-SA"/>
        </w:rPr>
        <w:t xml:space="preserve"> attacks that I would characterize as "without bona fides", "hopelessly oppressive", and capable of causing the other party anxiety, trouble, and expense. He accuses Donegan J. of being biased, of not having properly weighed or considered the laws, rules, and regulations set out in his notice of claim, of improperly accepting opposing counsel's "allegations" at face value and without any criticism and of not reading or considering some of the evidence. He alleges that she must suffer from a cognitive disorder or mental illness since her reasons did not accord with his desired outcome. These allegations are without foundation in fact or law and are completely inappropriate to plead in a notice of claim. Mr. Simon's statements are an affront to the dignity of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He also conflates his notice of claim with an opportunity to re-litigate issues that have already been decided. He takes issue with Donegan J.'s description of his claims, which she described as a "complex conspiratorial web, woven between most courts" and which analysis he characterizes as "bizarre speculation" and "the fruit of her fantasy" (notice of claim, at para. 287).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Considering both the specific claims advanced in his notice of claim as well as the history of the proceedings, which have wended their way through the Immigration and Refugee Board, its Appeal Division, the Federal Court, the Federal Court of Appeal, the Supreme Court of Canada, the Provincial Court of British Columbia, the Supreme Court of British Columbia, and the Court of Appeal of British Columbia, I conclude that the notice of claim is vexatious and order that it be struck without leave to amend.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The defendants also bring an application that Mr. Simon be declared a vexatious litigant. Section 18 of the </w:t>
      </w:r>
      <w:r>
        <w:rPr>
          <w:rFonts w:ascii="arial" w:eastAsia="arial" w:hAnsi="arial" w:cs="arial"/>
          <w:i/>
          <w:color w:val="000000"/>
          <w:sz w:val="20"/>
          <w:lang w:val="en-US" w:eastAsia="en-US" w:bidi="ar-SA"/>
        </w:rPr>
        <w:t>Supreme Court Act</w:t>
      </w:r>
      <w:r>
        <w:rPr>
          <w:rFonts w:ascii="arial" w:eastAsia="arial" w:hAnsi="arial" w:cs="arial"/>
          <w:color w:val="000000"/>
          <w:sz w:val="20"/>
          <w:lang w:val="en-US" w:eastAsia="en-US" w:bidi="ar-SA"/>
        </w:rPr>
        <w:t xml:space="preserve"> states with regard to vexatious litigant orders,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on application by any person, the court is satisfied that a person has habitually, persistently and without reasonable grounds, instituted vexatious legal proceedings in the Supreme Court or in the Provincial Court against the same or different persons, the court may, after hearing that person or giving him or her an opportunity to be heard, order that a legal proceeding must not, without leave of the court, be instituted by that person in any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Section 18 confers a broad jurisdiction on the court to control its own process. The Court of Appeal in </w:t>
      </w:r>
      <w:r>
        <w:rPr>
          <w:rFonts w:ascii="arial" w:eastAsia="arial" w:hAnsi="arial" w:cs="arial"/>
          <w:i/>
          <w:color w:val="000000"/>
          <w:sz w:val="20"/>
          <w:lang w:val="en-US" w:eastAsia="en-US" w:bidi="ar-SA"/>
        </w:rPr>
        <w:t>Semenoff Estate v. Semenoff</w:t>
      </w:r>
      <w:r>
        <w:rPr>
          <w:rFonts w:ascii="arial" w:eastAsia="arial" w:hAnsi="arial" w:cs="arial"/>
          <w:color w:val="000000"/>
          <w:sz w:val="20"/>
          <w:lang w:val="en-US" w:eastAsia="en-US" w:bidi="ar-SA"/>
        </w:rPr>
        <w:t xml:space="preserve">, </w:t>
      </w:r>
      <w:hyperlink r:id="rId130" w:history="1">
        <w:r>
          <w:rPr>
            <w:rFonts w:ascii="arial" w:eastAsia="arial" w:hAnsi="arial" w:cs="arial"/>
            <w:i/>
            <w:color w:val="0077CC"/>
            <w:sz w:val="20"/>
            <w:u w:val="single"/>
            <w:shd w:val="clear" w:color="auto" w:fill="FFFFFF"/>
            <w:lang w:val="en-US" w:eastAsia="en-US" w:bidi="ar-SA"/>
          </w:rPr>
          <w:t>2017 BCCA 17</w:t>
        </w:r>
      </w:hyperlink>
      <w:r>
        <w:rPr>
          <w:rFonts w:ascii="arial" w:eastAsia="arial" w:hAnsi="arial" w:cs="arial"/>
          <w:color w:val="000000"/>
          <w:sz w:val="20"/>
          <w:lang w:val="en-US" w:eastAsia="en-US" w:bidi="ar-SA"/>
        </w:rPr>
        <w:t xml:space="preserve"> at para. 31 reiterated the comments made in </w:t>
      </w:r>
      <w:r>
        <w:rPr>
          <w:rFonts w:ascii="arial" w:eastAsia="arial" w:hAnsi="arial" w:cs="arial"/>
          <w:i/>
          <w:color w:val="000000"/>
          <w:sz w:val="20"/>
          <w:lang w:val="en-US" w:eastAsia="en-US" w:bidi="ar-SA"/>
        </w:rPr>
        <w:t>S.(M.) v. S.(P.I.)</w:t>
      </w:r>
      <w:r>
        <w:rPr>
          <w:rFonts w:ascii="arial" w:eastAsia="arial" w:hAnsi="arial" w:cs="arial"/>
          <w:color w:val="000000"/>
          <w:sz w:val="20"/>
          <w:lang w:val="en-US" w:eastAsia="en-US" w:bidi="ar-SA"/>
        </w:rPr>
        <w:t xml:space="preserve"> (1998), </w:t>
      </w:r>
      <w:hyperlink r:id="rId131" w:history="1">
        <w:r>
          <w:rPr>
            <w:rFonts w:ascii="arial" w:eastAsia="arial" w:hAnsi="arial" w:cs="arial"/>
            <w:i/>
            <w:color w:val="0077CC"/>
            <w:sz w:val="20"/>
            <w:u w:val="single"/>
            <w:shd w:val="clear" w:color="auto" w:fill="FFFFFF"/>
            <w:lang w:val="en-US" w:eastAsia="en-US" w:bidi="ar-SA"/>
          </w:rPr>
          <w:t>1998 CanLII 15034</w:t>
        </w:r>
      </w:hyperlink>
      <w:r>
        <w:rPr>
          <w:rFonts w:ascii="arial" w:eastAsia="arial" w:hAnsi="arial" w:cs="arial"/>
          <w:color w:val="000000"/>
          <w:sz w:val="20"/>
          <w:lang w:val="en-US" w:eastAsia="en-US" w:bidi="ar-SA"/>
        </w:rPr>
        <w:t xml:space="preserve"> (BC CA), </w:t>
      </w:r>
      <w:hyperlink r:id="rId131" w:history="1">
        <w:r>
          <w:rPr>
            <w:rFonts w:ascii="arial" w:eastAsia="arial" w:hAnsi="arial" w:cs="arial"/>
            <w:i/>
            <w:color w:val="0077CC"/>
            <w:sz w:val="20"/>
            <w:u w:val="single"/>
            <w:shd w:val="clear" w:color="auto" w:fill="FFFFFF"/>
            <w:lang w:val="en-US" w:eastAsia="en-US" w:bidi="ar-SA"/>
          </w:rPr>
          <w:t>60 B.C.L.R. (3d) 232</w:t>
        </w:r>
      </w:hyperlink>
      <w:r>
        <w:rPr>
          <w:rFonts w:ascii="arial" w:eastAsia="arial" w:hAnsi="arial" w:cs="arial"/>
          <w:color w:val="000000"/>
          <w:sz w:val="20"/>
          <w:lang w:val="en-US" w:eastAsia="en-US" w:bidi="ar-SA"/>
        </w:rPr>
        <w:t xml:space="preserve"> (B.C.C.A.) at para. 13: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Section 18 of the </w:t>
      </w:r>
      <w:r>
        <w:rPr>
          <w:rFonts w:ascii="arial" w:eastAsia="arial" w:hAnsi="arial" w:cs="arial"/>
          <w:i/>
          <w:color w:val="000000"/>
          <w:sz w:val="20"/>
          <w:lang w:val="en-US" w:eastAsia="en-US" w:bidi="ar-SA"/>
        </w:rPr>
        <w:t>Supreme Court Act</w:t>
      </w:r>
      <w:r>
        <w:rPr>
          <w:rFonts w:ascii="arial" w:eastAsia="arial" w:hAnsi="arial" w:cs="arial"/>
          <w:color w:val="000000"/>
          <w:sz w:val="20"/>
          <w:lang w:val="en-US" w:eastAsia="en-US" w:bidi="ar-SA"/>
        </w:rPr>
        <w:t xml:space="preserve"> has been in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for a great many years. The section gives the court the needed ability to control its own process. It enables the court to put in place an order to prevent a citizen or citizens from being subjected to an endless blizzard of litigation. ... It is obviously of the utmost importance that there be unfettered access to the courts by citizens but I should think that a corollary of that is that continuing abuse of this most valuable and deeply enshrined democratic right should be dealt with decisively to preserve the rights of all. There is a right to invoke the jurisdiction of the Supreme Court but it is not a right that is without limit. In my opinion, s. 18 of the </w:t>
      </w:r>
      <w:r>
        <w:rPr>
          <w:rFonts w:ascii="arial" w:eastAsia="arial" w:hAnsi="arial" w:cs="arial"/>
          <w:i/>
          <w:color w:val="000000"/>
          <w:sz w:val="20"/>
          <w:lang w:val="en-US" w:eastAsia="en-US" w:bidi="ar-SA"/>
        </w:rPr>
        <w:t>Supreme Court Act</w:t>
      </w:r>
      <w:r>
        <w:rPr>
          <w:rFonts w:ascii="arial" w:eastAsia="arial" w:hAnsi="arial" w:cs="arial"/>
          <w:color w:val="000000"/>
          <w:sz w:val="20"/>
          <w:lang w:val="en-US" w:eastAsia="en-US" w:bidi="ar-SA"/>
        </w:rPr>
        <w:t xml:space="preserve"> affords to judges of the Supreme Court the authority to order in proper cases that a persistent litigant must seek leave before being able to launch court proceedings. It is a necessary power to ensure the proper administration of justice.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Carten v. Carten</w:t>
      </w:r>
      <w:r>
        <w:rPr>
          <w:rFonts w:ascii="arial" w:eastAsia="arial" w:hAnsi="arial" w:cs="arial"/>
          <w:color w:val="000000"/>
          <w:sz w:val="20"/>
          <w:lang w:val="en-US" w:eastAsia="en-US" w:bidi="ar-SA"/>
        </w:rPr>
        <w:t xml:space="preserve">, </w:t>
      </w:r>
      <w:hyperlink r:id="rId132" w:history="1">
        <w:r>
          <w:rPr>
            <w:rFonts w:ascii="arial" w:eastAsia="arial" w:hAnsi="arial" w:cs="arial"/>
            <w:i/>
            <w:color w:val="0077CC"/>
            <w:sz w:val="20"/>
            <w:u w:val="single"/>
            <w:shd w:val="clear" w:color="auto" w:fill="FFFFFF"/>
            <w:lang w:val="en-US" w:eastAsia="en-US" w:bidi="ar-SA"/>
          </w:rPr>
          <w:t>2015 BCCA 201</w:t>
        </w:r>
      </w:hyperlink>
      <w:r>
        <w:rPr>
          <w:rFonts w:ascii="arial" w:eastAsia="arial" w:hAnsi="arial" w:cs="arial"/>
          <w:color w:val="000000"/>
          <w:sz w:val="20"/>
          <w:lang w:val="en-US" w:eastAsia="en-US" w:bidi="ar-SA"/>
        </w:rPr>
        <w:t xml:space="preserve">, Justice Bennett referred to </w:t>
      </w:r>
      <w:r>
        <w:rPr>
          <w:rFonts w:ascii="arial" w:eastAsia="arial" w:hAnsi="arial" w:cs="arial"/>
          <w:i/>
          <w:color w:val="000000"/>
          <w:sz w:val="20"/>
          <w:lang w:val="en-US" w:eastAsia="en-US" w:bidi="ar-SA"/>
        </w:rPr>
        <w:t>Lindsay v. Canada (Attorney General)</w:t>
      </w:r>
      <w:r>
        <w:rPr>
          <w:rFonts w:ascii="arial" w:eastAsia="arial" w:hAnsi="arial" w:cs="arial"/>
          <w:color w:val="000000"/>
          <w:sz w:val="20"/>
          <w:lang w:val="en-US" w:eastAsia="en-US" w:bidi="ar-SA"/>
        </w:rPr>
        <w:t xml:space="preserve">, </w:t>
      </w:r>
      <w:hyperlink r:id="rId133" w:history="1">
        <w:r>
          <w:rPr>
            <w:rFonts w:ascii="arial" w:eastAsia="arial" w:hAnsi="arial" w:cs="arial"/>
            <w:i/>
            <w:color w:val="0077CC"/>
            <w:sz w:val="20"/>
            <w:u w:val="single"/>
            <w:shd w:val="clear" w:color="auto" w:fill="FFFFFF"/>
            <w:lang w:val="en-US" w:eastAsia="en-US" w:bidi="ar-SA"/>
          </w:rPr>
          <w:t>2005 BCCA 594</w:t>
        </w:r>
      </w:hyperlink>
      <w:r>
        <w:rPr>
          <w:rFonts w:ascii="arial" w:eastAsia="arial" w:hAnsi="arial" w:cs="arial"/>
          <w:color w:val="000000"/>
          <w:sz w:val="20"/>
          <w:lang w:val="en-US" w:eastAsia="en-US" w:bidi="ar-SA"/>
        </w:rPr>
        <w:t xml:space="preserve"> in enumerating certain of the key principles which can be considered on an application for a vexatious litigant order: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[32] In </w:t>
      </w:r>
      <w:r>
        <w:rPr>
          <w:rFonts w:ascii="arial" w:eastAsia="arial" w:hAnsi="arial" w:cs="arial"/>
          <w:i/>
          <w:color w:val="000000"/>
          <w:sz w:val="20"/>
          <w:lang w:val="en-US" w:eastAsia="en-US" w:bidi="ar-SA"/>
        </w:rPr>
        <w:t>Lindsay v. Canada (Attorney General)</w:t>
      </w:r>
      <w:r>
        <w:rPr>
          <w:rFonts w:ascii="arial" w:eastAsia="arial" w:hAnsi="arial" w:cs="arial"/>
          <w:color w:val="000000"/>
          <w:sz w:val="20"/>
          <w:lang w:val="en-US" w:eastAsia="en-US" w:bidi="ar-SA"/>
        </w:rPr>
        <w:t xml:space="preserve">, </w:t>
      </w:r>
      <w:hyperlink r:id="rId133" w:history="1">
        <w:r>
          <w:rPr>
            <w:rFonts w:ascii="arial" w:eastAsia="arial" w:hAnsi="arial" w:cs="arial"/>
            <w:i/>
            <w:color w:val="0077CC"/>
            <w:sz w:val="20"/>
            <w:u w:val="single"/>
            <w:shd w:val="clear" w:color="auto" w:fill="FFFFFF"/>
            <w:lang w:val="en-US" w:eastAsia="en-US" w:bidi="ar-SA"/>
          </w:rPr>
          <w:t>2005 BCCA 594</w:t>
        </w:r>
      </w:hyperlink>
      <w:r>
        <w:rPr>
          <w:rFonts w:ascii="arial" w:eastAsia="arial" w:hAnsi="arial" w:cs="arial"/>
          <w:color w:val="000000"/>
          <w:sz w:val="20"/>
          <w:lang w:val="en-US" w:eastAsia="en-US" w:bidi="ar-SA"/>
        </w:rPr>
        <w:t xml:space="preserve"> (CanLII), Donald J.A. cited at para. 25 the following non-exhaustive list of principles that may be considered on an application for a vexatious litigant order:</w:t>
      </w:r>
    </w:p>
    <w:p>
      <w:pPr>
        <w:numPr>
          <w:numId w:val="5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bringing of one or more actions to determine an issue which has already been determined by a court of competent jurisdiction constitutes a vexatious proceeding;</w:t>
      </w:r>
    </w:p>
    <w:p>
      <w:pPr>
        <w:numPr>
          <w:numId w:val="5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it is obvious that an action cannot succeed, or if the action would lead to no possible good, or if no reasonable person can reasonably expect to obtain relief, the action is vexatious;</w:t>
      </w:r>
    </w:p>
    <w:p>
      <w:pPr>
        <w:numPr>
          <w:numId w:val="5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vexatious actions include those brought for an improper purpose, including the harassment and oppression of other parties by multifarious proceedings brought for purposes other than the assertion of legitimate rights;</w:t>
      </w:r>
    </w:p>
    <w:p>
      <w:pPr>
        <w:numPr>
          <w:numId w:val="5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a general characteristic of vexatious proceedings that grounds and issues raised tend to be rolled forward into subsequent actions and repeated and supplemented, often with actions brought against the lawyers who have acted for or against the litigant in earlier proceedings;</w:t>
      </w:r>
    </w:p>
    <w:p>
      <w:pPr>
        <w:numPr>
          <w:numId w:val="5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determining whether proceedings are vexatious, the court must look at the whole history of the matter and not just whether there was originally a good cause of action;</w:t>
      </w:r>
    </w:p>
    <w:p>
      <w:pPr>
        <w:numPr>
          <w:numId w:val="5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failure of the person instituting the proceedings to pay the costs of unsuccessful proceedings is one factor to be considered in determining whether proceedings are vexatious.</w:t>
      </w:r>
    </w:p>
    <w:p>
      <w:pPr>
        <w:numPr>
          <w:numId w:val="5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respondent's conduct in persistently taking unsuccessful appeals form judicial decisions can be considered vexatious conduct of legal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Mr. Simon in his notice of claim attempts to re-litigate issues already decided by Donegan J. The notice of claim also repeats and expands upon past pleadings dismissed by other courts of competent jurisdiction. Mr. Simon has habitually and persistently brought actions not just before the Supreme Court of British Columbia and Provincial Court of British Columbia, but also against other courts and administrative tribunals. These claims also contain allegations against decision-makers and counsel. He has habitually and persistently brought appeals and judicial reviews of decisions and has appealed those decisions and appeals. The whole litigation history reveals a litany of unsuccessful legal proceedings, including previous dismissals of claims found to be scandalous, vexatious, and an abuse of process, of which the current dismissal now forms a part. He has also failed to pay costs previously ordered against him for unsuccessful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For these reasons I make an order under s. 18 of the </w:t>
      </w:r>
      <w:r>
        <w:rPr>
          <w:rFonts w:ascii="arial" w:eastAsia="arial" w:hAnsi="arial" w:cs="arial"/>
          <w:i/>
          <w:color w:val="000000"/>
          <w:sz w:val="20"/>
          <w:lang w:val="en-US" w:eastAsia="en-US" w:bidi="ar-SA"/>
        </w:rPr>
        <w:t>Supreme Court Act</w:t>
      </w:r>
      <w:r>
        <w:rPr>
          <w:rFonts w:ascii="arial" w:eastAsia="arial" w:hAnsi="arial" w:cs="arial"/>
          <w:color w:val="000000"/>
          <w:sz w:val="20"/>
          <w:lang w:val="en-US" w:eastAsia="en-US" w:bidi="ar-SA"/>
        </w:rPr>
        <w:t xml:space="preserve"> that Mr. Simon may not institute further legal proceedings in any British Columbia Court without first obtaining leave of the Court. Mr. Simon shall not commence any further court action, or file any application in an existing action, without first obtaining leave of the Court and providing twenty-one (21) clear days' notice by service of such application to the Attorney General of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Based on the foregoing reasons, the notice of claim filed by the plaintiffs herein on the 26th day of April, 2017, Golden Registry, No. 5675, is struck in its entirety without leave to amend and the plaintiffs' action is dismissed in its entirety.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It is further declared that the plaintiff, Zoltan Andrew Simon, is a vexatious litigant pursuant to the inherent jurisdiction of this Court to control its own process (</w:t>
      </w:r>
      <w:r>
        <w:rPr>
          <w:rFonts w:ascii="arial" w:eastAsia="arial" w:hAnsi="arial" w:cs="arial"/>
          <w:i/>
          <w:color w:val="000000"/>
          <w:sz w:val="20"/>
          <w:lang w:val="en-US" w:eastAsia="en-US" w:bidi="ar-SA"/>
        </w:rPr>
        <w:t>Household Trust Co. v. Golden Horse Farms Inc</w:t>
      </w:r>
      <w:r>
        <w:rPr>
          <w:rFonts w:ascii="arial" w:eastAsia="arial" w:hAnsi="arial" w:cs="arial"/>
          <w:color w:val="000000"/>
          <w:sz w:val="20"/>
          <w:lang w:val="en-US" w:eastAsia="en-US" w:bidi="ar-SA"/>
        </w:rPr>
        <w:t xml:space="preserve">. </w:t>
      </w:r>
      <w:hyperlink r:id="rId134" w:history="1">
        <w:r>
          <w:rPr>
            <w:rFonts w:ascii="arial" w:eastAsia="arial" w:hAnsi="arial" w:cs="arial"/>
            <w:i/>
            <w:color w:val="0077CC"/>
            <w:sz w:val="20"/>
            <w:u w:val="single"/>
            <w:shd w:val="clear" w:color="auto" w:fill="FFFFFF"/>
            <w:lang w:val="en-US" w:eastAsia="en-US" w:bidi="ar-SA"/>
          </w:rPr>
          <w:t>(1992), 65 BCLR (2d) 355</w:t>
        </w:r>
      </w:hyperlink>
      <w:r>
        <w:rPr>
          <w:rFonts w:ascii="arial" w:eastAsia="arial" w:hAnsi="arial" w:cs="arial"/>
          <w:color w:val="000000"/>
          <w:sz w:val="20"/>
          <w:lang w:val="en-US" w:eastAsia="en-US" w:bidi="ar-SA"/>
        </w:rPr>
        <w:t xml:space="preserve"> at para. 28) and s. 18 of the </w:t>
      </w:r>
      <w:r>
        <w:rPr>
          <w:rFonts w:ascii="arial" w:eastAsia="arial" w:hAnsi="arial" w:cs="arial"/>
          <w:i/>
          <w:color w:val="000000"/>
          <w:sz w:val="20"/>
          <w:lang w:val="en-US" w:eastAsia="en-US" w:bidi="ar-SA"/>
        </w:rPr>
        <w:t>Supreme Court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It is further ordered that the plaintiff, Zoltan Andrew Simon, must not, without first obtaining leave of this Court, institute or commence legal proceedings in any British Columbia court, or file applications in any existing legal proceedings in any British Columbia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It is further ordered that any application brought by Zoltan Andrew Simon for leave, as aforesaid, shall be served, in addition to any other intended defendant or respondent parties, on the Attorney General of British Columbia with at least twenty-one (21) clear days' notice prior to the scheduled hearing of the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Zoltan Andrew Simon is not by this order precluded from defending himself in criminal or civil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It is further ordered that the plaintiff, Zoltan Andrew Simon, shall forthwith pay the costs of the defendants in the lump sum amount of $2,000 each, for a total of $4,000. Further, it is ordered the signature as to approval of the form of this order by the plaintiff, Zoltan Andrew Simon, is dispensed with.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K.W. BALL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49" style="position:absolute;z-index:2517032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35"/>
          <w:headerReference w:type="default" r:id="rId136"/>
          <w:footerReference w:type="even" r:id="rId137"/>
          <w:footerReference w:type="default" r:id="rId138"/>
          <w:headerReference w:type="first" r:id="rId139"/>
          <w:footerReference w:type="first" r:id="rId14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141" w:history="1">
        <w:r>
          <w:rPr>
            <w:rFonts w:ascii="arial" w:eastAsia="arial" w:hAnsi="arial" w:cs="arial"/>
            <w:b/>
            <w:bCs/>
            <w:i/>
            <w:color w:val="0077CC"/>
            <w:kern w:val="32"/>
            <w:sz w:val="28"/>
            <w:szCs w:val="32"/>
            <w:u w:val="single"/>
            <w:shd w:val="clear" w:color="auto" w:fill="FFFFFF"/>
            <w:lang w:val="en-US" w:eastAsia="en-US" w:bidi="ar-SA"/>
          </w:rPr>
          <w:t>Soglo v. Spotline Custom Collision (1987) Ltd., [2000] B.C.J. No. 1914</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MacKenzie J.</w:t>
      </w:r>
    </w:p>
    <w:p>
      <w:pPr>
        <w:spacing w:before="120" w:line="260" w:lineRule="atLeast"/>
        <w:jc w:val="center"/>
        <w:rPr>
          <w:lang w:val="en-US" w:eastAsia="en-US" w:bidi="ar-SA"/>
        </w:rPr>
      </w:pPr>
      <w:r>
        <w:rPr>
          <w:rFonts w:ascii="arial" w:eastAsia="arial" w:hAnsi="arial" w:cs="arial"/>
          <w:color w:val="000000"/>
          <w:sz w:val="20"/>
          <w:lang w:val="en-US" w:eastAsia="en-US" w:bidi="ar-SA"/>
        </w:rPr>
        <w:t>Oral judgment: July 19, 2000.</w:t>
      </w:r>
    </w:p>
    <w:p>
      <w:pPr>
        <w:spacing w:before="120" w:line="260" w:lineRule="atLeast"/>
        <w:jc w:val="center"/>
        <w:rPr>
          <w:lang w:val="en-US" w:eastAsia="en-US" w:bidi="ar-SA"/>
        </w:rPr>
      </w:pPr>
      <w:r>
        <w:rPr>
          <w:rFonts w:ascii="arial" w:eastAsia="arial" w:hAnsi="arial" w:cs="arial"/>
          <w:color w:val="000000"/>
          <w:sz w:val="20"/>
          <w:lang w:val="en-US" w:eastAsia="en-US" w:bidi="ar-SA"/>
        </w:rPr>
        <w:t>New Westminster Registry No. S048726</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[2000] B.C.J. No. 1914</w:t>
      </w:r>
    </w:p>
    <w:p>
      <w:pPr>
        <w:spacing w:before="120" w:line="260" w:lineRule="atLeast"/>
        <w:rPr>
          <w:lang w:val="en-US" w:eastAsia="en-US" w:bidi="ar-SA"/>
        </w:rPr>
      </w:pPr>
      <w:r>
        <w:rPr>
          <w:rFonts w:ascii="arial" w:eastAsia="arial" w:hAnsi="arial" w:cs="arial"/>
          <w:color w:val="000000"/>
          <w:sz w:val="20"/>
          <w:lang w:val="en-US" w:eastAsia="en-US" w:bidi="ar-SA"/>
        </w:rPr>
        <w:t>Between Michael Soglo, plaintiff, and Spotline Custom Collision (1987) Ltd. and Tony Crescenzo, defendants</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(36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050" style="position:absolute;z-index:251663360"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32" w:name="Keywords_4"/>
      <w:bookmarkEnd w:id="32"/>
      <w:r>
        <w:rPr>
          <w:rFonts w:ascii="arial" w:eastAsia="arial" w:hAnsi="arial" w:cs="arial"/>
          <w:b/>
          <w:color w:val="000000"/>
          <w:sz w:val="20"/>
          <w:lang w:val="en-US" w:eastAsia="en-US" w:bidi="ar-SA"/>
        </w:rPr>
        <w:t xml:space="preserve">Torts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Motor vehicle — Damage awards — Injury and death — Neck injuries — Soft tissue injuries — Special damage awards — Loss of wages — General damage awards.</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33" w:name="Case Summary_3"/>
            <w:bookmarkEnd w:id="33"/>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Action by the victim, Soglo, against the tortfeasor, Spotline Custom Collision (1987) Ltd., for damages following a motor vehicle accident. In February 1998, Soglo was injured when Spotline's large sport vehicle broadsided his pickup truck. Soglo suffered whiplash injuries that included numbness in his small fingers, fatigue, headaches, ringing in his ears, and ongoing but intermittent neck and shoulder pain. Prior to the accident, Soglo's health was excellent and he was a physically active person. Shortly after the accident, Soglo was unable to work for one month. Soglo's condition improved throughout the two years following the accident. Today, he only experienced occasional headaches. The ringing in his ears was non- existent. However, he continued to experience intermittent shoulder and neck pain for which he continued to receive treatment. Spotline admitted its liability. Soglo claimed damages in the amount of $25,000. </w:t>
            </w:r>
            <w:r>
              <w:rPr>
                <w:lang w:val="en-US" w:eastAsia="en-US" w:bidi="ar-SA"/>
              </w:rPr>
              <w:cr/>
            </w:r>
          </w:p>
          <w:p>
            <w:pPr>
              <w:spacing w:before="120" w:line="260" w:lineRule="atLeast"/>
              <w:ind w:left="240"/>
              <w:jc w:val="both"/>
              <w:rPr>
                <w:lang w:val="en-US" w:eastAsia="en-US" w:bidi="ar-SA"/>
              </w:rPr>
            </w:pPr>
            <w:bookmarkStart w:id="34" w:name="Holdings of Court_2"/>
            <w:bookmarkEnd w:id="34"/>
            <w:r>
              <w:rPr>
                <w:rFonts w:ascii="arial" w:eastAsia="arial" w:hAnsi="arial" w:cs="arial"/>
                <w:color w:val="000000"/>
                <w:sz w:val="20"/>
                <w:lang w:val="en-US" w:eastAsia="en-US" w:bidi="ar-SA"/>
              </w:rPr>
              <w:t>HELD: Action allowed.</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 Soglo was awarded general damages in the amount of $18,000, $2,257.42 for loss of wages, $30 in special damages and $200 in special damages for the deductible paid on his insurance policy. The case involved mild to moderate soft tissue injury from which Soglo missed one month of work and from which he experienced significant pain for the first three months post-accident. </w:t>
            </w:r>
            <w:r>
              <w:rPr>
                <w:lang w:val="en-US" w:eastAsia="en-US" w:bidi="ar-SA"/>
              </w:rPr>
              <w:cr/>
            </w:r>
          </w:p>
          <w:p>
            <w:pPr>
              <w:rPr>
                <w:lang w:val="en-US" w:eastAsia="en-US" w:bidi="ar-SA"/>
              </w:rPr>
            </w:pPr>
          </w:p>
        </w:tc>
      </w:tr>
    </w:tbl>
    <w:p>
      <w:pPr>
        <w:jc w:val="both"/>
        <w:rPr>
          <w:lang w:val="en-US" w:eastAsia="en-US" w:bidi="ar-SA"/>
        </w:rPr>
      </w:pPr>
      <w:bookmarkStart w:id="35" w:name="Counsel_4"/>
      <w:bookmarkEnd w:id="35"/>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Counsel</w:t>
      </w:r>
    </w:p>
    <w:p>
      <w:pPr>
        <w:spacing w:line="60" w:lineRule="exact"/>
        <w:rPr>
          <w:lang w:val="en-US" w:eastAsia="en-US" w:bidi="ar-SA"/>
        </w:rPr>
      </w:pPr>
      <w:r>
        <w:pict>
          <v:line id="_x0000_s1051" style="position:absolute;z-index:251673600"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M.R. Sporer, for the plaintiff. B. Fraser, for the defendants.</w:t>
      </w:r>
      <w:r>
        <w:rPr>
          <w:lang w:val="en-US" w:eastAsia="en-US" w:bidi="ar-SA"/>
        </w:rPr>
        <w:cr/>
      </w:r>
    </w:p>
    <w:p>
      <w:pPr>
        <w:spacing w:after="240"/>
        <w:rPr>
          <w:lang w:val="en-US" w:eastAsia="en-US" w:bidi="ar-SA"/>
        </w:rPr>
      </w:pPr>
      <w:bookmarkStart w:id="36" w:name="Judgment_4"/>
      <w:bookmarkEnd w:id="36"/>
      <w:r>
        <w:pict>
          <v:line id="_x0000_s1052" style="position:absolute;z-index:251683840" from="0,12pt" to="512pt,12pt" strokecolor="#009ddb" strokeweight="1.5pt">
            <v:stroke linestyle="single"/>
          </v:line>
        </w:pict>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371"/>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37" w:name="MacKENZIE J. (orally)"/>
            <w:bookmarkEnd w:id="37"/>
            <w:r>
              <w:rPr>
                <w:rFonts w:ascii="arial" w:eastAsia="arial" w:hAnsi="arial" w:cs="arial"/>
                <w:b/>
                <w:color w:val="000000"/>
                <w:sz w:val="30"/>
                <w:lang w:val="en-US" w:eastAsia="en-US" w:bidi="ar-SA"/>
              </w:rPr>
              <w:t>MacKENZIE J. (orally)</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On February 19th, 1998, 30-year-old Michael Soglo, the plaintiff, was injured when a large sport vehicle broadsided his pickup truck. Its repair cost $2,954.54. The defendants admit liability. The only issue is quantum of general damages.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defendants argue that damages in the range of $7,500 to $10,000 are appropriate for this case of mild to moderate soft tissue injuries. The plaintiff seeks general damages of $25,000.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plaintiff's whiplash injuries included numbness in his small fingers, fatigue, headaches, ringing in the ears or tinnitus and, most significantly, ongoing but intermittent neck and shoulder pain,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defendants conceded that the plaintiff was a credible witness. I accept his evidence which he offered in a forthright manner without exaggeration.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Before the accident the plaintiff's health was excellent. He was a physically active person, enjoying mountain bike riding, dragon boat racing, frisbee, ice hockey and hiking.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At the time of the collision, the plaintiff worked as a journeyman heavy-duty mechanic, for the City of Vancouver. He had served a three-and-a-half year apprenticeship. During his apprenticeship he experienced no neck or shoulder problems.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plaintiff's work as a heavy-duty mechanic involved maintenance and repair of large trucks. He did heavy brake and suspension work, including much lifting of brakes and parts. He also worked in pits in which he would diagnose a truck by going underneath and looking up for continuous and substantial periods of time. As well, he often worked on a creeper in which he would lie flat with his head and arms up.</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On the day of the accident, the plaintiff went to work. While at work he felt numbness in his neck 30 to 40 minutes after the accident. He visited the first aid attendant who told him to use an ice pack on his neck.</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next morning the plaintiff's pain in his neck and shoulders was worse, so he visited his family physician, Dr. Weckworth.</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During the next few weeks post-accident, his pain worsened. The plaintiff was unable to work from February 20th until March 25th, 1998. He suffered agonizing pain at the top of his shoulders, up his neck and in the back of his head, so he rested most of the time. He also started having ringing in his ears, but it did not affect his hearing. His headaches continued and he experienced numbness in his little fingers,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During the first week post-accident, the plaintiff attended a previously arranged business course, but only with a lot of pain. He could not enjoy leisure activities and had to rest in the evenings after the course.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On his return to work March 25th, 1998, the plaintiff was extremely sore and tired at the end of his first shift.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second day involved lighter duties and he found, in general, that the nature of his duties at work affected the degree of his pain.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During his first month back at work he returned home exhausted. However, there was a slight improvement in the latter part of the month. He experienced a constant ache in the back of his neck and lower part of his head. In mid-May, three months post-accident, the plaintiff was continuing to work with small improvement in his pain. Although his headaches occurred three to four times per week, he only took extra strength Tylenol two or three times a month. He experienced stiffness in his neck, but it was improving somewhat. He continued to experience ringing in his ears and numbness in his little fingers.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As recommended by his family doctor, the plaintiff was making an effort to become physically active. By May 1998, he had returned to his full leisure activities.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On the recommendation of his doctor, the plaintiff attended a physiotherapist. He had three such appointments. In the summer of 1998, the doctor felt the exercises the plaintiff was doing on his own for his shoulder and neck were adequate and he no longer needed to visit the physiotherapist.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For the rest of 1998, the plaintiff experienced ongoing symptoms of shoulder and neck pain, especially while working overhead, driving long distances, and sitting in front of a computer. During the latter part of 1998, the headaches improved to a couple per week, and the ringing in his ears was only sporadic. The numbness in his little fingers improved significantly.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In November 1998, the plaintiff experienced increased pain to his injuries when he flew to Ireland. He became very sore from lifting his head up to watch a soccer game for one and a half hours. This pain lasted about four days.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Approximately one year after the accident, the plaintiff's job changed. He was still a heavy-duty mechanic, but he went from the truck section to working on heavy equipment. This improved his accident injuries. There was less lifting and substantially less working in pits or on a creeper. His condition improved significantly.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Throughout 1999, the plaintiff maintained his regular leisure activities and felt substantially better in the neck and upper shoulders. Although he was doing well, after a heavy day at work his neck and shoulders still bothered him. However, this occurred less frequently.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By mid-November 1999, the plaintiff's headaches had greatly improved as had the neck and shoulder pain. He was 85 per cent recovered from the accident injuries. His neck bothers him if he works for six hours overhead and three to four hours of diagnosis bothers him. His pain is much better in the morning after a good night's sleep and stretching exercises.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Today the plaintiff has only occasional headaches. The ringing in his ears is non-existent. The only lingering concern now is intermittent shoulder and neck pain for which he will receive treatment as recommended by Dr. Van Rijn if this pain does not resolve itself in another six months or so.</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 have reviewed the cases cited by counsel and the medical report in this matter. I agree with counsel for the defendants that this is a case of mild to moderate soft tissue injury. The plaintiff was off work from February 20th to March 22nd, 1998, and experienced significant pain for the first three months post-accident. He has stoically maintained his work schedule activities, albeit moving after one year post-accident to somewhat lighter work, a move which the evidence does not show was directly related to his injuries but improved them, and he has maintained his recreational physical activities.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plaintiff's injuries have resolved except for intermittent neck and shoulder pain which are exacerbated from long car rides, extended work involving neck movement and sitting in front of a computer. He has made an attempt to avoid medication.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In my opinion, the plaintiff is to be admired for the courageous manner in which he has deliberately moved through his pain to quickly resume his former activities.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Having considered the cases cited by counsel and their able submissions, a reasonable award for general damages is $18,000. By agreement, I award a wage loss of $2,257.42; $30 in special damages, and $200 in special damages for the deductible the plaintiff paid on his insurance policy.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 have already made an order with respect to the loss of his safe driver's discount.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There will be court ordered interest on the past wage loss.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Subject to submissions, the plaintiff is entitled to his costs at Scale 3.</w:t>
      </w:r>
      <w:r>
        <w:rPr>
          <w:lang w:val="en-US" w:eastAsia="en-US" w:bidi="ar-SA"/>
        </w:rPr>
        <w:cr/>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0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38" w:name="THE COURT"/>
            <w:bookmarkEnd w:id="38"/>
            <w:r>
              <w:rPr>
                <w:rFonts w:ascii="arial" w:eastAsia="arial" w:hAnsi="arial" w:cs="arial"/>
                <w:b/>
                <w:color w:val="000000"/>
                <w:sz w:val="30"/>
                <w:lang w:val="en-US" w:eastAsia="en-US" w:bidi="ar-SA"/>
              </w:rPr>
              <w:t>THE COURT</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Does that include everything, counsel?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MR. SPORER: There's just one matter.</w:t>
      </w:r>
      <w:r>
        <w:rPr>
          <w:lang w:val="en-US" w:eastAsia="en-US" w:bidi="ar-SA"/>
        </w:rPr>
        <w:cr/>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0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39" w:name="THE COURT "/>
            <w:bookmarkEnd w:id="39"/>
            <w:r>
              <w:rPr>
                <w:rFonts w:ascii="arial" w:eastAsia="arial" w:hAnsi="arial" w:cs="arial"/>
                <w:b/>
                <w:color w:val="000000"/>
                <w:sz w:val="30"/>
                <w:lang w:val="en-US" w:eastAsia="en-US" w:bidi="ar-SA"/>
              </w:rPr>
              <w:t>THE COURT</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Yes.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MR. SPORER: That is the $950. That if it's not reimbursed by ICBC, then it's -- it would be part of the judgment.</w:t>
      </w:r>
      <w:r>
        <w:rPr>
          <w:lang w:val="en-US" w:eastAsia="en-US" w:bidi="ar-SA"/>
        </w:rPr>
        <w:cr/>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0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40" w:name="THE COURT  "/>
            <w:bookmarkEnd w:id="40"/>
            <w:r>
              <w:rPr>
                <w:rFonts w:ascii="arial" w:eastAsia="arial" w:hAnsi="arial" w:cs="arial"/>
                <w:b/>
                <w:color w:val="000000"/>
                <w:sz w:val="30"/>
                <w:lang w:val="en-US" w:eastAsia="en-US" w:bidi="ar-SA"/>
              </w:rPr>
              <w:t>THE COURT</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That's right. I made that order the other day.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MR. SPORER: That's correct.</w:t>
      </w:r>
      <w:r>
        <w:rPr>
          <w:lang w:val="en-US" w:eastAsia="en-US" w:bidi="ar-SA"/>
        </w:rPr>
        <w:cr/>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0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41" w:name="THE COURT   "/>
            <w:bookmarkEnd w:id="41"/>
            <w:r>
              <w:rPr>
                <w:rFonts w:ascii="arial" w:eastAsia="arial" w:hAnsi="arial" w:cs="arial"/>
                <w:b/>
                <w:color w:val="000000"/>
                <w:sz w:val="30"/>
                <w:lang w:val="en-US" w:eastAsia="en-US" w:bidi="ar-SA"/>
              </w:rPr>
              <w:t>THE COURT</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That's the order I referred to. But to repeat that order then, the loss of the plaintiff's accumulative safe driving discount of $950 will be paid by ICBC. And in the event that ICBC does not pay it, there will be an additional $950 added plus in court ordered interest, I believe, added to this judgment.</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MacKENZIE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3" style="position:absolute;z-index:25169408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42"/>
          <w:headerReference w:type="default" r:id="rId143"/>
          <w:footerReference w:type="even" r:id="rId144"/>
          <w:footerReference w:type="default" r:id="rId145"/>
          <w:headerReference w:type="first" r:id="rId146"/>
          <w:footerReference w:type="first" r:id="rId14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48" w:history="1">
        <w:r>
          <w:rPr>
            <w:rFonts w:ascii="arial" w:eastAsia="arial" w:hAnsi="arial" w:cs="arial"/>
            <w:b/>
            <w:bCs/>
            <w:i/>
            <w:color w:val="0077CC"/>
            <w:kern w:val="32"/>
            <w:sz w:val="28"/>
            <w:szCs w:val="32"/>
            <w:u w:val="single"/>
            <w:shd w:val="clear" w:color="auto" w:fill="FFFFFF"/>
            <w:lang w:val="en-US" w:eastAsia="en-US" w:bidi="ar-SA"/>
          </w:rPr>
          <w:t>Strata Plan LMS 3851 v. Homer Street Development Limited Partnership, [2015] B.C.J. No. 1873</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J.D. Truscott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September 8-10, 15-19, 22-25,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29, October 3, 8-9, 14-16,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January 21 and May 29,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September 1,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S76792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New Westminster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[2015] B.C.J. No. 1873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149" w:history="1">
        <w:r>
          <w:rPr>
            <w:rFonts w:ascii="arial" w:eastAsia="arial" w:hAnsi="arial" w:cs="arial"/>
            <w:i/>
            <w:color w:val="0077CC"/>
            <w:sz w:val="20"/>
            <w:u w:val="single"/>
            <w:shd w:val="clear" w:color="auto" w:fill="FFFFFF"/>
            <w:lang w:val="en-US" w:eastAsia="en-US" w:bidi="ar-SA"/>
          </w:rPr>
          <w:t>2015 BCSC 1564</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149" w:history="1">
        <w:r>
          <w:rPr>
            <w:rFonts w:ascii="arial" w:eastAsia="arial" w:hAnsi="arial" w:cs="arial"/>
            <w:i/>
            <w:color w:val="0077CC"/>
            <w:sz w:val="20"/>
            <w:u w:val="single"/>
            <w:shd w:val="clear" w:color="auto" w:fill="FFFFFF"/>
            <w:lang w:val="en-US" w:eastAsia="en-US" w:bidi="ar-SA"/>
          </w:rPr>
          <w:t>2015 CarswellBC 2513</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149" w:history="1">
        <w:r>
          <w:rPr>
            <w:rFonts w:ascii="arial" w:eastAsia="arial" w:hAnsi="arial" w:cs="arial"/>
            <w:i/>
            <w:color w:val="0077CC"/>
            <w:sz w:val="20"/>
            <w:u w:val="single"/>
            <w:shd w:val="clear" w:color="auto" w:fill="FFFFFF"/>
            <w:lang w:val="en-US" w:eastAsia="en-US" w:bidi="ar-SA"/>
          </w:rPr>
          <w:t>258 A.C.W.S. (3d) 75</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149" w:history="1">
        <w:r>
          <w:rPr>
            <w:rFonts w:ascii="arial" w:eastAsia="arial" w:hAnsi="arial" w:cs="arial"/>
            <w:i/>
            <w:color w:val="0077CC"/>
            <w:sz w:val="20"/>
            <w:u w:val="single"/>
            <w:shd w:val="clear" w:color="auto" w:fill="FFFFFF"/>
            <w:lang w:val="en-US" w:eastAsia="en-US" w:bidi="ar-SA"/>
          </w:rPr>
          <w:t>59 R.P.R. (5th) 210</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The Owners, Strata Plan LMS 3851, Chong Ping Wong and others, Plaintiffs, and Homer Street Development Limited Partnership, formerly Cressey (Homer) Limited Partnership, and others, Defendants, and O'Neill Hotels &amp; Resorts Ltd., OHR Grand Management Ltd., and others, Third Parties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(207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54" style="position:absolute;z-index:25166438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42" w:name="Keywords_5"/>
      <w:bookmarkEnd w:id="42"/>
      <w:r>
        <w:rPr>
          <w:rFonts w:ascii="arial" w:eastAsia="arial" w:hAnsi="arial" w:cs="arial"/>
          <w:b/>
          <w:color w:val="000000"/>
          <w:sz w:val="20"/>
          <w:lang w:val="en-US" w:eastAsia="en-US" w:bidi="ar-SA"/>
        </w:rPr>
        <w:t>Damages — For torts — Fraud and misrepresentation — Compensation of $8,000,000 awarded to plaintiffs for loss of capital value — Plaintiff investors purchased units in a condominium hotel in 1999 — Due to material false statement of comparison between assumed hotel occupancy rates in chart applicable to the condominium hotel and assumed or expected average occupancy rates for downtown Vancouver hotels of similar quality for the same years, units purchased were worth less than what plaintiffs paid for units on closing — Closing date was proper valuation date — Loss was difference between purchase price and market value of units.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43" w:name="Case Summary_4"/>
            <w:bookmarkEnd w:id="43"/>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Assessment of damages sustained by the plaintiff investors who purchased units in a condominium hotel in 1999. The plaintiffs were only entitled to occupy their units a maximum of 30 days per year. For the rest of the year, their units remained available for rent with all rental monies to go into the rental pool in which they were obliged to participate. Due to a material false statement of comparison between the assumed hotel occupancy rates in the chart applicable to the condominium hotel and the assumed or expected average occupancy rates for downtown Vancouver hotels of similar quality for the same years, the units purchased were worth less than what they paid for the units on closing. The plaintiffs sought damages for loss of capital value and out of pocket expenses suffered or incurred to December 2004, as a result of the purchase of the units. The plaintiffs admitted the claim for loss of capital value was limited to the difference between the price paid for each strata unit and the value of each strata unit as at a valuation date. The plaintiffs also sought closing costs paid on the completion of purchase of their units. The plaintiffs paid a total of $18,468,930 in 1999 for the purchase of their units. Based on the evidence of the appraiser retained by the plaintiffs, the value for their units in 1999 of was $10,388,700, resulting in a capital loss of $8,080,230 in making these investments.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44" w:name="Holdings of Court_3"/>
            <w:bookmarkEnd w:id="44"/>
            <w:r>
              <w:rPr>
                <w:rFonts w:ascii="arial" w:eastAsia="arial" w:hAnsi="arial" w:cs="arial"/>
                <w:color w:val="000000"/>
                <w:sz w:val="20"/>
                <w:lang w:val="en-US" w:eastAsia="en-US" w:bidi="ar-SA"/>
              </w:rPr>
              <w:t>HELD: Damages were assessed at $8,000,000.</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court accepted the opinions of the plaintiffs' appraiser as the best evidence of valuation. The sales transaction date should be considered as at April 1999 when each of the plaintiff investors completed their purchase of their unit, and the investors' capital loss should be assessed at that time. The statutory cause of action for compensation arose once the titles to the units actually passed to the purchasers. The investors had suffered actual damage by parting with their money and receiving in exchange property worth less than the prices they paid. What the plaintiffs had done with their units since 1999 was irrelevant. With the investors free to deal with their units as they wished after April 1999 and holding onto their units for all the period of time since 1999, the court declined to award them any additional monies for their closing costs in 1999 because with their right to continue to hold their units or otherwise deal with them, the obligation to complete at some cost in 1999 went with this freedom.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45" w:name="Legislation Cited_4"/>
      <w:bookmarkEnd w:id="4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55" style="position:absolute;z-index:25167462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Real Estate Act, 1979, s. 59, s. 59(1)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Real Estate Act, 1996, s. 75</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46" w:name="Counsel_5"/>
      <w:bookmarkEnd w:id="46"/>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56" style="position:absolute;z-index:25168486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Plaintiffs: B.W. Dixon, S.T.C. Warnett and M.T. Maniago.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Defendants: D.C. Harbottle and F.L. Lamer.</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47" w:name="Judgment_5"/>
      <w:bookmarkEnd w:id="47"/>
      <w:r>
        <w:pict>
          <v:line id="_x0000_s1057" style="position:absolute;z-index:25169510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8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48" w:name="J.D. TRUSCOTT J."/>
            <w:bookmarkEnd w:id="48"/>
            <w:r>
              <w:rPr>
                <w:rFonts w:ascii="arial" w:eastAsia="arial" w:hAnsi="arial" w:cs="arial"/>
                <w:b/>
                <w:color w:val="000000"/>
                <w:sz w:val="30"/>
                <w:lang w:val="en-US" w:eastAsia="en-US" w:bidi="ar-SA"/>
              </w:rPr>
              <w:t>J.D. TRUSCOTT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trial dealt with the loss or damage the plaintiff investors sustained, if any, as a consequence of entering into their purchase transactions based upon a disclosure statement issued by the defendant developers in 1996 which included a material false statement in financial projections that were part of the disclosure statement.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Note 2(a) of the notes to financial projections, Exhibit C to the auditor's report as part of the disclosure statement, included a chart of projected rooms revenues for the Westin Grand Hotel derived from assumptions regarding hotel occupancy levels and average daily room rates for the hotel for the years 1999-2003 inclusive, which included the statement: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hotel occupancy rates in the chart are equal to the expected average occupancy rates for downtown Vancouver hotels of similar quality except for 1999 and 2000 which are 92.5% and 97.5% of the average, respectively, recognizing the start-up nature of the operation.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In reasons for judgment at the first stage of this case, on August 26, 2008, [</w:t>
      </w:r>
      <w:hyperlink r:id="rId150" w:history="1">
        <w:r>
          <w:rPr>
            <w:rFonts w:ascii="arial" w:eastAsia="arial" w:hAnsi="arial" w:cs="arial"/>
            <w:i/>
            <w:color w:val="0077CC"/>
            <w:sz w:val="20"/>
            <w:u w:val="single"/>
            <w:shd w:val="clear" w:color="auto" w:fill="FFFFFF"/>
            <w:lang w:val="en-US" w:eastAsia="en-US" w:bidi="ar-SA"/>
          </w:rPr>
          <w:t>2008 BCSC 1160</w:t>
        </w:r>
      </w:hyperlink>
      <w:r>
        <w:rPr>
          <w:rFonts w:ascii="arial" w:eastAsia="arial" w:hAnsi="arial" w:cs="arial"/>
          <w:color w:val="000000"/>
          <w:sz w:val="20"/>
          <w:lang w:val="en-US" w:eastAsia="en-US" w:bidi="ar-SA"/>
        </w:rPr>
        <w:t>], I concluded this statement was a false statement of comparison between the assumed hotel occupancy rates in the chart applicable to the Westin Grand and the assumed or expected average occupancy rates for downtown Vancouver hotels of similar quality for the same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 concluded without a doubt that a reasonable investor would have considered it very material to know that the occupancy rates for the Westin Grand for 1999-2003 were in fact all projected to be higher than the projected average occupancy rates for downtown Vancouver hotels of similar quality for those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Section 59 of the 1979 </w:t>
      </w:r>
      <w:r>
        <w:rPr>
          <w:rFonts w:ascii="arial" w:eastAsia="arial" w:hAnsi="arial" w:cs="arial"/>
          <w:i/>
          <w:color w:val="000000"/>
          <w:sz w:val="20"/>
          <w:lang w:val="en-US" w:eastAsia="en-US" w:bidi="ar-SA"/>
        </w:rPr>
        <w:t>Real Estate Act</w:t>
      </w:r>
      <w:r>
        <w:rPr>
          <w:rFonts w:ascii="arial" w:eastAsia="arial" w:hAnsi="arial" w:cs="arial"/>
          <w:color w:val="000000"/>
          <w:sz w:val="20"/>
          <w:lang w:val="en-US" w:eastAsia="en-US" w:bidi="ar-SA"/>
        </w:rPr>
        <w:t xml:space="preserve"> and s. 75 of the 1996 </w:t>
      </w:r>
      <w:r>
        <w:rPr>
          <w:rFonts w:ascii="arial" w:eastAsia="arial" w:hAnsi="arial" w:cs="arial"/>
          <w:i/>
          <w:color w:val="000000"/>
          <w:sz w:val="20"/>
          <w:lang w:val="en-US" w:eastAsia="en-US" w:bidi="ar-SA"/>
        </w:rPr>
        <w:t>Real Estate Act</w:t>
      </w:r>
      <w:r>
        <w:rPr>
          <w:rFonts w:ascii="arial" w:eastAsia="arial" w:hAnsi="arial" w:cs="arial"/>
          <w:color w:val="000000"/>
          <w:sz w:val="20"/>
          <w:lang w:val="en-US" w:eastAsia="en-US" w:bidi="ar-SA"/>
        </w:rPr>
        <w:t xml:space="preserve"> actually referred to "prospectus" and not to "disclosure statement", but under both versions a disclosure statement was deemed to be a prospectus.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Section 59(1) of the 1979 Edition stated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Where a prospectus has been accepted for filing by the superintendent under this part,</w:t>
      </w:r>
    </w:p>
    <w:p>
      <w:pPr>
        <w:numPr>
          <w:numId w:val="5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every purchaser of any part of the subdivided land to which the prospectus relates shall be deemed to have relied on the representations made in the prospectus whether the purchaser has received the prospectus or not; and</w:t>
      </w:r>
    </w:p>
    <w:p>
      <w:pPr>
        <w:numPr>
          <w:numId w:val="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If any material false statement is contained in the prospectus,</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every person who is a director of the developer at the time of the issue of the prospectus;</w:t>
      </w:r>
    </w:p>
    <w:p>
      <w:pPr>
        <w:numPr>
          <w:numId w:val="4"/>
        </w:numPr>
        <w:tabs>
          <w:tab w:val="num" w:pos="1840"/>
          <w:tab w:val="clear" w:pos="220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every person who, having authorized such naming of him, is named in the prospectus as a director of the developer;</w:t>
      </w:r>
    </w:p>
    <w:p>
      <w:pPr>
        <w:numPr>
          <w:numId w:val="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every developer; and</w:t>
      </w:r>
    </w:p>
    <w:p>
      <w:pPr>
        <w:numPr>
          <w:numId w:val="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every person who has authorized the issue of the prospectus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is liable to make compensation to all persons who have purchased the subdivided land for any loss or damage those persons may have sustained, unless it is proved.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Thereafter, six exceptions to that liability were set-out, none of which were applicable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I held that under s. 59 of the </w:t>
      </w:r>
      <w:r>
        <w:rPr>
          <w:rFonts w:ascii="arial" w:eastAsia="arial" w:hAnsi="arial" w:cs="arial"/>
          <w:i/>
          <w:color w:val="000000"/>
          <w:sz w:val="20"/>
          <w:lang w:val="en-US" w:eastAsia="en-US" w:bidi="ar-SA"/>
        </w:rPr>
        <w:t>Real Estate Act</w:t>
      </w:r>
      <w:r>
        <w:rPr>
          <w:rFonts w:ascii="arial" w:eastAsia="arial" w:hAnsi="arial" w:cs="arial"/>
          <w:color w:val="000000"/>
          <w:sz w:val="20"/>
          <w:lang w:val="en-US" w:eastAsia="en-US" w:bidi="ar-SA"/>
        </w:rPr>
        <w:t>, the false statement of comparison was a material false statement contained in the disclosure statement that did not purport to be made on the authority of any expert, including HVS, and the developers had no reasonable grounds to believe that the statement was true.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 held the developers and their directors liable to make compensation for any loss or damage to the purchasers for this material false statement and said what that compensation may be remained to be seen.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In reasons for judgment of the Court of Appeal handed down on September 16, 2009 (</w:t>
      </w:r>
      <w:hyperlink r:id="rId151" w:history="1">
        <w:r>
          <w:rPr>
            <w:rFonts w:ascii="arial" w:eastAsia="arial" w:hAnsi="arial" w:cs="arial"/>
            <w:i/>
            <w:color w:val="0077CC"/>
            <w:sz w:val="20"/>
            <w:u w:val="single"/>
            <w:shd w:val="clear" w:color="auto" w:fill="FFFFFF"/>
            <w:lang w:val="en-US" w:eastAsia="en-US" w:bidi="ar-SA"/>
          </w:rPr>
          <w:t>2009 BCCA 395</w:t>
        </w:r>
      </w:hyperlink>
      <w:r>
        <w:rPr>
          <w:rFonts w:ascii="arial" w:eastAsia="arial" w:hAnsi="arial" w:cs="arial"/>
          <w:color w:val="000000"/>
          <w:sz w:val="20"/>
          <w:lang w:val="en-US" w:eastAsia="en-US" w:bidi="ar-SA"/>
        </w:rPr>
        <w:t xml:space="preserve">) Madam Justice Levine, writing for the Court, said that the impugned Note was false, that there was no error in my conclusion that the impugned Note was a "statement" for the purpose of s. 59 of the </w:t>
      </w:r>
      <w:r>
        <w:rPr>
          <w:rFonts w:ascii="arial" w:eastAsia="arial" w:hAnsi="arial" w:cs="arial"/>
          <w:i/>
          <w:color w:val="000000"/>
          <w:sz w:val="20"/>
          <w:lang w:val="en-US" w:eastAsia="en-US" w:bidi="ar-SA"/>
        </w:rPr>
        <w:t>Real Estate Act</w:t>
      </w:r>
      <w:r>
        <w:rPr>
          <w:rFonts w:ascii="arial" w:eastAsia="arial" w:hAnsi="arial" w:cs="arial"/>
          <w:color w:val="000000"/>
          <w:sz w:val="20"/>
          <w:lang w:val="en-US" w:eastAsia="en-US" w:bidi="ar-SA"/>
        </w:rPr>
        <w:t>, the developers did not argue that I applied a wrong principle in determining that the impugned Note was "material", and the developers had not shown that I made any palpable and overriding error in drawing the inference from the circumstances surrounding the offer that a reasonable investor would have considered it very material to know that the impugned Note was false.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Madam Justice Levine also said I made no error in concluding that none of the six exceptions in s. 59 applied as available statutory defences.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In the trial order entered in this Court on March 20, 2009 it was stated:</w:t>
      </w:r>
      <w:r>
        <w:rPr>
          <w:rFonts w:ascii="arial" w:eastAsia="arial" w:hAnsi="arial" w:cs="arial"/>
          <w:sz w:val="20"/>
          <w:lang w:val="en-US" w:eastAsia="en-US" w:bidi="ar-SA"/>
        </w:rPr>
        <w:cr/>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Defendants Homer Street Development Limited Partnership, (formerly Cressey (Homer) Limited Partnership), Trilogy Robson Development Limited Partnership and 455322 British Columbia Ltd., carrying on business as The Grand Development Partnership, Cressey Development Corporation and 511953 British Columbia Ltd., formerly Trilogy Pacific Enterprises Corporation (the "Developers"), and Norman Cressey, Joan Cressey, Scott Cressey, John de C. Evans, Jonathon Wener and Douglas Pascal (the "Directors") are liable to make compensation to the Plaintiffs (other than The Owners, Strata Plan LMS3851) (the "Investors"), pursuant to s. 59 of the Real Estate Act, R.S.B.C. 1979, c.356 or s. 75 of the Real Estate Act, </w:t>
      </w:r>
      <w:hyperlink r:id="rId152" w:history="1">
        <w:r>
          <w:rPr>
            <w:rFonts w:ascii="arial" w:eastAsia="arial" w:hAnsi="arial" w:cs="arial"/>
            <w:i/>
            <w:color w:val="0077CC"/>
            <w:sz w:val="20"/>
            <w:u w:val="single"/>
            <w:shd w:val="clear" w:color="auto" w:fill="FFFFFF"/>
            <w:lang w:val="en-US" w:eastAsia="en-US" w:bidi="ar-SA"/>
          </w:rPr>
          <w:t>R.S.B.C. 1996, c.397</w:t>
        </w:r>
      </w:hyperlink>
      <w:r>
        <w:rPr>
          <w:rFonts w:ascii="arial" w:eastAsia="arial" w:hAnsi="arial" w:cs="arial"/>
          <w:color w:val="000000"/>
          <w:sz w:val="20"/>
          <w:lang w:val="en-US" w:eastAsia="en-US" w:bidi="ar-SA"/>
        </w:rPr>
        <w:t xml:space="preserve"> (the "Act"), as a result of the material false statement in Note 2(a) of the Notes to Financial Projection in Exhibit "M" to the Disclosure Statement dated November 8, 1996, that the hotel occupancy rates in the chart are equal to the expected average occupancy rates for downtown Vancouver hotels of similar quality except for 1999 and 2000 which are 92.5% and 97.5% of the average, respectively, recognizing the start-up nature of the operation.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Court of Appeal did not set aside nor modify this paragraph of the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On March 7, 2013 (</w:t>
      </w:r>
      <w:hyperlink r:id="rId153" w:history="1">
        <w:r>
          <w:rPr>
            <w:rFonts w:ascii="arial" w:eastAsia="arial" w:hAnsi="arial" w:cs="arial"/>
            <w:i/>
            <w:color w:val="0077CC"/>
            <w:sz w:val="20"/>
            <w:u w:val="single"/>
            <w:shd w:val="clear" w:color="auto" w:fill="FFFFFF"/>
            <w:lang w:val="en-US" w:eastAsia="en-US" w:bidi="ar-SA"/>
          </w:rPr>
          <w:t>2013 BCCA 99</w:t>
        </w:r>
      </w:hyperlink>
      <w:r>
        <w:rPr>
          <w:rFonts w:ascii="arial" w:eastAsia="arial" w:hAnsi="arial" w:cs="arial"/>
          <w:color w:val="000000"/>
          <w:sz w:val="20"/>
          <w:lang w:val="en-US" w:eastAsia="en-US" w:bidi="ar-SA"/>
        </w:rPr>
        <w:t>), Mr. Justice Harris, in reasons concurred in by Madam Justice Bennett, said the Court of Appeal had not decided that my stage one trial order had deemed reliance to be irrebuttable, and concluded as a matter of law the deemed reliance was rebuttable and had not yet been determined in the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On May 31, 2013, the plaintiffs filed a Notice of Discontinuance against the developers for breach of common law and statutory duties while the developers controlled the affairs of the strata corporation and for breach of contract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relating to alleged building defects and deficiencies.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On October 4, 2013, the plaintiffs filed another Notice of Discontinuance against the developers and directors for all remaining claims, save and except the claims for compensation as referred to in para. 1 of the trial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On October 7, 2013, the plaintiffs provided to the defendant developers and directors particulars of loss, damage and expense suffered by each of the plaintiff investors for which compensation is claimed, limited to:</w:t>
      </w:r>
      <w:r>
        <w:rPr>
          <w:rFonts w:ascii="arial" w:eastAsia="arial" w:hAnsi="arial" w:cs="arial"/>
          <w:sz w:val="20"/>
          <w:lang w:val="en-US" w:eastAsia="en-US" w:bidi="ar-SA"/>
        </w:rPr>
        <w:cr/>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capital value; and</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out of pocket expenses suffered or incurred to December 31, 2004, as a result of the purchase of a strata lot or lots in the Westin Grand Hotel, thereby eliminating the claims for loss of return on equity.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In a subsequent case management conference on October 16, 2013, the plaintiffs formally admitted the claim for "loss of capital value" was limited to the difference between the price paid for each strata unit and the value of each strata unit as at a valuation date in 2004 or such other date as the court deemed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In my reasons for judgment of December 17, 2013, </w:t>
      </w:r>
      <w:hyperlink r:id="rId154" w:history="1">
        <w:r>
          <w:rPr>
            <w:rFonts w:ascii="arial" w:eastAsia="arial" w:hAnsi="arial" w:cs="arial"/>
            <w:i/>
            <w:color w:val="0077CC"/>
            <w:sz w:val="20"/>
            <w:u w:val="single"/>
            <w:shd w:val="clear" w:color="auto" w:fill="FFFFFF"/>
            <w:lang w:val="en-US" w:eastAsia="en-US" w:bidi="ar-SA"/>
          </w:rPr>
          <w:t>[2013] B.C.J. No. 2770</w:t>
        </w:r>
      </w:hyperlink>
      <w:r>
        <w:rPr>
          <w:rFonts w:ascii="arial" w:eastAsia="arial" w:hAnsi="arial" w:cs="arial"/>
          <w:color w:val="000000"/>
          <w:sz w:val="20"/>
          <w:lang w:val="en-US" w:eastAsia="en-US" w:bidi="ar-SA"/>
        </w:rPr>
        <w:t xml:space="preserve"> dealing with an application of the developers and directors to further amend their Further Amended Statement of Defence, I said the decision of Mr. Justice Harris of March 7, 2013 left for consideration the issue of in what circumstances or to what extent deemed reliance under s. 59 or 75 of the </w:t>
      </w:r>
      <w:r>
        <w:rPr>
          <w:rFonts w:ascii="arial" w:eastAsia="arial" w:hAnsi="arial" w:cs="arial"/>
          <w:i/>
          <w:color w:val="000000"/>
          <w:sz w:val="20"/>
          <w:lang w:val="en-US" w:eastAsia="en-US" w:bidi="ar-SA"/>
        </w:rPr>
        <w:t>Real Estate Act</w:t>
      </w:r>
      <w:r>
        <w:rPr>
          <w:rFonts w:ascii="arial" w:eastAsia="arial" w:hAnsi="arial" w:cs="arial"/>
          <w:color w:val="000000"/>
          <w:sz w:val="20"/>
          <w:lang w:val="en-US" w:eastAsia="en-US" w:bidi="ar-SA"/>
        </w:rPr>
        <w:t xml:space="preserve"> may be rebutted.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I made reference in these reasons to another decision of the Court of Appeal in </w:t>
      </w:r>
      <w:r>
        <w:rPr>
          <w:rFonts w:ascii="arial" w:eastAsia="arial" w:hAnsi="arial" w:cs="arial"/>
          <w:i/>
          <w:color w:val="000000"/>
          <w:sz w:val="20"/>
          <w:lang w:val="en-US" w:eastAsia="en-US" w:bidi="ar-SA"/>
        </w:rPr>
        <w:t>Sharbern Holdings Inc. v. Vancouver Airport Centre Ltd.</w:t>
      </w:r>
      <w:r>
        <w:rPr>
          <w:rFonts w:ascii="arial" w:eastAsia="arial" w:hAnsi="arial" w:cs="arial"/>
          <w:color w:val="000000"/>
          <w:sz w:val="20"/>
          <w:lang w:val="en-US" w:eastAsia="en-US" w:bidi="ar-SA"/>
        </w:rPr>
        <w:t xml:space="preserve">, </w:t>
      </w:r>
      <w:hyperlink r:id="rId155" w:history="1">
        <w:r>
          <w:rPr>
            <w:rFonts w:ascii="arial" w:eastAsia="arial" w:hAnsi="arial" w:cs="arial"/>
            <w:i/>
            <w:color w:val="0077CC"/>
            <w:sz w:val="20"/>
            <w:u w:val="single"/>
            <w:shd w:val="clear" w:color="auto" w:fill="FFFFFF"/>
            <w:lang w:val="en-US" w:eastAsia="en-US" w:bidi="ar-SA"/>
          </w:rPr>
          <w:t>2009 BCCA 224</w:t>
        </w:r>
      </w:hyperlink>
      <w:r>
        <w:rPr>
          <w:rFonts w:ascii="arial" w:eastAsia="arial" w:hAnsi="arial" w:cs="arial"/>
          <w:color w:val="000000"/>
          <w:sz w:val="20"/>
          <w:lang w:val="en-US" w:eastAsia="en-US" w:bidi="ar-SA"/>
        </w:rPr>
        <w:t xml:space="preserve">; </w:t>
      </w:r>
      <w:hyperlink r:id="rId155" w:history="1">
        <w:r>
          <w:rPr>
            <w:rFonts w:ascii="arial" w:eastAsia="arial" w:hAnsi="arial" w:cs="arial"/>
            <w:i/>
            <w:color w:val="0077CC"/>
            <w:sz w:val="20"/>
            <w:u w:val="single"/>
            <w:shd w:val="clear" w:color="auto" w:fill="FFFFFF"/>
            <w:lang w:val="en-US" w:eastAsia="en-US" w:bidi="ar-SA"/>
          </w:rPr>
          <w:t>93 B.C.L.R. (4th) 256</w:t>
        </w:r>
      </w:hyperlink>
      <w:r>
        <w:rPr>
          <w:rFonts w:ascii="arial" w:eastAsia="arial" w:hAnsi="arial" w:cs="arial"/>
          <w:color w:val="000000"/>
          <w:sz w:val="20"/>
          <w:lang w:val="en-US" w:eastAsia="en-US" w:bidi="ar-SA"/>
        </w:rPr>
        <w:t xml:space="preserve">, where Mr. Justice Chiasson, writing for the Court, with two other justices concurring, concluded that deemed reliance under s. 75 of the 1996 </w:t>
      </w:r>
      <w:r>
        <w:rPr>
          <w:rFonts w:ascii="arial" w:eastAsia="arial" w:hAnsi="arial" w:cs="arial"/>
          <w:i/>
          <w:color w:val="000000"/>
          <w:sz w:val="20"/>
          <w:lang w:val="en-US" w:eastAsia="en-US" w:bidi="ar-SA"/>
        </w:rPr>
        <w:t>Real Estate Act</w:t>
      </w:r>
      <w:r>
        <w:rPr>
          <w:rFonts w:ascii="arial" w:eastAsia="arial" w:hAnsi="arial" w:cs="arial"/>
          <w:color w:val="000000"/>
          <w:sz w:val="20"/>
          <w:lang w:val="en-US" w:eastAsia="en-US" w:bidi="ar-SA"/>
        </w:rPr>
        <w:t xml:space="preserve"> was not conclusive but was rebuttable.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In saying this, Mr. Justice Chiasson made reference to the fact the 1996 </w:t>
      </w:r>
      <w:r>
        <w:rPr>
          <w:rFonts w:ascii="arial" w:eastAsia="arial" w:hAnsi="arial" w:cs="arial"/>
          <w:i/>
          <w:color w:val="000000"/>
          <w:sz w:val="20"/>
          <w:lang w:val="en-US" w:eastAsia="en-US" w:bidi="ar-SA"/>
        </w:rPr>
        <w:t>Real Estate Act</w:t>
      </w:r>
      <w:r>
        <w:rPr>
          <w:rFonts w:ascii="arial" w:eastAsia="arial" w:hAnsi="arial" w:cs="arial"/>
          <w:color w:val="000000"/>
          <w:sz w:val="20"/>
          <w:lang w:val="en-US" w:eastAsia="en-US" w:bidi="ar-SA"/>
        </w:rPr>
        <w:t xml:space="preserve"> had been repealed and the provisions of s. 75 replaced with s. 22 of the </w:t>
      </w:r>
      <w:r>
        <w:rPr>
          <w:rFonts w:ascii="arial" w:eastAsia="arial" w:hAnsi="arial" w:cs="arial"/>
          <w:i/>
          <w:color w:val="000000"/>
          <w:sz w:val="20"/>
          <w:lang w:val="en-US" w:eastAsia="en-US" w:bidi="ar-SA"/>
        </w:rPr>
        <w:t>Real Estate Development Marketing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2004, c. 41</w:t>
      </w:r>
      <w:r>
        <w:rPr>
          <w:rFonts w:ascii="arial" w:eastAsia="arial" w:hAnsi="arial" w:cs="arial"/>
          <w:color w:val="000000"/>
          <w:sz w:val="20"/>
          <w:lang w:val="en-US" w:eastAsia="en-US" w:bidi="ar-SA"/>
        </w:rPr>
        <w:t>, which also provides for deemed reliance but states the developer is not liable if it proves a purchaser had knowledge of a misrepresentation at the time of purchase.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In my reasons, I said it remained unclear as to what extent or in what circumstances Mr. Justice Chiasson concluded the deemed reliance is rebuttable.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Sharbern</w:t>
      </w:r>
      <w:r>
        <w:rPr>
          <w:rFonts w:ascii="arial" w:eastAsia="arial" w:hAnsi="arial" w:cs="arial"/>
          <w:color w:val="000000"/>
          <w:sz w:val="20"/>
          <w:lang w:val="en-US" w:eastAsia="en-US" w:bidi="ar-SA"/>
        </w:rPr>
        <w:t xml:space="preserve"> was appealed to the Supreme Court of Canada where the result turned on issues other than s. 75 of the </w:t>
      </w:r>
      <w:r>
        <w:rPr>
          <w:rFonts w:ascii="arial" w:eastAsia="arial" w:hAnsi="arial" w:cs="arial"/>
          <w:i/>
          <w:color w:val="000000"/>
          <w:sz w:val="20"/>
          <w:lang w:val="en-US" w:eastAsia="en-US" w:bidi="ar-SA"/>
        </w:rPr>
        <w:t>Real Estate Act</w:t>
      </w:r>
      <w:r>
        <w:rPr>
          <w:rFonts w:ascii="arial" w:eastAsia="arial" w:hAnsi="arial" w:cs="arial"/>
          <w:color w:val="000000"/>
          <w:sz w:val="20"/>
          <w:lang w:val="en-US" w:eastAsia="en-US" w:bidi="ar-SA"/>
        </w:rPr>
        <w:t xml:space="preserve"> (</w:t>
      </w:r>
      <w:hyperlink r:id="rId156" w:history="1">
        <w:r>
          <w:rPr>
            <w:rFonts w:ascii="arial" w:eastAsia="arial" w:hAnsi="arial" w:cs="arial"/>
            <w:i/>
            <w:color w:val="0077CC"/>
            <w:sz w:val="20"/>
            <w:u w:val="single"/>
            <w:shd w:val="clear" w:color="auto" w:fill="FFFFFF"/>
            <w:lang w:val="en-US" w:eastAsia="en-US" w:bidi="ar-SA"/>
          </w:rPr>
          <w:t>[2011] 2 S.C.R. 175</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In giving the judgment of the Court, at </w:t>
      </w:r>
      <w:hyperlink r:id="rId156" w:history="1">
        <w:r>
          <w:rPr>
            <w:rFonts w:ascii="arial" w:eastAsia="arial" w:hAnsi="arial" w:cs="arial"/>
            <w:i/>
            <w:color w:val="0077CC"/>
            <w:sz w:val="20"/>
            <w:u w:val="single"/>
            <w:shd w:val="clear" w:color="auto" w:fill="FFFFFF"/>
            <w:lang w:val="en-US" w:eastAsia="en-US" w:bidi="ar-SA"/>
          </w:rPr>
          <w:t>2011 2 S.C.R. 175</w:t>
        </w:r>
      </w:hyperlink>
      <w:r>
        <w:rPr>
          <w:rFonts w:ascii="arial" w:eastAsia="arial" w:hAnsi="arial" w:cs="arial"/>
          <w:color w:val="000000"/>
          <w:sz w:val="20"/>
          <w:lang w:val="en-US" w:eastAsia="en-US" w:bidi="ar-SA"/>
        </w:rPr>
        <w:t xml:space="preserve">, Mr. Justice Rothstein dealt with the deemed reliance under the </w:t>
      </w:r>
      <w:r>
        <w:rPr>
          <w:rFonts w:ascii="arial" w:eastAsia="arial" w:hAnsi="arial" w:cs="arial"/>
          <w:i/>
          <w:color w:val="000000"/>
          <w:sz w:val="20"/>
          <w:lang w:val="en-US" w:eastAsia="en-US" w:bidi="ar-SA"/>
        </w:rPr>
        <w:t>Real Estate Act</w:t>
      </w:r>
      <w:r>
        <w:rPr>
          <w:rFonts w:ascii="arial" w:eastAsia="arial" w:hAnsi="arial" w:cs="arial"/>
          <w:color w:val="000000"/>
          <w:sz w:val="20"/>
          <w:lang w:val="en-US" w:eastAsia="en-US" w:bidi="ar-SA"/>
        </w:rPr>
        <w:t xml:space="preserve"> as a final issue of potential liability under that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He concluded the presumption of deemed reliance under the </w:t>
      </w:r>
      <w:r>
        <w:rPr>
          <w:rFonts w:ascii="arial" w:eastAsia="arial" w:hAnsi="arial" w:cs="arial"/>
          <w:i/>
          <w:color w:val="000000"/>
          <w:sz w:val="20"/>
          <w:lang w:val="en-US" w:eastAsia="en-US" w:bidi="ar-SA"/>
        </w:rPr>
        <w:t>Real Estate Act</w:t>
      </w:r>
      <w:r>
        <w:rPr>
          <w:rFonts w:ascii="arial" w:eastAsia="arial" w:hAnsi="arial" w:cs="arial"/>
          <w:color w:val="000000"/>
          <w:sz w:val="20"/>
          <w:lang w:val="en-US" w:eastAsia="en-US" w:bidi="ar-SA"/>
        </w:rPr>
        <w:t xml:space="preserve"> was rebuttable when it could be proven, on a balance of probabilities, that the investor had knowledge of the misrepresented or omitted facts or information at the time the investor made the purchase.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In my reasons of December 17, 2013, I accepted the submission of counsel for the investors that these statements of Mr. Justice Rothstein are to be accepted as authoritative and the only issue for rebuttal of the deemed reliance under s. 59(75) of the </w:t>
      </w:r>
      <w:r>
        <w:rPr>
          <w:rFonts w:ascii="arial" w:eastAsia="arial" w:hAnsi="arial" w:cs="arial"/>
          <w:i/>
          <w:color w:val="000000"/>
          <w:sz w:val="20"/>
          <w:lang w:val="en-US" w:eastAsia="en-US" w:bidi="ar-SA"/>
        </w:rPr>
        <w:t>Real Estate Act</w:t>
      </w:r>
      <w:r>
        <w:rPr>
          <w:rFonts w:ascii="arial" w:eastAsia="arial" w:hAnsi="arial" w:cs="arial"/>
          <w:color w:val="000000"/>
          <w:sz w:val="20"/>
          <w:lang w:val="en-US" w:eastAsia="en-US" w:bidi="ar-SA"/>
        </w:rPr>
        <w:t xml:space="preserve"> is whether any investor had actual knowledge of the misrepresentation in Note 2(a) at the time the investor made the purchase.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 said that in my view this must be the only exception to an irrebuttable deemed reliance when the investors, by the wording of s. 59(75), were deemed to rely on the representations made in the prospectus whether or not they received the prospectus.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In my reasons I denied proposed paragraphs to be added to the Further Amended Statement of Defence that sought to prove the investors did not rely on Note 2(a) but relied on other reasons for their investments.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 allowed proposed paragraphs to be added that dealt with the issue of damages on the basis that s. 59(75) only said the developers and directors were liable to make compensation for loss or damage, but did not indicate loss or damages were to be assumed nor how they were to be assessed and what principles of causation may apply.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In subsequent reasons of September 15, 2014 dealing with the admissibility of certain investor evidence sought to be admitted at trial by the defendants, I relied on a decision in this Court, </w:t>
      </w:r>
      <w:r>
        <w:rPr>
          <w:rFonts w:ascii="arial" w:eastAsia="arial" w:hAnsi="arial" w:cs="arial"/>
          <w:i/>
          <w:color w:val="000000"/>
          <w:sz w:val="20"/>
          <w:lang w:val="en-US" w:eastAsia="en-US" w:bidi="ar-SA"/>
        </w:rPr>
        <w:t>Bosa Properties (Esprit 2) Inc. v. Kim</w:t>
      </w:r>
      <w:r>
        <w:rPr>
          <w:rFonts w:ascii="arial" w:eastAsia="arial" w:hAnsi="arial" w:cs="arial"/>
          <w:color w:val="000000"/>
          <w:sz w:val="20"/>
          <w:lang w:val="en-US" w:eastAsia="en-US" w:bidi="ar-SA"/>
        </w:rPr>
        <w:t xml:space="preserve">, </w:t>
      </w:r>
      <w:hyperlink r:id="rId157" w:history="1">
        <w:r>
          <w:rPr>
            <w:rFonts w:ascii="arial" w:eastAsia="arial" w:hAnsi="arial" w:cs="arial"/>
            <w:i/>
            <w:color w:val="0077CC"/>
            <w:sz w:val="20"/>
            <w:u w:val="single"/>
            <w:shd w:val="clear" w:color="auto" w:fill="FFFFFF"/>
            <w:lang w:val="en-US" w:eastAsia="en-US" w:bidi="ar-SA"/>
          </w:rPr>
          <w:t>2012 BCSC 1013</w:t>
        </w:r>
      </w:hyperlink>
      <w:r>
        <w:rPr>
          <w:rFonts w:ascii="arial" w:eastAsia="arial" w:hAnsi="arial" w:cs="arial"/>
          <w:color w:val="000000"/>
          <w:sz w:val="20"/>
          <w:lang w:val="en-US" w:eastAsia="en-US" w:bidi="ar-SA"/>
        </w:rPr>
        <w:t xml:space="preserve"> where it was said with respect to misrepresentations deemed to be relied on under the </w:t>
      </w:r>
      <w:r>
        <w:rPr>
          <w:rFonts w:ascii="arial" w:eastAsia="arial" w:hAnsi="arial" w:cs="arial"/>
          <w:i/>
          <w:color w:val="000000"/>
          <w:sz w:val="20"/>
          <w:lang w:val="en-US" w:eastAsia="en-US" w:bidi="ar-SA"/>
        </w:rPr>
        <w:t>Real Estate Development Marketing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2004, c. 41</w:t>
      </w:r>
      <w:r>
        <w:rPr>
          <w:rFonts w:ascii="arial" w:eastAsia="arial" w:hAnsi="arial" w:cs="arial"/>
          <w:color w:val="000000"/>
          <w:sz w:val="20"/>
          <w:lang w:val="en-US" w:eastAsia="en-US" w:bidi="ar-SA"/>
        </w:rPr>
        <w:t>, that actual reliance is not the issue, that if the investors are able to establish such a misrepresentation of a material fact, the real reason for not completing, is immaterial.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 confirmed once again that the only circumstance available to rebut the reliance of any investor was the knowledge of that investor of the falsity of the statement at the time of that investor's purchase.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 concluded that being a material false statement, it was one factor designed to induce a reasonable investor to invest and was put in the disclosure statement for that purpose.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I made reference again to the decision of Mr. Justice Rothstein in </w:t>
      </w:r>
      <w:r>
        <w:rPr>
          <w:rFonts w:ascii="arial" w:eastAsia="arial" w:hAnsi="arial" w:cs="arial"/>
          <w:i/>
          <w:color w:val="000000"/>
          <w:sz w:val="20"/>
          <w:lang w:val="en-US" w:eastAsia="en-US" w:bidi="ar-SA"/>
        </w:rPr>
        <w:t>Sharbern</w:t>
      </w:r>
      <w:r>
        <w:rPr>
          <w:rFonts w:ascii="arial" w:eastAsia="arial" w:hAnsi="arial" w:cs="arial"/>
          <w:color w:val="000000"/>
          <w:sz w:val="20"/>
          <w:lang w:val="en-US" w:eastAsia="en-US" w:bidi="ar-SA"/>
        </w:rPr>
        <w:t xml:space="preserve"> where he said there was no requirement to prove that investors would not have purchased the Hilton strata lots had they known about the compensation differences.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He said the investors did not have to prove that the undisclosed information would have changed their decision to invest. They only had to prove a substantial likelihood that it would be considered important by a reasonable investor in making an investment decision - that a reasonable investor would consider the fact as having significantly altered the total mix of available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In my reasons, I pointed out that these statements mirrored the standard of materiality from </w:t>
      </w:r>
      <w:r>
        <w:rPr>
          <w:rFonts w:ascii="arial" w:eastAsia="arial" w:hAnsi="arial" w:cs="arial"/>
          <w:i/>
          <w:color w:val="000000"/>
          <w:sz w:val="20"/>
          <w:lang w:val="en-US" w:eastAsia="en-US" w:bidi="ar-SA"/>
        </w:rPr>
        <w:t>Inmet Mining Corp. v. Homestake Canada Inc.</w:t>
      </w:r>
      <w:r>
        <w:rPr>
          <w:rFonts w:ascii="arial" w:eastAsia="arial" w:hAnsi="arial" w:cs="arial"/>
          <w:color w:val="000000"/>
          <w:sz w:val="20"/>
          <w:lang w:val="en-US" w:eastAsia="en-US" w:bidi="ar-SA"/>
        </w:rPr>
        <w:t xml:space="preserve">, </w:t>
      </w:r>
      <w:hyperlink r:id="rId158" w:history="1">
        <w:r>
          <w:rPr>
            <w:rFonts w:ascii="arial" w:eastAsia="arial" w:hAnsi="arial" w:cs="arial"/>
            <w:i/>
            <w:color w:val="0077CC"/>
            <w:sz w:val="20"/>
            <w:u w:val="single"/>
            <w:shd w:val="clear" w:color="auto" w:fill="FFFFFF"/>
            <w:lang w:val="en-US" w:eastAsia="en-US" w:bidi="ar-SA"/>
          </w:rPr>
          <w:t>2003 BCCA 610</w:t>
        </w:r>
      </w:hyperlink>
      <w:r>
        <w:rPr>
          <w:rFonts w:ascii="arial" w:eastAsia="arial" w:hAnsi="arial" w:cs="arial"/>
          <w:color w:val="000000"/>
          <w:sz w:val="20"/>
          <w:lang w:val="en-US" w:eastAsia="en-US" w:bidi="ar-SA"/>
        </w:rPr>
        <w:t xml:space="preserve"> that I had applied in my first stage reasons to the false statement involved in Note 2(a).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 concluded the loss or damage investors may have sustained includes all those losses or damages sustained as a result of entering into the transaction, as the transaction provided the necessary causal link to the loss or damage. The only issue remaining was whether the investors had sustained any loss or damage from entering into these investments.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This background set the stage for the present trial of stage two of the action dealing with this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Appraisal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At trial both parties filed appraisal reports and produced their appraisers/estimators to give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investor plaintiffs filed a report of June 7, 2014 of Mr. Reynolds of IHA, International Hotel Appraisers Inc. and called him as a witness.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Mr. Reynolds opined in his report that the market value of the investors' 89 strata units in the Westin Grand Hotel as of April 15, 1999, using the Direct Capitalization Method, was $10,388,700, and using that same method as at December 31, 2000, was a value of $10,506,321, at December 31, 2002, was a value of $10,679,685, and at December 31, 2004, was a value of $12,567,818.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In his report Mr. Reynolds estimated the going concern market value of the hotel as whole, using what he said was the income approach to valuation.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He describes the income approach to value as involving a conversion of anticipated future benefits from the ownership of property into a present value estimate through a capitalization process, which converts the anticipated future income and/or reversions to a present value estimate.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His net value for the 207 rooms of the hotel as of April 15, 1999 was $24,319,921 which converted to $10,388,700 for the 89 rooms.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He explains that the income approach is typically used for income producing properties such as the hotel as they usually trade based on their income-generating capabilities.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He explains the two methods of valuation within the income approach are the Direct Capitalization Method and the Discounted Cash Flow Method.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He says within the Direct Capitalization Method a property's net income potential is determined through the stabilization of income and expenses for one year. This one year of stabilized income is meant to reflect the property's value in perpetuity in current market value terms. Occupancy and all other factors are stabilized (normalized) based upon a long term perspective in order to reflect the mindset of the market 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After stabilizing the property's income and expenses for one year, its net income for that one year is capitalized at an overall rate considered consistent with the market to yield an estimate of the market value of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He says in his report the stabilization of maintainable income is in accordance with the Canadian Uniform Standards of Professional Appraisal Practice and his stabilized income analysis was performed using capitalization rates to properly reflect the hotel's going concern market value as of the four dates that he set out in his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He defines capitalization rates as the percentage number used to determine the current value of a property based on its estimated future income. By way of example, taking the net operating income from an apartment complex and dividing it by the capitalization rate would yield the approximate current value of the complex.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capitalization rate is determined based on the cap rates of similar properties that have sold recently. By taking another similar project that sold recently and determining its net operating income, its income can then be divided into its sold price to get the cap 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He says he determines capitalization rates by looking at statistics published by two or three companies that provide cap rates for hotels and by being involved personally in the sale of local hotels or speaking to one of his associate appraisers in the industry.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A high risk investment produces a higher cap rate and a lower value while a low risk investment produces a lower cap rate and a higher value.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He selected a cap rate of 9.25% for the Westin Grand for 1999 as an average between 8.5% for The Pacific Palisades Hotel sold in July 1999 and 10% for the Quality Airport Hotel sold in October 1999.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He says the Direct Capitalization Method is frequently used as a relatively simple application, particularly for smaller properties and for properties at normalized income levels.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In one of his articles, Mr. Reynolds says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Hotel valuation is a subjective process that involves many variables and assumptions. Consequently the final value or value range can vary greatly from one appraiser to the next. However, it is important to remember that at the end of the day the valuation results must hold up to the "reasonable appraiser" test.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Another approach is the Direct Comparison Method which he describes as involving a comparison of a property to other properties that have been sold or are available for sale under similar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He examined the Direct Comparison Method but ultimately did not rely on it as he considers the purchases by the investors in the Westin Grand were not market value purchases of real estate but were principally market value purchases of interests in a business enterprise, being the hotel, and only minimally purchases of real estate. He considers it improbable the purchasers would have realized this and were therefore not acting prudently in considering these as market value purchases.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He explains further that the investors only had the right to personal use of their units for 30 days in any year while the remaining 335 days were set aside for renting as an interest in a business enterprise, being the hotel.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He rejects the Direct Comparison Method using the sale prices of units in the Westin Grand to be unreliable and too subjective with too many arbitrary adjustments required for a proper comparison.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For each of the years that he was asked to appraise these 89 units, he took the balance sheet of the Westin Grand Hotel for that year, applied his own judgment as to what should be the stabilized dollar amount for each item in the financial balance sheet for the hotel that year, to come up with his stabilized net income for that one year, and then used the capitalization rate that he chose to determine the value at that point in time of the hotel and then of the 89 plaintiff's units that he was asked to appraise.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For his valuations as of April 15, 1999, which was the closing date for the investors' purchases, he had to use the management projections for the hotel as of that date, as there was no history for the hotel as yet.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For April 15, 1999, he determined a stabilized net income for the hotel, for that year, and using a cap rate of 9.25% obtained a going concern value of $29,415,092 for the 207 units in the hotel. He then reduced that figure by slightly over $5,000,000 to account for encumbrances the purchasers of units would have to assume to arrive at a net value for the 207 units of $24,319,921.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For 1999 the assessed value by the BC Assessment Authority for the hotel was $24,619,000 determined as of October 31, 1998, on the basis of its pre-stratified state.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Once he had his value for the 207 rooms as at April 15, 1999, he then determined the value of the plaintiffs' 89 units out of 207 units to be $10,388,700.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Using this same method for December 31, 2000, he arrived at a going concern value for the 207 rooms as of that date of $24,595,270, while continuing to use the same 9.25% cap rate and determined the value of the 89 units to be $10,506,321.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For December 31, 2002, his figures were $25,001,112 for the going concern value of the 207 units, using a new cap rate of 8.75%, and a value for the 89 units of $10,679,685.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For December 31, 2004, it was $29,421,230 for the going concern value of the 207 units, using an 8% cap rate, and a value of $12,567,818 for the 89 units.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In his article previously referred to, Mr. Reynolds says: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Direct Capitalization Method is frequently used, as it is relatively simple in application, particularly for smaller properties and for properties at normalized income levels. However, for hotels that are not at normalized levels of income, which has been particularly true since September 11, 2001, this method is considered less reliable with the Discounted Cash Flow Method being the preferred methodology.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Obviously it cannot be said the income level of the Westin Grand was normalized in 1999, because it had no financial history as it was just starting up. In Mr. Reynolds own words, this indicates the Direct Capitalization Method was probably less reliable to use for 1999 with the Discounted Cash Flow Method being preferred.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In addition, Mr. Reynolds says in this article that the Direct Capitalization Method would not have been the preferred valuation approach in 2004, post 911 and SARS, as the temporarily depressed hotel incomes could easily have led to artificially low appraised values.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The defendants called two experts, Mr. Suddaby and Mr. Hollett, both of Cushman &amp; Wakefield at the time of their report of June 12, 2014. Both signed the report of June 12, 2014 but both say that Mr. Suddaby provided the opinion of the market value of the hotel as of March 25, 2014 in the amount of $49,800,000, (corrected to $48,800,000), while Mr. Hollett provided the opinion in the report of the 2014 market value of 98 units of $20,600,000.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Mr. Suddaby also used the income capitalization method to valuation of the hotel in his part of the report, but within that approach, he used the Discounted Cash Flow Method of valuation rather than the Direct Capitalization Method.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He agrees the Direct Capitalization Method determines the net operating income of an hotel and then divides that by an overall capitalization rate to derive an opinion of value for the property. He agrees this method is used to convert an opinion of a single year's income expectancy into an indication of value for the hotel using a capitalization rate. A single year's income is typically designed to reflect a subject property's stabilized level of operation and revenue potential. The conversion into a value indication is accomplished in one direct step by dividing income by an appropriate capitalization 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He says related to the Direct Capitalization Method is the Discounted Cash Flow Method which takes anticipated future net income streams (which consist of net operating income less capital costs), and a revisionary value, and discounts them to provide an opinion of net present value at a chosen yield rate (internal rate of return or discount rate) that is determined by analyzing current investor yield requirements for similar investments.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He says his experience with hotel investors indicates that the methodology used in estimating market value by the income capitalization approach is comparable to that employed by typical hotel and motel investors as that approach produces the most supportable market value opinion and generally is given the greatest weight in the hotel valuation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His experience indicates that sophisticated hotel investors depend largely on financial considerations when making final purchase decisions and therefore his company generally does not give the sales comparison approach strong consideration in the hotel appraisal process beyond establishing a probable range of value and as a test of reasonableness for value derived through the income capitalization approach.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He describes the sales comparison approach as a method of developing an opinion of market value in which a subject property is compared to other comparable properties that have been recently sold. Presumably all properties are in the same geographic area and/or of the same property type. One premise of the sales comparison approach is that the market will establish a price for the subject property in the same manner that the prices of comparable, competitive properties are established.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However, he says that while the sales comparison approach may provide a useful value opinion in the case of simple forms of real estate such as vacant land and single family homes, where the properties are homogeneous and the adjustments are few and relatively simple to compute, in the case of complex investments such as lodging facilities, where the adjustments are numerous and more difficult to quantify, the sales comparison approach loses a large degree of reliability.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He also says hotel investors typically do not employ the sales comparison approach in reaching their final purchase decisions. Factors such as lack of recent comparable sales data and the numerous adjustments that are necessary often make the results of the sales comparison approach questionable. Although the sales comparison approach may provide a range of values that supports the final opinion of value, reliance on this approach beyond the establishment of broad parameters is rarely justified by the quality of the sales data.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Mr. Suddaby's opinion as of April 15, 1999 was that the hotel had a value of $39,300,000 or $190,000 per room.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For this appraisal he employed the Discounted Cash Flow Method and did his anticipated future net income streams over a ten year period from April 15, 1999.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At the same time, he sounded a cautionary note in saying that his assumptions and estimates are subject to uncertainty and variation, his estimates are often based on data obtained in interviews with third parties and such data are not always completely reliable, his assumptions as to the future behaviour of consumers and the general economy are highly uncertain, and while his analysis was conscientiously prepared, he makes no warranty that the conclusions presented would be achieved and takes no responsibility for any events, conditions or circumstances affecting the market after April 15, 1999.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He also prepared another report of July 21, 2014 indicating where he considered his opinion of value as of April 15, 1999 differed from Mr. Reynolds' opinion as of that same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The most significant contributors to the differences he says are the different stabilized occupancies the two appraisers used, the amount of operating expenses, and the capitalization rates used by each.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He does not consider the Westin Grand Hotel to be small nor to have reached its normalized income levels at April 15, 1999 in order to justify the use by Mr. Reynolds of the Direct Capitalization Method as at that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He says there is little explanation in Mr. Reynolds' report as to how his stabilized revenues and expenses were determined for his projections, it is not clear why he determined a 70% stabilized occupation rate, and he does not explain how he determined the stabilized average daily rate for a room.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Mr. Suddaby is also of the opinion that the cap rate chosen by Mr. Reynolds for 1999 of 9.25% is too high and he questions why it would be higher than the cap rate for the Pacific Palisades Hotel which sold in 1999 at a reported cap rate of 8.5% and why Mr. Reynolds used the Quality Airport Hotel at a reported cap rate of 10% as a comparison when it is not in the downtown core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For his part of the June 12, 2014 report, Mr. Hollett looked at the sales of strata units in four strata hotels located in downtown Vancouver in the years 2010-2011. In addition to the Westin Grand Hotel, he looked at sales in the Le Soleil Hotel, The Marriott Pinnacle Hotel and the Auberge Hotel at the Terminal City Club.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On the basis of the market evidence he reviewed from these hotels, in particular the sales in the Marriott Pinnacle Hotel, he estimated values for 98 units in The Westin Grand, including their proportionate share of the lobby lot, to average $460 per square foot, or $210,000 per room as at March 25,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He estimated the total value of the 98 units at March 25, 2014 to be $20,600,000 at $210,000 per room.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Mr. Hollett also prepared a supplementary report of September 26, 2014 opining that if Mr. Suddaby's value of $39,300,000 for the hotel as of April 15, 1999 is apportioned to his 98 units, then his own opinion would be that the 98 units had a value as of April 15, 1999 of $17,453,016 as opposed to Mr. Reynolds' value of $10,388,702 as of that date for 89 units.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He also disagrees that the Direct Capitalization Method should be used to value these units. He says the analysis should be done by comparing properties using the Direct Comparison Method, and accordingly, the plaintiffs' units in the Westin Grand should be compared to the sales of other units in the same hotel.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He points out that in the Westin Grand Hotel nine sales took place in 1999 at an average price of $198,661 or $454.34 per square foot, 77% higher than the unit values estimated by Mr. Reynolds for the investor units as at April 15, 1999.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He therefore concludes that if Mr. Reynolds had checked the unit values of these sales in 1999, he would have seen that his estimated unit values as determined by the Direct Capitalization Method were not supported by market sales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He concludes that Mr. Reynolds' report is also not complete in that the Direct Comparison Method was excluded from consideration by Mr. Reynolds, contrary to professional appraisal standards.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Submissions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The plaintiffs claim a loss of capital value on the basis that the units they received at the close of their transactions on April 15, 1999 were worth less at that time than what they paid for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While the plaintiffs seek losses of capital value at alternative dates of December 31, 2000, December 31, 2002 or December 31, 2004, if any of those dates are suitable to the court, essentially they ground their submissions on the difference in value they say existed at April 15, 1999.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In addition they seek closing costs paid on the completion of purchase of their units for which they claim an amount of $225,956.83 collectively.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They rely upon the opinions of Mr. Reynolds. The plaintiffs paid a total of $18,468,930 in 1999 for the purchase of their units and on Mr. Reynolds' apportioned values for their units in 1999 of $10,388,700, they say they suffered a capital loss of $8,080,230 in making these investments.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They submit the opinions of Mr. Suddaby as set out in his two reports should be rejected. They say the Court can have no confidence that Mr. Suddaby has not deliberately skewed his report, hid inconvenient facts or altered his opinions to favour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They submit his opinions of value for the hotel as of March 25, 2014 and April 15, 1999 are fundamentally inconsistent with each other because the Colliers Hotel value index that he used for the years 1992-2014 inclusive indicates that his 2014 value adjusted backwards to 1999 actually comes closer to Mr. Reynolds' valuation for the hotel for 1999 of $24,319,921 and far-removed from Mr. Suddaby's own valuation for 1999 of $39,300,000.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They submit as well that Mr. Hollett's opinions of the values of 98 units as of April 15, 1999 and March 25, 2014, using the Direct Comparison Method, should also be rejected on the basis that he was unduly influenced in his opinions by requests from counsel and modified his opinions accordingly.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It is submitted when confronted with this allegation he sought to justify his opinion with reference to the fact that the 98 units included a share of the lobby lot when he had said previously in his evidence that no adjustment for the lobby lot was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It is submitted that Mr. Hollett's opinion of value of 98 units as of March 25, 2014 should also not be accepted because he valued the lobby lot on the basis the rent for it would continue in perpetuity without knowing that it was a rent made equal to the payments due under the lobby lot lease and was not an arms'-length rent, and once he agreed effectively it was the unit holders on both sides of the transaction.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It is also pointed out that he used the Direct Comparison Method to valuation which contradicted not only the opinion of Mr. Reynolds but also Mr. Suddaby as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He took the view the purchase of the plaintiffs' units would be an investment in real estate and not in a hotel business even though the owners only had personal use of their units for 30 days of a year, and on purchasing their units would have had to take on certain financial responsibilities of the hotel itself outside their units.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The defendants submit that Mr. Reynolds' opinions in his report of June 7, 2014 should not be relied upon as he failed to take into consideration comparable transactions in the Westin Grand Hotel, he used a valuation methodology (the Direct Capitalization Method) that is flawed given that the Westin Grand Hotel was just opening in 1999, he made cost estimates that appear to be just guesses, and he considered inappropriate capitalization rates.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It is submitted the opinions of Mr. Suddaby and Mr. Hollett should be accepted as it is submitted nothing in their analyses was successfully challenged by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Analysis and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I will start with my conclusions on the merits of the three opinions of value given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Mr. Reynolds appraised the value of the plaintiffs' units as at April 15, 1999 when their purchases closed with payments of their monies, followed by appraised values as at December 31, 2000, December 31, 2002 and December 31,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I accept his opinion that these were primarily business transactions the plaintiffs entered into and not real estate transactions because the plaintiffs were only entitled to occupy their units a maximum of 30 days per year. For the rest of the year, their units remained available for rent with all rental monies to go into the rental pool in which they were obliged to participate.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It is my conclusion that both Mr. Reynolds and Mr. Suddaby relied very heavily on their own personal qualifications and experiences in formulating their projections for their stabilized years, and did not rely upon a lot of objective indicators.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While there was a lot of subjectivity involved in their opinions, both agree that the Direct Capitalization Method of valuation used by Mr. Reynolds is less complicated and less subjective than the Discounted Cash Flow Method of valuation used by Mr. Suddaby.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I accept the opinions of both Mr. Reynolds and Mr. Suddaby that the Direct Comparison Method should only be used as a rough guide for valuation of hotels and is not reliable to use for the Westin Grand Hotel because the investors in that hotel do not have any right to use their units for more than 30 days of any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At the same time, I recognize that while these comments may be true for the valuation of the hotel, on the evidence before the court only the plaintiffs' 89 units in the hotel are to be valued.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This may give some credence to Mr. Hollett's opinion of value based on the Direct Comparison Method he used to compare his 98 units to the nine units in the hotel sold in the same time period in 1999.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He says these nine units were sold at prices per square foot 77% higher than the unit values estimated by Mr. Reynolds for the plaintiffs' units as at April 15, 1999.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Mr. Reynolds says that the Direct Comparison Method relying on the transacted strata lots on a per room basis is unreliable and too subjective as too many arbitrary adjustments are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Mr. Reynolds says this approach also does not consider any hotel encumbrances against the property which he calculates to be in the total of $5,095,171 for the years 1999 and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While Mr. Suddaby says the Direct Comparison Method is to be used to provide a general range of values that serve as a check against the value indicated by the income capitalization method, he also says valuing a hotel requires the application of adjustment factors to do a proper comparison between one hotel and another, and he says "In practice it is virtually impossible to quantify the appropriate adjustment factors accurately because of their number and complexity as well as the difficulty in obtaining specific, detailed information on other hotels.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I also observe that while Mr. Hollett says in his report of September 26, 2014 that the sales of nine units in April 1999 were at a price per square foot of $454.37, he also mentions nine other sales in 1999 at an average of $412 per square foot, two of those sales being ones in April 1999 for $372 per square foot and $392 per square foot.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There are other issues with Mr. Hollett's opinions. He provides an opinion of the value of the lobby lot based upon its rent per annum, while having to concede in evidence that he was not aware the rent was set at a figure equal to the mortgage payments required from the strata corporation to the developer on the lobby lot, and therefore was not an arms'-length rent.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He also had to concede in his evidence the lobby lot had only ever been used as a hotel lobby and there are very few, if any, transactions for a space identical to, or at least very similar to the lobby lot, that could be used in order to identify an overall capitalization rate that could be used for the lobby lot's value.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He declined to take into account that the owners of the units in the hotel will also be responsible for the indebtedness on the lobby lot, consisting of the mortgage and promissory note against it, because he says whatever financing exists is not considered in a valuation.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While he deducted the value of the restaurant from his 2014 value for the hotel, he declined to deduct the value of the encumbrances of the mortgage and promissory note on the lobby lot even though he recognizes Mr. Suddaby did that in his estimate of net value of the hotel.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He equated the situation to the sale of a house with a mortgage on it where the mortgage would be paid out by the vendor on sale and not be taken into account on the sale price.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When it was pointed out to him the mortgage on the lobby lot would not be paid out by any unit holder who sold their unit, but would remain with the hotel and be the responsibility of the remaining owners, he still did not consider it should be deducted from the sale price for the hotel because he says it does not affect the value of the hotel.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Mr. Suddaby is not a qualified appraiser. He is not a member of the Appraisal Institute of Canada nor entitled to issue appraisals and is not required to follow the Canadian Uniform Standards of Professional Appraisal Practice.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While his report of June 12, 2014 on value as of March 25, 2014 is entitled: "Appraisal of real property", he concedes the only appraisal in that report is of Mr. Hollett who is a professional appraiser.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Mr. Suddaby is a certified management consultant and provides estimates of value.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Earlier drafts of his report on valuation as of March 25, 2014 included a certification that a Mr. Johan had provided significant assistance to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His final report says no one provided significant professional assistance to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He says this is not a true statement in his final report because Mr. Johan did provide significant assistance, although it is likely he who inserted this statement into the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Although his report of value as of March 25, 2014 indicated a net value of the hotel as of that date of $49,800,000, he readily acknowledged in his evidence that in addition to the other deductions for encumbrances he made to arrive at a net value, he should have deducted another $1,000,000 for the value of the restaurant to arrive at a final net value for the hotel of $48,800,000.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While he made certain deductions for encumbrances in using his Discounted Cash Flow Method of valuation, when he did his Direct Comparison Analysis as of March 25, 2014 he did not make any deductions because he says he was dealing with the value of an entire hotel and it is not appropriate to deduct encumbrances in that circumstance.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When it was pointed out to him he made deductions for encumbrances in doing his Direct Comparison Analysis as of April 15, 1999, he acknowledges that one analysis is right and one is wrong and he says the March 25, 2014 Direct Comparison Analysis is correct while the April 15, 1999 analysis is wrong and should not have taken into account encumbrances.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He agrees his Discounted Cash Flow Method of valuation is absolutely more complicated than the Direct Capitalization Method of valuation and he describes his method as highly complex, projecting out for ten years and basing those projections on a lot more assumptions.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In his estimate of market value of the hotel as at April 15, 1999 he started in his report with a present net value of $39,300,000 for the hotel using a 10% discount factor over the ten year projected period of 1999 through to 2008 inclusive. In the eleventh year of 2009, he used a discount factor in his report for the eleventh year that he says should have been lower for that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This change reduced the total present value of the reversion in his report by about $2,000,000 and reduced the net present value of the hotel as of April 15, 1999 from $39,300,000 to $37,380,000.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For his estimate of market value of the hotel as March 25, 2014 he stated in his report that the hotel had a net value as of that date of $49,800,000 using a 7% discount rate over a ten year period from 2014 through to 2023.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He says all his discount factors for this ten year period are wrong and in the eleventh year of 2024 he used the discount factor for the tenth year when it should have been less.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This change reduced again the present value of the reversion by approximately $2,000,000 and reduced the net present value of the hotel as at March 25, 2014 from $48,800,000 to $47,489,716.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In his report of value as of April 15, 1999 he says capitalization rates hovered around the 8%-10% level in 1994-1996 before increasing to 10.6% in 1997 and 10.0% in 1998.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He lists the Delta Place Hotel as having been sold in September 1995 at a reported cap rate of 8%, the Hotel Georgia having been sold in February 1997 at a reported cap rate of 11.1%, the Landmark Hotel having been sold in June 1997 at a reported cap rate of 10.8% and the Landis Hotel having been sold in June 1997 at a reported cap rate of 10.7%.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Even though these sales in 1997 were closer in time to April 15, 1999, he accepted the sale of the Delta Place Hotel in 1995 at a cap rate of 10% as most relevant to the cap rate he chose for the Westin Grand in 1999 of 8%, because the Delta Place Hotel, he says, was a branded full-service hotel with a similar number of rooms as the Westin Grand.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He says in his reports the Westin Grand is located in the heart of the financial district of Vancouver, but concedes in his evidence that this is a bit of an exaggeration on his part.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He stabilized the third year of his ten year model of projection and says that after the third year he simply grew the net income by inflation through to the tenth year because he says he has no knowledge of what conditions might exist in the next three to five years to justify any change.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His occupancy rate also remained the same for years three through ten and he agrees that in that sense his valuation is similar to Mr. Reynolds' valuation under the Direct Capitalization Method in that both stabilized their figures and carried them into perpetuity.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Mr. Suddaby accepts the views of Mr. Rushmore who he considers to be the Godfather of hotel appraisal. He agrees with Mr. Rushmore's comments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ten year forecast using a discount rate does not consider the impact of mortgage debt, leverage, and specific equity demands of typical hotel investors. Furthermore, it requires a subjective estimate of the entire discount rate, not just the equity portion as in the equity yield approach. Since few hotel investors purchase lodging facilities on an unleveraged basis, documented support for the discount rate is usually unavailable or inconclusive.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Mr. Suddaby agrees Mr. Rushmore identifies these as weaknesses in his method of valuation.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Mr. Rushmore also says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Developing a ten year forecast using a discount rate...is simple but less reliable because the derivation of the discount rate has little support. Moreover it is difficult to adjust the discount rate for changes in the cost of capital.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Mr. Suddaby agrees that in the past he has said trying to project hotel demand is in some ways a bit of a "crap shoot".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He concedes in his evidence that his number of 76.4% for 1999 for the occupancy in the competitive set of hotels, to include the Westin Grand Hotel, is not a number that he any longer has confidence in, it is wrong, and he says it likely affects not just his figures for 1999 but all the competitive occupancy figures in his chart of projections.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He confirms that his competitive market-wide occupancy analysis was the foundation for his penetration analysis and his penetration analysis could also therefore be wrong; and quite likely must be wrong.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He agrees it is now unknown what the numbers should be in his analysis if it had been done properly.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He says no reliance can be placed on his Discounted Cash Flow analysis in his valuation as of April 15, 1999 because it is based on net income, driven by room revenue, driven by occupancy projections, none of which is correct and therefore cannot be relied upon.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In his report of value as of April 15, 1999 he did not include any page dealing with the Direct Capitalization Method of value, as he had included in his report of value as of March 25,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When a draft of this missing page dealing with the Direct Capitalization method was shown to him, that had been prepared to be included in his April 15, 1999 opinion, it showed a cap rate for the Westin Grand of 5.1% in year one, 10.2% in the stabilized year and 9.7% in the stabilized year deflated to year 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In this draft he had said his overall cap rates were supported by his previously noted market data.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This market data included the sale of the Delta Place Hotel in 1995 at a reported cap rate of 8% along with the other hotels previously mentioned that were sold in 1997.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He says he is probably the person who deleted this draft page from his final report of value as of April 15, 1999. He says he does not recall why he deleted it and when it was suggested to him he did that because it did not support his chosen cap rate of 8% he said "I'm not too sure. I don't recall".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He also used a Direct Comparison Method as a test for the reasonableness of his Income Capitalization Method.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Under this Direct Comparison Method, he says there are not a lot of hotel transactions in Canada that are truly comparable to the Westin Grand, and so adjustments must be made which he says is a very subjective method of comparison.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In fact, he says in practice it is virtually impossible to quantify the appropriate factors accurately because of their number and complexity and lack of specific detailed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In the end result, he had to concede his adjusted values under this approach were all wrong because he did not do his calculations properly. He agreed he carried out a very misleading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xml:space="preserve">  He says he used the </w:t>
      </w:r>
      <w:r>
        <w:rPr>
          <w:rFonts w:ascii="arial" w:eastAsia="arial" w:hAnsi="arial" w:cs="arial"/>
          <w:i/>
          <w:color w:val="000000"/>
          <w:sz w:val="20"/>
          <w:lang w:val="en-US" w:eastAsia="en-US" w:bidi="ar-SA"/>
        </w:rPr>
        <w:t>Colliers Hotel Value Index</w:t>
      </w:r>
      <w:r>
        <w:rPr>
          <w:rFonts w:ascii="arial" w:eastAsia="arial" w:hAnsi="arial" w:cs="arial"/>
          <w:color w:val="000000"/>
          <w:sz w:val="20"/>
          <w:lang w:val="en-US" w:eastAsia="en-US" w:bidi="ar-SA"/>
        </w:rPr>
        <w:t xml:space="preserve"> to do his adjustments for changes in the market value of the hotel over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xml:space="preserve">  When he was shown the </w:t>
      </w:r>
      <w:r>
        <w:rPr>
          <w:rFonts w:ascii="arial" w:eastAsia="arial" w:hAnsi="arial" w:cs="arial"/>
          <w:i/>
          <w:color w:val="000000"/>
          <w:sz w:val="20"/>
          <w:lang w:val="en-US" w:eastAsia="en-US" w:bidi="ar-SA"/>
        </w:rPr>
        <w:t>Colliers Hotel Value Index</w:t>
      </w:r>
      <w:r>
        <w:rPr>
          <w:rFonts w:ascii="arial" w:eastAsia="arial" w:hAnsi="arial" w:cs="arial"/>
          <w:color w:val="000000"/>
          <w:sz w:val="20"/>
          <w:lang w:val="en-US" w:eastAsia="en-US" w:bidi="ar-SA"/>
        </w:rPr>
        <w:t xml:space="preserve"> for 2014 and asked to take his valuation as of March 25, 2014 and work back to 1999, reversing the </w:t>
      </w:r>
      <w:r>
        <w:rPr>
          <w:rFonts w:ascii="arial" w:eastAsia="arial" w:hAnsi="arial" w:cs="arial"/>
          <w:i/>
          <w:color w:val="000000"/>
          <w:sz w:val="20"/>
          <w:lang w:val="en-US" w:eastAsia="en-US" w:bidi="ar-SA"/>
        </w:rPr>
        <w:t>Colliers Hotel Value Index</w:t>
      </w:r>
      <w:r>
        <w:rPr>
          <w:rFonts w:ascii="arial" w:eastAsia="arial" w:hAnsi="arial" w:cs="arial"/>
          <w:color w:val="000000"/>
          <w:sz w:val="20"/>
          <w:lang w:val="en-US" w:eastAsia="en-US" w:bidi="ar-SA"/>
        </w:rPr>
        <w:t>, this demonstrated a value in 1999 of $23,863,000 for the Westin Grand, closer to Mr. Reynolds' valuation of $24,319.921.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Mr. Hollett stands alone in relying on the Direct Comparison Method of valuation. Both Mr. Suddaby and Mr. Reynolds view this as only a secondary method and both rely on the Income Capitalization Method to value, either the Discounted Cash Flow Method as used by Mr. Suddaby or the Direct Capitalization Method used by Mr. Reynolds.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I reject the opinions of Mr. Hollett as I accept the Direct Comparison Method should only be used as a secondary source only.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While there are some issues about Mr. Reynolds' opinions, there are a lot more issues about the opinions of Mr. Suddaby as I have attempted to set out. I accept the opinions of Mr. Reynolds as the best evidence of valuation.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I reject the opinions of Mr. Suddaby outright as it should be clear he kept changing his evidence throughout.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I turn now to the determination of the proper date for valuation of the 89 investor units, and any loss sustained by those plaintiffs owning those units.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Date for Valuation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xml:space="preserve">  Under the </w:t>
      </w:r>
      <w:r>
        <w:rPr>
          <w:rFonts w:ascii="arial" w:eastAsia="arial" w:hAnsi="arial" w:cs="arial"/>
          <w:i/>
          <w:color w:val="000000"/>
          <w:sz w:val="20"/>
          <w:lang w:val="en-US" w:eastAsia="en-US" w:bidi="ar-SA"/>
        </w:rPr>
        <w:t>Real Estate Act</w:t>
      </w:r>
      <w:r>
        <w:rPr>
          <w:rFonts w:ascii="arial" w:eastAsia="arial" w:hAnsi="arial" w:cs="arial"/>
          <w:color w:val="000000"/>
          <w:sz w:val="20"/>
          <w:lang w:val="en-US" w:eastAsia="en-US" w:bidi="ar-SA"/>
        </w:rPr>
        <w:t>, misrepresentations in a disclosure statement are deemed to have been relied upon, and the issue of actual reliance is irrelevant. The only circumstance available to rebut the reliance is actual knowledge by the investor of the falsity of the statement at the time of investment.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The vast majority of cases cited to me by both parties deal with losses suffered by plaintiffs and the corresponding duty to mitigate those losses wherever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Defence counsel has provided the Court with further evidence that many of the plaintiffs have agreed to sell their units for prices above what they originally paid for the units.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At Exhibit 234 of the trial, Mr. Andrews deposes by affidavit that RC Acquisitions (Canada) Ltd., a purchaser who purchased a number of units, has waived a condition precedent and scheduled the purchase agreements to close on February 12, 2015.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That Exhibit was accepted for filing at a hearing on the admission of new evidence on January 21, 2015, and was admitted without objection from plaintiffs' counsel because, he says, the evidence of that conditional offer was placed before the Court during the trial evidence completed on October 16,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Subsequently, defence counsel has sought to re-open the trial again to receive further evidence of sales of investor units, at a hearing on May 29, 2015, and he takes the position that the Court should receive this new evidence because it crystallizes the capital position of those plaintiffs who have sold to date, rather than dealing with only hypothetical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Uncle Ben's Tartan Holdings Ltd. v. Northwest Sports Enterprises Ltd.</w:t>
      </w:r>
      <w:r>
        <w:rPr>
          <w:rFonts w:ascii="arial" w:eastAsia="arial" w:hAnsi="arial" w:cs="arial"/>
          <w:color w:val="000000"/>
          <w:sz w:val="20"/>
          <w:lang w:val="en-US" w:eastAsia="en-US" w:bidi="ar-SA"/>
        </w:rPr>
        <w:t xml:space="preserve">, </w:t>
      </w:r>
      <w:hyperlink r:id="rId159" w:history="1">
        <w:r>
          <w:rPr>
            <w:rFonts w:ascii="arial" w:eastAsia="arial" w:hAnsi="arial" w:cs="arial"/>
            <w:i/>
            <w:color w:val="0077CC"/>
            <w:sz w:val="20"/>
            <w:u w:val="single"/>
            <w:shd w:val="clear" w:color="auto" w:fill="FFFFFF"/>
            <w:lang w:val="en-US" w:eastAsia="en-US" w:bidi="ar-SA"/>
          </w:rPr>
          <w:t>[1974] B.C.J. No. 589</w:t>
        </w:r>
      </w:hyperlink>
      <w:r>
        <w:rPr>
          <w:rFonts w:ascii="arial" w:eastAsia="arial" w:hAnsi="arial" w:cs="arial"/>
          <w:color w:val="000000"/>
          <w:sz w:val="20"/>
          <w:lang w:val="en-US" w:eastAsia="en-US" w:bidi="ar-SA"/>
        </w:rPr>
        <w:t xml:space="preserve">, Mr. Justice Anderson of this Court determined that in calculating damages to </w:t>
      </w:r>
      <w:r>
        <w:rPr>
          <w:rFonts w:ascii="arial" w:eastAsia="arial" w:hAnsi="arial" w:cs="arial"/>
          <w:i/>
          <w:color w:val="000000"/>
          <w:sz w:val="20"/>
          <w:lang w:val="en-US" w:eastAsia="en-US" w:bidi="ar-SA"/>
        </w:rPr>
        <w:t>Tartan</w:t>
      </w:r>
      <w:r>
        <w:rPr>
          <w:rFonts w:ascii="arial" w:eastAsia="arial" w:hAnsi="arial" w:cs="arial"/>
          <w:color w:val="000000"/>
          <w:sz w:val="20"/>
          <w:lang w:val="en-US" w:eastAsia="en-US" w:bidi="ar-SA"/>
        </w:rPr>
        <w:t xml:space="preserve"> for the shares and debentures it purchased in 1971, and sold in 1973, it was required to bring into account the selling price of its shares in 1973 in order to determine the actual loss and not some fictional loss measured at the time the fraud was ascertained.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xml:space="preserve">  In the circumstances of that case it was found that </w:t>
      </w:r>
      <w:r>
        <w:rPr>
          <w:rFonts w:ascii="arial" w:eastAsia="arial" w:hAnsi="arial" w:cs="arial"/>
          <w:i/>
          <w:color w:val="000000"/>
          <w:sz w:val="20"/>
          <w:lang w:val="en-US" w:eastAsia="en-US" w:bidi="ar-SA"/>
        </w:rPr>
        <w:t>Tartan</w:t>
      </w:r>
      <w:r>
        <w:rPr>
          <w:rFonts w:ascii="arial" w:eastAsia="arial" w:hAnsi="arial" w:cs="arial"/>
          <w:color w:val="000000"/>
          <w:sz w:val="20"/>
          <w:lang w:val="en-US" w:eastAsia="en-US" w:bidi="ar-SA"/>
        </w:rPr>
        <w:t xml:space="preserve"> suffered no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Smith New Court Securities Ltd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v. CitiBank N.A.</w:t>
      </w:r>
      <w:r>
        <w:rPr>
          <w:rFonts w:ascii="arial" w:eastAsia="arial" w:hAnsi="arial" w:cs="arial"/>
          <w:color w:val="000000"/>
          <w:sz w:val="20"/>
          <w:lang w:val="en-US" w:eastAsia="en-US" w:bidi="ar-SA"/>
        </w:rPr>
        <w:t>, [1997] A.C. 254 (H.L.) an employee of the defendant perpetrated a fraud in July 1989 when the plaintiff purchased shares at 82 p. each. When the fraud was discovered in September 1989 it caused a slump in the value of the plaintiff's shares and he sold his shares at a loss between November 1989 and April 30, 1990.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At the trial stage the plaintiff was awarded damages equal to the difference between the price paid and the true value of the shares at the date of purchase in July 1989, which was found to be 44 p per share.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In the Court of Appeal the award was reduced further when it was found that the plaintiff could have sold the shares in mitigation at a higher price of 78 p per share.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In The House of Lords, Lord Browne-Wilkinson determined that it was not realistic to expect the plaintiff to obtain 78 p per share when the shares could not have commercially been sold or realized at that price on that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His Lordship said in order to give full reparation the benefit which the plaintiff ought to bring into account to be set against his loss should be the actual re-sale price achieved by the plaintiff when he sold the shares.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His judgment was followed by the other Lords sitting on the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In the course of his judgment, Lord Brown-Wilkinson said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Turning for a moment away from damages for deceit, the general rule in other areas of the law has been that damages are to be assessed as at the date the wrong was committed. But recent decisions have emphasised that this is only a general rule: where it is necessary an order adequately to compensate the plaintiff for the damage suffered by reason of the defendant's wrong a different date of assessment can be selected. Thus in the law of contract, the date of breach rule "is not an absolute rule: if to follow it would give rise to injustice, the court has power to fix such other date as may be appropriate in the circumstances." Per Lord Wilberfoce in </w:t>
      </w:r>
      <w:r>
        <w:rPr>
          <w:rFonts w:ascii="arial" w:eastAsia="arial" w:hAnsi="arial" w:cs="arial"/>
          <w:i/>
          <w:color w:val="000000"/>
          <w:sz w:val="20"/>
          <w:lang w:val="en-US" w:eastAsia="en-US" w:bidi="ar-SA"/>
        </w:rPr>
        <w:t>Johnson v. Agnew</w:t>
      </w:r>
      <w:r>
        <w:rPr>
          <w:rFonts w:ascii="arial" w:eastAsia="arial" w:hAnsi="arial" w:cs="arial"/>
          <w:color w:val="000000"/>
          <w:sz w:val="20"/>
          <w:lang w:val="en-US" w:eastAsia="en-US" w:bidi="ar-SA"/>
        </w:rPr>
        <w:t xml:space="preserve"> 1980 A.C. 367.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Further he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old 19th century cases can no longer be treated as laying down a strict and inflexible rule. In many cases, even in deceit, it will be appropriate to value the asset acquired as at the transaction date if that truly reflects the value of what the plaintiff has obtained. Thus, if the asset acquired is a readily marketable asset and there is no special feature (such as a continuing misrepresentation or the purchaser being locked into a business that he has acquired) the transaction date rule may well produce a fair result. The plaintiff has acquired the asset and what he does with it thereafter is entirely up to him, free from any continuing adverse impact of the defendant's wrongful act. The transaction date rule has one manifest advantage, namely that it avoids any question of causation. One of the difficulties of either valuing the asset at a later date or treating the actual receipt on realization as being the value obtained is that difficult questions of causation are bound to arise. In the period between the transaction date and the date of valuation or re-sale other factors will have influenced the value or re-sale price of the asset. It was the desire to avoid these difficulties of causation which led to the adoption of a transaction date rule.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xml:space="preserve">  Defence counsel cites </w:t>
      </w:r>
      <w:r>
        <w:rPr>
          <w:rFonts w:ascii="arial" w:eastAsia="arial" w:hAnsi="arial" w:cs="arial"/>
          <w:i/>
          <w:color w:val="000000"/>
          <w:sz w:val="20"/>
          <w:lang w:val="en-US" w:eastAsia="en-US" w:bidi="ar-SA"/>
        </w:rPr>
        <w:t>M.N.R. v. Consolidated Glass Company Ltd.,</w:t>
      </w:r>
      <w:r>
        <w:rPr>
          <w:rFonts w:ascii="arial" w:eastAsia="arial" w:hAnsi="arial" w:cs="arial"/>
          <w:color w:val="000000"/>
          <w:sz w:val="20"/>
          <w:lang w:val="en-US" w:eastAsia="en-US" w:bidi="ar-SA"/>
        </w:rPr>
        <w:t xml:space="preserve"> </w:t>
      </w:r>
      <w:hyperlink r:id="rId160" w:history="1">
        <w:r>
          <w:rPr>
            <w:rFonts w:ascii="arial" w:eastAsia="arial" w:hAnsi="arial" w:cs="arial"/>
            <w:i/>
            <w:color w:val="0077CC"/>
            <w:sz w:val="20"/>
            <w:u w:val="single"/>
            <w:shd w:val="clear" w:color="auto" w:fill="FFFFFF"/>
            <w:lang w:val="en-US" w:eastAsia="en-US" w:bidi="ar-SA"/>
          </w:rPr>
          <w:t>[1957] S.C.R. 167</w:t>
        </w:r>
      </w:hyperlink>
      <w:r>
        <w:rPr>
          <w:rFonts w:ascii="arial" w:eastAsia="arial" w:hAnsi="arial" w:cs="arial"/>
          <w:color w:val="000000"/>
          <w:sz w:val="20"/>
          <w:lang w:val="en-US" w:eastAsia="en-US" w:bidi="ar-SA"/>
        </w:rPr>
        <w:t xml:space="preserve"> for the proposition that a loss or gain on a capital account cannot be determined until the capital asset is disposed 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This was a tax case where Consolidated Glass purchased shares for approximately $154,000 but later wrote down the shares to a value of $40,000 and claimed the difference as a capital loss in computing its undistributed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In the Supreme Court of Canada it was determined there was no absolute irrevocable and final loss on the shares until they were disposed 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xml:space="preserve">  I do not find this case to be of much assistance on this issue as it was a tax case based on the wording of the </w:t>
      </w:r>
      <w:r>
        <w:rPr>
          <w:rFonts w:ascii="arial" w:eastAsia="arial" w:hAnsi="arial" w:cs="arial"/>
          <w:i/>
          <w:color w:val="000000"/>
          <w:sz w:val="20"/>
          <w:lang w:val="en-US" w:eastAsia="en-US" w:bidi="ar-SA"/>
        </w:rPr>
        <w:t>Income Tax Act</w:t>
      </w:r>
      <w:r>
        <w:rPr>
          <w:rFonts w:ascii="arial" w:eastAsia="arial" w:hAnsi="arial" w:cs="arial"/>
          <w:color w:val="000000"/>
          <w:sz w:val="20"/>
          <w:lang w:val="en-US" w:eastAsia="en-US" w:bidi="ar-SA"/>
        </w:rPr>
        <w:t xml:space="preserve">, </w:t>
      </w:r>
      <w:hyperlink r:id="rId161" w:history="1">
        <w:r>
          <w:rPr>
            <w:rFonts w:ascii="arial" w:eastAsia="arial" w:hAnsi="arial" w:cs="arial"/>
            <w:i/>
            <w:color w:val="0077CC"/>
            <w:sz w:val="20"/>
            <w:u w:val="single"/>
            <w:shd w:val="clear" w:color="auto" w:fill="FFFFFF"/>
            <w:lang w:val="en-US" w:eastAsia="en-US" w:bidi="ar-SA"/>
          </w:rPr>
          <w:t>R.S.C. 1985, c. 1 (5th Supp)</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It appears to me that I have two options open. The first option is to take into account the sale prices that those unit owners have achieved in selling their units subsequent to the trial, as a credit or mitigation against any loss they may have sustained in purchasing their units back in 1999.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xml:space="preserve">  The alternative option, as Lord Brown-Wilkinson in </w:t>
      </w:r>
      <w:r>
        <w:rPr>
          <w:rFonts w:ascii="arial" w:eastAsia="arial" w:hAnsi="arial" w:cs="arial"/>
          <w:i/>
          <w:color w:val="000000"/>
          <w:sz w:val="20"/>
          <w:lang w:val="en-US" w:eastAsia="en-US" w:bidi="ar-SA"/>
        </w:rPr>
        <w:t>Smith New Court Securities</w:t>
      </w:r>
      <w:r>
        <w:rPr>
          <w:rFonts w:ascii="arial" w:eastAsia="arial" w:hAnsi="arial" w:cs="arial"/>
          <w:color w:val="000000"/>
          <w:sz w:val="20"/>
          <w:lang w:val="en-US" w:eastAsia="en-US" w:bidi="ar-SA"/>
        </w:rPr>
        <w:t xml:space="preserve"> pointed out, is to determine if the transaction date rule as of 1999 produces a fair result as once the plaintiff investors acquired their units they were entitled to do with them as they wished, freed from any continuing adverse impact of the defendants wrongful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That is the position basically taken by plaintiff's counsel on the defendants' efforts to introduce new evidence after the close of trial. Plaintiffs' counsel submits that what the investors have actually done with their units is irrelevant.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Plaintiffs' counsel submits that the investors' loss of capital should be determined at the time they completed their sales transactions on April 15, 1999, in accordance with the opinions of Mr. Reynolds.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I agree with plaintiffs' counsel that the sales transaction date should be considered as at April 15, 1999 when each of the plaintiff investors completed their purchase of their unit, and the investors' capital loss should be assessed at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xml:space="preserve">  I accept the submission that s. 59 or 75 of the </w:t>
      </w:r>
      <w:r>
        <w:rPr>
          <w:rFonts w:ascii="arial" w:eastAsia="arial" w:hAnsi="arial" w:cs="arial"/>
          <w:i/>
          <w:color w:val="000000"/>
          <w:sz w:val="20"/>
          <w:lang w:val="en-US" w:eastAsia="en-US" w:bidi="ar-SA"/>
        </w:rPr>
        <w:t>Real Estate Act</w:t>
      </w:r>
      <w:r>
        <w:rPr>
          <w:rFonts w:ascii="arial" w:eastAsia="arial" w:hAnsi="arial" w:cs="arial"/>
          <w:color w:val="000000"/>
          <w:sz w:val="20"/>
          <w:lang w:val="en-US" w:eastAsia="en-US" w:bidi="ar-SA"/>
        </w:rPr>
        <w:t xml:space="preserve"> which states that compensation is payable to all persons who have purchased, makes it clear that the statutory cause of action for compensation arises once the titles to the units have actually passed to the purchasers.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As more than one authority has stated, the investors have suffered actual damage by parting with their money and receiving in exchange property worth less than the prices they paid.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I do not take into account what the plaintiff investors have done with their units since 1999 because it is now in the order of 15 years since that date, and while it may be that at the present time most or all of them can obtain a higher price for the sale of their units than they paid in 1999, during the intervening period they held onto their units when they were perhaps, at times, worth less than what they paid for their units in 1999; they continued to bear the financial responsibility of owning their units throughout; not all investors have sold since the trial, and if those who sold received more than they paid in 1999, the effect of inflation on the value of money overtime would have to be factored into any analysis of their positions.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I am uncomfortable relying upon the opinion of value of Mr. Reynolds as of April 15, 1999 when income and expenses of the hotel could not be considered to be stabilized at that time and Mr. Reynolds was required to use management's projections for the hotel because there was no history for the hotel as of yet.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Nevertheless Mr. Reynolds valuations for the 89 units as of December 31, 2000 and December 31, 2002 are more than his valuation as of April 15, 1999, so I consider the best evidence of the value of the 89 units as of April 15, 1999 to still be Mr. Reynolds figure of $10,388,700.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The plaintiff investors paid a total of $18,468,930 in 1999 for the purchase of their units which was a figure of $8,080,230 over Mr. Reynolds valuation of their units as of April 15, 1999. This constitutes their capital loss in making these investments in 1999.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204</w:t>
      </w:r>
      <w:r>
        <w:rPr>
          <w:rFonts w:ascii="arial" w:eastAsia="arial" w:hAnsi="arial" w:cs="arial"/>
          <w:color w:val="000000"/>
          <w:sz w:val="20"/>
          <w:lang w:val="en-US" w:eastAsia="en-US" w:bidi="ar-SA"/>
        </w:rPr>
        <w:t>  Using the transaction date of April 15, 1999 and relying on Mr. Reynolds valuation, I find the investors' capital loss in making these investments to be $8,000,000 and I hold that this transaction date produces a fair result because what the investors decided to do with their units thereafter was entirely up to them free from any continuing adverse effect of the defendants' wrongful act which was restricted to the time of their purchase of their units.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205</w:t>
      </w:r>
      <w:r>
        <w:rPr>
          <w:rFonts w:ascii="arial" w:eastAsia="arial" w:hAnsi="arial" w:cs="arial"/>
          <w:color w:val="000000"/>
          <w:sz w:val="20"/>
          <w:lang w:val="en-US" w:eastAsia="en-US" w:bidi="ar-SA"/>
        </w:rPr>
        <w:t>  In these circumstances, with the investors free to deal with their units as they wished after April 15, 1999 and holding onto their units for all the period of time since 1999, I decline to award them any additional monies for their closing costs in 1999 because with their right to continue to hold their units or otherwise deal with them, the obligation to complete at some cost in 1999 goes with this freedom.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206</w:t>
      </w:r>
      <w:r>
        <w:rPr>
          <w:rFonts w:ascii="arial" w:eastAsia="arial" w:hAnsi="arial" w:cs="arial"/>
          <w:color w:val="000000"/>
          <w:sz w:val="20"/>
          <w:lang w:val="en-US" w:eastAsia="en-US" w:bidi="ar-SA"/>
        </w:rPr>
        <w:t>  In order to complete the evidence at trial I will accept Mr. Cressey's affidavit, submitted to me on May 29, 2015, as Exhibit 235, even though there is a lot of hearsay in that affidavit.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207</w:t>
      </w:r>
      <w:r>
        <w:rPr>
          <w:rFonts w:ascii="arial" w:eastAsia="arial" w:hAnsi="arial" w:cs="arial"/>
          <w:color w:val="000000"/>
          <w:sz w:val="20"/>
          <w:lang w:val="en-US" w:eastAsia="en-US" w:bidi="ar-SA"/>
        </w:rPr>
        <w:t>  I order the defendants found liable under my trial order entered on March 20, 2009 to make compensation to the investors in the amount of $8,000,000.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J.D. TRUSCOTT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58" style="position:absolute;z-index:25170432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62"/>
          <w:headerReference w:type="default" r:id="rId163"/>
          <w:footerReference w:type="even" r:id="rId164"/>
          <w:footerReference w:type="default" r:id="rId165"/>
          <w:headerReference w:type="first" r:id="rId166"/>
          <w:footerReference w:type="first" r:id="rId16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68" w:history="1">
        <w:r>
          <w:rPr>
            <w:rFonts w:ascii="arial" w:eastAsia="arial" w:hAnsi="arial" w:cs="arial"/>
            <w:b/>
            <w:bCs/>
            <w:i/>
            <w:color w:val="0077CC"/>
            <w:kern w:val="32"/>
            <w:sz w:val="28"/>
            <w:szCs w:val="32"/>
            <w:u w:val="single"/>
            <w:shd w:val="clear" w:color="auto" w:fill="FFFFFF"/>
            <w:lang w:val="en-US" w:eastAsia="en-US" w:bidi="ar-SA"/>
          </w:rPr>
          <w:t>United Savings Credit Union v. 631252 B.C. Ltd., [2002] B.C.J. No. 2724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Sigurdson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November 18, 2002.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December 4, 2002.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H021060</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[2002] B.C.J. No. 2724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2002 BCSC 1681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8 B.C.L.R. (4th) 174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5 R.P.R. (4th) 312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118 A.C.W.S. (3d) 581</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United Savings Credit Union (formerly United Civic Savings Credit Union), petitioner, and 631252 British Columbia Ltd. (a.k.a. 631252 B.C. Ltd.), Vanview Construction Ltd., Frederick Prakash, Kai Ming Zhou, Qi Xia Zhou, Sukhbinder Singh Nunrha, Vancouver City Savings Credit Union, Rempel Bros. Concrete Ltd., Deloitte &amp; Touche Inc., Trustee in Bankrupcy of Tarsem Gill, A-Class Doors Ltd., Dream Cabinets Ltd. and Sunny Landscaping Ltd., respondents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(47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59" style="position:absolute;z-index:25166540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49" w:name="Keywords_6"/>
      <w:bookmarkEnd w:id="49"/>
      <w:r>
        <w:rPr>
          <w:rFonts w:ascii="arial" w:eastAsia="arial" w:hAnsi="arial" w:cs="arial"/>
          <w:b/>
          <w:color w:val="000000"/>
          <w:sz w:val="20"/>
          <w:lang w:val="en-US" w:eastAsia="en-US" w:bidi="ar-SA"/>
        </w:rPr>
        <w:t>Mortgages — Redemption of mortgage — Variation of statutory period — When relief from forfeiture available — Mortgage actions — Action for foreclosure and sale — Stay of action.</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50" w:name="Case Summary_5"/>
            <w:bookmarkEnd w:id="50"/>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Zhous for a stay of proceedings. United Savings Credit Union held a mortgage on a property owned by 631252 BC. The property was subsequently sold to the Zhous, but the solicitor who handled the sale, Wirick, failed to discharge United's mortgage, and the Zhous were unaware that there were any incumbrances on the property. Wirick was currently under investigation by the Law Society in relation to several such transactions. United brought a foreclosure action against 631252 BC. The Zhous argued that the proceedings should be stayed for three months, to give them an opportunity to seek redress from the Special Fund Committee of the Law Society of British Columbia. The Zhous had taken out a mortgage on the property when they purchased, which they thought was the only mortgage, but which was in fact the third. United's mortgage was the first. United did not dispute that the Zhous were innocent purchasers, but argued that the redemption period would allow the Zhous to make their claim to the Law Society and redeem the mortgage.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51" w:name="Holdings of Court_4"/>
            <w:bookmarkEnd w:id="51"/>
            <w:r>
              <w:rPr>
                <w:rFonts w:ascii="arial" w:eastAsia="arial" w:hAnsi="arial" w:cs="arial"/>
                <w:color w:val="000000"/>
                <w:sz w:val="20"/>
                <w:lang w:val="en-US" w:eastAsia="en-US" w:bidi="ar-SA"/>
              </w:rPr>
              <w:t>HELD: Application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 stay of proceedings was not appropriate, as the mortgage was enforceable and United was within its rights to seek the foreclosure. There was no evidentiary basis for a stay and the Zhous had no defence to the United mortgage. However, a longer than normal redemption period, of nine months, was ordered to give the Zhous the opportunity to make their claim to the Law Society. No order for sale would be made until the expiry of this redemption period.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52" w:name="Legislation Cited_5"/>
      <w:bookmarkEnd w:id="5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60" style="position:absolute;z-index:25167564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 18.</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53" w:name="Counsel_6"/>
      <w:bookmarkEnd w:id="53"/>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61" style="position:absolute;z-index:2516858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J.I. McLean, for the petitioner. J. Harry, for Vancouver City Savings Credit Union. L. Donaldson and C. Purcell, for Royal Bank. P. Oreck, for Pacific Coast Mortgage Inv., Basha Sales, Newport Sales, and Leibel Sales. M. Palleson, for MCAP Financial Corp. D. McKnight, for Toronto Dominion Bank. H.C.R. Clark, Q.C., for the respondents, Kai Ming Zhou and Qi Xia Zhou. J. Bateman, for HSBC Bank Canada. D. McGowan, for Canadian Imperial Bank of Commerce. E.N. Kornfeld, for The Bank of Nova Scotia. A. Lee, for the respondent Lee in H021230. A.K. MacKinnon, for Parklane/Skyline. T. Dusevic and J. Yuan, for Mattu and Dhillon. B. Markus, for Sarjit Chandock. D. Unterman, for the respondent, Sukhbinder Singh Nunrha.</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54" w:name="Judgment_6"/>
      <w:bookmarkEnd w:id="54"/>
      <w:r>
        <w:pict>
          <v:line id="_x0000_s1062" style="position:absolute;z-index:251696128" from="0,12pt" to="512pt,12pt" strokecolor="#009ddb" strokeweight="1.5pt">
            <v:stroke linestyle="single"/>
          </v:line>
        </w:pict>
      </w:r>
    </w:p>
    <w:p>
      <w:pPr>
        <w:spacing w:before="120" w:line="240" w:lineRule="atLeast"/>
        <w:ind w:firstLine="240"/>
        <w:rPr>
          <w:rFonts w:ascii="arial" w:eastAsia="arial" w:hAnsi="arial" w:cs="arial"/>
          <w:sz w:val="20"/>
          <w:lang w:val="en-US" w:eastAsia="en-US" w:bidi="ar-SA"/>
        </w:rPr>
      </w:pPr>
      <w:r>
        <w:rPr>
          <w:rFonts w:ascii="arial" w:eastAsia="arial" w:hAnsi="arial" w:cs="arial"/>
          <w:color w:val="000000"/>
          <w:sz w:val="18"/>
          <w:lang w:val="en-US" w:eastAsia="en-US" w:bidi="ar-SA"/>
        </w:rPr>
        <w:t>[Quicklaw note: A Corrigendum was released by the Court January 17, 2003. The correction has been made to the text and the Corrigendum is appended to this document.]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4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55" w:name="SIGURDSON J."/>
            <w:bookmarkEnd w:id="55"/>
            <w:r>
              <w:rPr>
                <w:rFonts w:ascii="arial" w:eastAsia="arial" w:hAnsi="arial" w:cs="arial"/>
                <w:b/>
                <w:color w:val="000000"/>
                <w:sz w:val="30"/>
                <w:lang w:val="en-US" w:eastAsia="en-US" w:bidi="ar-SA"/>
              </w:rPr>
              <w:t>SIGURDSON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is a foreclosure of mortgage against the home of Mr. and Mrs. Zhou on Aberdeen Street in Vancouver. The mortgage is connected with the now notorious affairs of Tarsem Gill and his solicitor, Martin Wirick. Mr. Wirick failed to discharge this and another mortgage registered against the title when the Zhous purchased their house earlier this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background generally is described by President Gibbs of the Law Society of British Columbia in a recent report to the legal profession from which I quote in part (the accuracy of this description was not disputed):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Wirick began practice in May, 1979. He seems to have been an ordinary lawyer who operated properly for 20 years. His misdirection of funds began in 1999 while he was acting for Tarsem Gill. In Gill-related real estate transactions, Mr. Wirick received money as solicitor for the vendor (Mr. Gill or nominees) from solicitors and notaries acting for purchasers and subsequent mortgagees. Instead of paying off the prior encumbrances, as he undertook to do, Mr. Wirick misdirected the down payment and mortgage funds to Mr. Gill or one of his companies. Mr. Gill then used some of that money to service mortgage debts that should have been discharged, thereby preventing those mortgages from going into default.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those prior mortgages had not been paid out, no discharges were forthcoming. But, because the prior mortgages were being serviced, those lenders did not become concerned. Mr. Wirick exploited the lag time for the issuance of discharges (of up to six months, and even longer for some institutions) to create a plausible story as to why he was not supplying the discharges of the prior encumbrances in a timely way.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a result, Mr. Wirick was able to string things out. Eventually, he came up with discharges either by paying out the prior encumbrance with other misdirected funds, or possibly by forging discharges in some cases.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Wirick's actions on behalf of his client Gill remained undetected for three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Property owners, like the Zhous, accordingly find their properties subject to undischarged mortgages; in other cases, lenders find their security either improperly discharged or ranking lower than expected in priority because Mr. Wirick did not discharge prior mortgages. The parties in these predicaments are apparently in the process of making claims to the Special Compensation Fund of the Law Society.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 was directed by Chief Justice Brenner to hear cases arising out of the bankruptcies of Messrs. Gill and Wirick. I was also directed to hear foreclosure proceedings, including those where Mr. Wirick, as here, failed to discharge prior registered mortgages.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Although this application only concerns one foreclosure proceeding, I heard submissions from numerous interested parties because of the likelihood that there will be similar future applications.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Mr. Clark, at the behest of the Law Society of British Columbia, was retained to act on behalf of a group of people referred to as "innocent purchasers", i.e. those who bought properties in good faith only to later find them encumbered by mortgages they understood would be discharged from the proceeds of the transaction.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On this application, I also heard from various financial institutions and lenders as to the appropriate order I should make, given that applications are or soon will be pending before the Special Fund Committee. I should note that Mr. Clark did not appear for the Law Society nor was he able to advise me what the outcome of any application to the Special Fund Committee would be. He appeared on this application for the Zhous.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On this application I am only making a decision with respect to this particular foreclosure proceeding. However, I intend to make some comments which I expect will have some general application. I recognize that different orders may be appropriate where the the circumstances are different.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petitioner, United Savings Credit Union, holds a first mortgage on the subject property, which was granted by the original registered owner, 631252 British Columbia Ltd. in October, 2001. A second mortgage was registered on October 10, 2001 in favour of Sukhbinder Singh Nunrha. The property is also subject to several builder's liens.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registered owners, Kai Ming Zhou and Qi Xia Zhou, purchased the property on April 9, 2002. They obtained a mortgage from Vancouver City Savings Credit Union (VanCity) in April, 2002 which is registered as a third mortgage instead of a first mortgage, because Mr. Wirick did not discharge the first and second mortgages at the time of the purchase. The amount owing under the petitioner's first mortgage is approximately $150,000 and under the second mortgage, $110,000. The Zhou's purchase price was approximately $367,000.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From the petitioner United Savings Credit Union's perspective, there is no dispute that the Zhous are innocent purchasers, but it says nevertheless that they do not have a defence to the petitioner's valid, prior registered and unpaid security. The Law Society expects that the purchasers on the list attached to the affidavit of Mary Ann Cummings, the so-called "innocent purchasers", will make applications to the Special Fund Committee. At the hearing it became apparent that the question of who should be considered one of the innocent purchasers and what are the criteria for an innocent purchaser may be in issue. Accordingly, for that reason as well, I will only deal with the application at hand.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Mr. Clark, on behalf of the owners, seeks a judicial stay of proceedings for three months so that the purchasers' claims can be considered by the Law Society; in the alternative, he seeks an order that there be a trial as to who should bear the consequence of the fraudulent conduct of Mr. Wirick as between the petitioner and the owners; and, finally, in the further alternative, he seeks a nine-month redemption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Mr. McLean, on behalf of the petitioning first mortgagee, says that there is no triable issue, and that a judicial stay is not appropriate. He says that the appropriate order in the circumstances is a nine-month redemption period, a direction which he said would be fair, would establish certainty, and would recognize that the petitioners have a valid charge. He says that since there is there is equity for the first and second mortgages, this order will provide the owners time to complete their applications to the Special Fund Committee prior to the commencement of what would otherwise be the usual redemption period of six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third mortgagee, VanCity, supports Mr. McLean's position in opposing a judicial stay; it says that an order with certainty, when the validity of the security is not seriously in issue, is important.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At the hearing I received submissions from counsel for various lenders who hold mortgages in similar circumstances. One counsel submitted that in making any order that might have general application I ought to be mindful that there are numerous categories of transactions and foreclosures that have arisen from the Wirick/Gill solicitor/client relationship. These include cases where the lending institution lent money to Mr. Gill's nominee, cases where money was loaned to Mr. Gill's nominee and the subject property then sold to innocent third-party purchasers, cases where the lender funded a loan to an innocent purchaser only to find that earlier mortgages were not discharged, and cases where it is presently unknown whether the purchaser was innocent of the fraud or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Counsel for various lenders suggested ways of fashioning orders to allow claims to be advanced and processed by the Special Fund Committee while protecting the legitimate rights of all parties, including lenders and owners. Mr. Clark's proposal was a 3-month stay.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One counsel submitted that a stay will mean that claims will not be resolved promptly by the Law Society. Several lenders supported that submission.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Several counsel suggested that overall blanket orders were inappropriate and, as I noted, questioned the accuracy or completeness of the list of innocent purchasers.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What is the appropriate order in this foreclosure proceeding when the home owner, an innocent purchaser, is presenting and awaiting the result of a claim to the Special Fund Committee of the Law Society of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Initially, Mr. Clark sought orders in connection with a number of purchasers who are subject to foreclosure actions. I decided that I would make a decision in this case only although I expect that, as I have been assigned foreclosure proceedings that arise in connection with the Gill/Wirick situation, my comments will apply to other claims where the relevant facts are substantially the same and the homeowners or property owners are also innocent purchasers. If the facts are different, the parties of course are able to argue that this decision should not apply.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 turn to the proceeding at hand.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 do not know the status of the Zhou's claim with the Law Society, but I expect that their claim and those of the other "innocent purchasers" has been made, or will shortly be made, to the Special Compensation Fund of the Law Society.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Should I grant a stay of proceedings? Mr. Clark seeks a stay of short duration, i.e. three months, to (as he puts it) "enable proper steps to be taken to correct a fraud perpetrated upon members of the public by an officer of the court when these steps are in process". He submits that the mortgagee will suffer no prejudice other than accumulated interest but he says that there is obvious prejudice to the innocent purchasers.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Mr. McLean for the petitioner says there is no evidentiary basis for a stay and that the fixing of a redemption period itself is tantamount to a stay of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There is no dispute that in appropriate circumstances I have jurisdiction to grant a stay.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In Zurich Indemnity Co. of Canada v. Western Delta Lands Inc. </w:t>
      </w:r>
      <w:hyperlink r:id="rId169" w:history="1">
        <w:r>
          <w:rPr>
            <w:rFonts w:ascii="arial" w:eastAsia="arial" w:hAnsi="arial" w:cs="arial"/>
            <w:i/>
            <w:color w:val="0077CC"/>
            <w:sz w:val="20"/>
            <w:u w:val="single"/>
            <w:shd w:val="clear" w:color="auto" w:fill="FFFFFF"/>
            <w:lang w:val="en-US" w:eastAsia="en-US" w:bidi="ar-SA"/>
          </w:rPr>
          <w:t>(1997), 38 B.C.L.R. (3d) 273</w:t>
        </w:r>
      </w:hyperlink>
      <w:r>
        <w:rPr>
          <w:rFonts w:ascii="arial" w:eastAsia="arial" w:hAnsi="arial" w:cs="arial"/>
          <w:color w:val="000000"/>
          <w:sz w:val="20"/>
          <w:lang w:val="en-US" w:eastAsia="en-US" w:bidi="ar-SA"/>
        </w:rPr>
        <w:t xml:space="preserve"> (C.A.), leave to appeal to S.C.C. refused </w:t>
      </w:r>
      <w:hyperlink r:id="rId170" w:history="1">
        <w:r>
          <w:rPr>
            <w:rFonts w:ascii="arial" w:eastAsia="arial" w:hAnsi="arial" w:cs="arial"/>
            <w:i/>
            <w:color w:val="0077CC"/>
            <w:sz w:val="20"/>
            <w:u w:val="single"/>
            <w:shd w:val="clear" w:color="auto" w:fill="FFFFFF"/>
            <w:lang w:val="en-US" w:eastAsia="en-US" w:bidi="ar-SA"/>
          </w:rPr>
          <w:t>[1997] S.C.C.A. No. 469</w:t>
        </w:r>
      </w:hyperlink>
      <w:r>
        <w:rPr>
          <w:rFonts w:ascii="arial" w:eastAsia="arial" w:hAnsi="arial" w:cs="arial"/>
          <w:color w:val="000000"/>
          <w:sz w:val="20"/>
          <w:lang w:val="en-US" w:eastAsia="en-US" w:bidi="ar-SA"/>
        </w:rPr>
        <w:t>, Huddart J.A. considered whether a chambers judge erred in granting an order nisi. She said at para 14-16, 24, 29-32: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parties' view that the Supreme Court has the discretion to stay proceedings in a mortgage foreclosure action is supported by the majority in Rogers v. Bank of Montreal </w:t>
      </w:r>
      <w:hyperlink r:id="rId171" w:history="1">
        <w:r>
          <w:rPr>
            <w:rFonts w:ascii="arial" w:eastAsia="arial" w:hAnsi="arial" w:cs="arial"/>
            <w:i/>
            <w:color w:val="0077CC"/>
            <w:sz w:val="20"/>
            <w:u w:val="single"/>
            <w:shd w:val="clear" w:color="auto" w:fill="FFFFFF"/>
            <w:lang w:val="en-US" w:eastAsia="en-US" w:bidi="ar-SA"/>
          </w:rPr>
          <w:t>(1984), 49 B.C.L.R. 85</w:t>
        </w:r>
      </w:hyperlink>
      <w:r>
        <w:rPr>
          <w:rFonts w:ascii="arial" w:eastAsia="arial" w:hAnsi="arial" w:cs="arial"/>
          <w:color w:val="000000"/>
          <w:sz w:val="20"/>
          <w:lang w:val="en-US" w:eastAsia="en-US" w:bidi="ar-SA"/>
        </w:rPr>
        <w:t xml:space="preserve"> at 220, per Craig J.A., although the court's concern in Rogers, as in Avenue Properties, </w:t>
      </w:r>
      <w:hyperlink r:id="rId172" w:history="1">
        <w:r>
          <w:rPr>
            <w:rFonts w:ascii="arial" w:eastAsia="arial" w:hAnsi="arial" w:cs="arial"/>
            <w:i/>
            <w:color w:val="0077CC"/>
            <w:sz w:val="20"/>
            <w:u w:val="single"/>
            <w:shd w:val="clear" w:color="auto" w:fill="FFFFFF"/>
            <w:lang w:val="en-US" w:eastAsia="en-US" w:bidi="ar-SA"/>
          </w:rPr>
          <w:t>[1986] B.C.J. No. 843</w:t>
        </w:r>
      </w:hyperlink>
      <w:r>
        <w:rPr>
          <w:rFonts w:ascii="arial" w:eastAsia="arial" w:hAnsi="arial" w:cs="arial"/>
          <w:color w:val="000000"/>
          <w:sz w:val="20"/>
          <w:lang w:val="en-US" w:eastAsia="en-US" w:bidi="ar-SA"/>
        </w:rPr>
        <w:t>, was the principles to be applied on an application to decline jurisdiction under Rule 14(6)(c). The court was clear that "[t]he court's power to order a stay stems from its inherent jurisdiction and s. 8 of the Law and Equity Act indicates that the court has a wide power in this regard."</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Whether, in any given case, a mortgagee should be impeded in pursuing foreclosure, is a matter within the discretion of the judge to be exercised in accordance with principle. The factors to be considered will vary with the reason being put forward to justify the delay.</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issue for us is whether the chambers judge erred when he granted the order nisi. In my opinion he did not. Lands did not establish that refusal of an order nisi was required to do justice between it and Zurich.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is nothing to prevent Lands from applying to extend the redemption period. If it does so, the learned judge hearing the application may take into account the progress of the Ontario action and its merits as they then appear. He or she may require a payment on account of interest as a condition of an extension. How the jurisdiction to extend is to be exercised will depend on all the circumstances as they are then established.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Zurich seeks an order for sale, there is nothing to prevent Lands from seeking carriage of any sale the court might order. The court faced with such an application might refuse the order and extend the redemption period, thereby preserving Lands' opportunity to develop or remortgage the lands. It might require that the proceeds of sale be held pending the determination of the cross-claim. Thus might the court be saved from the opprobrium of having destroyed Zurich's asset if prices were to fall, or of having impeded Property's recovery if its cross-claim is successful.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may be other possible outcomes, but these come to mind to illustrate that justice could be done in the circumstances established before the chambers judge without refusing an order nisi, whether by stay of proceedings or by granting a further adjournment.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Is there a triable issue over the right of the petitioner to foreclose? Although Mr. Clark says I should consider this factor later, if I refuse a stay, I think I should consider it as part of the consideration of whether to grant a stay.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Mr. Clark says that there is a triable issue. I should note that there is no suggestion that the petitioner's mortgage was not valid, not properly registered as a first charge or that the monies claimed were not validly advanced under it to the previous owner.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Mr. Clark however submits that where there are two innocent victims of a fraud, the court has jurisdiction to determine upon which of these two victims that fraud should fall. He says the inquiry can include whether one party's carelessness 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led, in part, to the loss. He argues that the foreclosing lenders (in this case United Savings Credit Union, formerly United Civic Savings Credit Union) chose to do business with Mr. Gill and had in place the wherewithal to conduct credit checks, review credit applications, and create a system and criteria designed to ensure that those to whom they loaned money were credit-worthy and trustworthy individuals. Mr. Clark suggests that the innocent purchaser is entitled in the circumstances to an opportunity to attempt to advance evidence that would satisfy the legal requirements of showing a defence worthy of investigation.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Mr. Clark relies on Marvco Color Research Ltd. v. Harris et al., </w:t>
      </w:r>
      <w:hyperlink r:id="rId173" w:history="1">
        <w:r>
          <w:rPr>
            <w:rFonts w:ascii="arial" w:eastAsia="arial" w:hAnsi="arial" w:cs="arial"/>
            <w:i/>
            <w:color w:val="0077CC"/>
            <w:sz w:val="20"/>
            <w:u w:val="single"/>
            <w:shd w:val="clear" w:color="auto" w:fill="FFFFFF"/>
            <w:lang w:val="en-US" w:eastAsia="en-US" w:bidi="ar-SA"/>
          </w:rPr>
          <w:t>[1982] 2 S.C.R. 774</w:t>
        </w:r>
      </w:hyperlink>
      <w:r>
        <w:rPr>
          <w:rFonts w:ascii="arial" w:eastAsia="arial" w:hAnsi="arial" w:cs="arial"/>
          <w:color w:val="000000"/>
          <w:sz w:val="20"/>
          <w:lang w:val="en-US" w:eastAsia="en-US" w:bidi="ar-SA"/>
        </w:rPr>
        <w:t>, a case involving two innocent parties where the defence of non est factum was excluded, as against the innocent third party, by the carelessness of the signer of the mortgage. In Marvco, the Supreme Court of Canada said at 785: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rationale of the rule [that parties are barred by carelessness from relying on non est factum] is simple and clear. As between an innocent party (the appellant) and the respondents, the law must take into account the fact that the appellant was completely innocent of any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carelessness or wrongdoing, whereas the respondents by their careless conduct have made it possible for the wrongdoers to inflict a loss. As between the appellant and the respondents, simple justice requires that the party, who by the application of reasonable care was in a position to avoid a loss to any of the parties, should bear any loss that results when the only alternative available to the courts would be to place the loss upon the innocent appellant. In the final analysis, therefore, the question raised cannot be put more aptly than in the words of Cartwright J. in Prudential, </w:t>
      </w:r>
      <w:hyperlink r:id="rId174" w:history="1">
        <w:r>
          <w:rPr>
            <w:rFonts w:ascii="arial" w:eastAsia="arial" w:hAnsi="arial" w:cs="arial"/>
            <w:i/>
            <w:color w:val="0077CC"/>
            <w:sz w:val="20"/>
            <w:u w:val="single"/>
            <w:shd w:val="clear" w:color="auto" w:fill="FFFFFF"/>
            <w:lang w:val="en-US" w:eastAsia="en-US" w:bidi="ar-SA"/>
          </w:rPr>
          <w:t>[1956] S.C.R. 914</w:t>
        </w:r>
      </w:hyperlink>
      <w:r>
        <w:rPr>
          <w:rFonts w:ascii="arial" w:eastAsia="arial" w:hAnsi="arial" w:cs="arial"/>
          <w:color w:val="000000"/>
          <w:sz w:val="20"/>
          <w:lang w:val="en-US" w:eastAsia="en-US" w:bidi="ar-SA"/>
        </w:rPr>
        <w:t xml:space="preserve"> at p. 929 S.C.R.: "... which of two innocent parties is to suffer for the fraud of a third". The two parties are innocent in the sense that they were not guilty of wrongdoing as against any other person, but as between the two innocent parties there remains a distinction significant in the law, namely, that the respondents, by their carelessness, have exposed the innocent appellant to risk of loss, and even though no duty in law was owed by the respondents to the appellant to safeguard the appellant from such loss, nonetheless the law must take this discarded opportunity into account.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petitioner had a validly registered charge long before the Zhous purchased. The loss arose from Mr. Wirick's failure to discharge the mortgage at the time of the purchase some six months later. One of the obvious difficulties with Mr. Clark's position is that he seeks to extend the principle in Marvco to a situation where the transactions are unrelated. The Zhous' loss did not occur in the same transaction as the petitioner's loan. There was no suggestion of a possible basis to suspect that the petitioner's carelessness exposed the Zhous to risk of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Mr. McLean argues that there is no authority which would allow the court to impose the burden of a third party's improper conduct on the petitioner where there have been no dealings and no contractual nexus between the petitioner and the respondents, Mr. and Mrs. Zhou.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As Mr. McLean argues, there is no fraud, nor is there any suggestion of fraud, in the transaction in which the petitioner was involved. It advanced funds to the registered owner of the lands and obtained registered mortgage security. There is no suggestion that the petitioner participated in a fraud nor is there any suggestion that the petitioner was involved in the transaction in which the Zhous acquired the property in April,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The application for judgment was brought under Rule 18. Several authorities were cited to me as to the test to be applied under Rule 18. In Bank of British Columbia v. Pickering et al. </w:t>
      </w:r>
      <w:r>
        <w:rPr>
          <w:rFonts w:ascii="arial" w:eastAsia="arial" w:hAnsi="arial" w:cs="arial"/>
          <w:i/>
          <w:color w:val="000000"/>
          <w:sz w:val="20"/>
          <w:lang w:val="en-US" w:eastAsia="en-US" w:bidi="ar-SA"/>
        </w:rPr>
        <w:t>(1983), 62 B.C.L.R. 136</w:t>
      </w:r>
      <w:r>
        <w:rPr>
          <w:rFonts w:ascii="arial" w:eastAsia="arial" w:hAnsi="arial" w:cs="arial"/>
          <w:color w:val="000000"/>
          <w:sz w:val="20"/>
          <w:lang w:val="en-US" w:eastAsia="en-US" w:bidi="ar-SA"/>
        </w:rPr>
        <w:t xml:space="preserve"> at 138, Taggart J.A.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There has been some suggestion in some of the authorities to which we were referred that there is a distinction to be drawn between what must be found in order to act under R. 18, the summary judgment rule, and that which must be found in order that the court may act under R. 52(11). I think the distinction is somewhat illusory. To me, I think the matter is stated as clearly as it can be stated by Seaton J.A. in the Skalbania case, </w:t>
      </w:r>
      <w:hyperlink r:id="rId175" w:history="1">
        <w:r>
          <w:rPr>
            <w:rFonts w:ascii="arial" w:eastAsia="arial" w:hAnsi="arial" w:cs="arial"/>
            <w:i/>
            <w:color w:val="0077CC"/>
            <w:sz w:val="20"/>
            <w:u w:val="single"/>
            <w:shd w:val="clear" w:color="auto" w:fill="FFFFFF"/>
            <w:lang w:val="en-US" w:eastAsia="en-US" w:bidi="ar-SA"/>
          </w:rPr>
          <w:t>[1982] B.C.J. No. 1489</w:t>
        </w:r>
      </w:hyperlink>
      <w:r>
        <w:rPr>
          <w:rFonts w:ascii="arial" w:eastAsia="arial" w:hAnsi="arial" w:cs="arial"/>
          <w:color w:val="000000"/>
          <w:sz w:val="20"/>
          <w:lang w:val="en-US" w:eastAsia="en-US" w:bidi="ar-SA"/>
        </w:rPr>
        <w:t>. There at p. 202 he said: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question has been stated in a number of ways: Is there no real substantial question to be tried? Is there no dispute as to facts or law which raises a reasonable doubt? Is it manifestly clear that the appellants are without a defence that deserves to be tried? Although cast in different terms, all point to the same inquiry, namely, is there a bona fide trible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In Montroyal Estates Ltd. v. D.J.C.A. Investments Ltd. et al. </w:t>
      </w:r>
      <w:hyperlink r:id="rId176" w:history="1">
        <w:r>
          <w:rPr>
            <w:rFonts w:ascii="arial" w:eastAsia="arial" w:hAnsi="arial" w:cs="arial"/>
            <w:i/>
            <w:color w:val="0077CC"/>
            <w:sz w:val="20"/>
            <w:u w:val="single"/>
            <w:shd w:val="clear" w:color="auto" w:fill="FFFFFF"/>
            <w:lang w:val="en-US" w:eastAsia="en-US" w:bidi="ar-SA"/>
          </w:rPr>
          <w:t>(1984), 55 B.C.L.R. 137</w:t>
        </w:r>
      </w:hyperlink>
      <w:r>
        <w:rPr>
          <w:rFonts w:ascii="arial" w:eastAsia="arial" w:hAnsi="arial" w:cs="arial"/>
          <w:color w:val="000000"/>
          <w:sz w:val="20"/>
          <w:lang w:val="en-US" w:eastAsia="en-US" w:bidi="ar-SA"/>
        </w:rPr>
        <w:t xml:space="preserve"> at 139, Lambert J.A.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essence, if the defendant is bound to lose, the application should be granted, but if he is not bound to lose, then the application should be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I think that the respondents are bound to fail as Madam Justice McLachlin, as she then was, noted in Royal Bank of Canada v. Rizkalla </w:t>
      </w:r>
      <w:hyperlink r:id="rId177" w:history="1">
        <w:r>
          <w:rPr>
            <w:rFonts w:ascii="arial" w:eastAsia="arial" w:hAnsi="arial" w:cs="arial"/>
            <w:i/>
            <w:color w:val="0077CC"/>
            <w:sz w:val="20"/>
            <w:u w:val="single"/>
            <w:shd w:val="clear" w:color="auto" w:fill="FFFFFF"/>
            <w:lang w:val="en-US" w:eastAsia="en-US" w:bidi="ar-SA"/>
          </w:rPr>
          <w:t>(1984), 50 C.P.C. 292</w:t>
        </w:r>
      </w:hyperlink>
      <w:r>
        <w:rPr>
          <w:rFonts w:ascii="arial" w:eastAsia="arial" w:hAnsi="arial" w:cs="arial"/>
          <w:color w:val="000000"/>
          <w:sz w:val="20"/>
          <w:lang w:val="en-US" w:eastAsia="en-US" w:bidi="ar-SA"/>
        </w:rPr>
        <w:t xml:space="preserve"> (B.C.S.C.) at 294: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is no dispute as to the legal principles which should guide this court in determining whether the petitioner's claim should be referred for trial. Unless it is manifestly clear that the mortgagors are without a defence that deserves to be tried, their application to place the matter on the trial list should be granted: .... When the affidavit material contains evidentiary conflicts, a trial is warranted if:</w:t>
      </w:r>
    </w:p>
    <w:p>
      <w:pPr>
        <w:numPr>
          <w:numId w:val="5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are facts in dispute;</w:t>
      </w:r>
    </w:p>
    <w:p>
      <w:pPr>
        <w:numPr>
          <w:numId w:val="5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resolution of those facts would determine the outcome of an issue in dispute;</w:t>
      </w:r>
    </w:p>
    <w:p>
      <w:pPr>
        <w:numPr>
          <w:numId w:val="5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resolution of the issue will determine the outcome of the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state of title certificate indicates that the foreclosing petitioner's mortgage was registered on August 31, 2001, and the Zhous' application for registration as joint tenants was received on April 9, 2002. Accordingly, the petitioner had a validly registered mortgage six months before the Zhous purchased the property. The respondent owners have not filed any material that, to my mind, suggests a possible defence, or that cross-examination or discovery might reveal a possible defence to the petitioner's mortgage.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Accordingly, I conclude that the respondents' possible defence of the foreclosure action is bound to fail and that no purpose would be served in referring the matter to the trial list or permitting cross-examination or examinations for discovery.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question becomes whether I should grant a stay for some period or an order nisi with a lengthy redemption period, to allow this owner, and others in similar circumstances, to advance their claims through the Special Compensation Fund committee. In this case, it is acknowledged by the petitioner that the respondents, the current registered owners of the property, are innocent purchasers.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Given that the Special Compensation Fund is in the process of considering claims of innocent purchasers, one reasonable factor to consider is whether a stay will potentially reduce legal costs. I expect that is not a significant factor as the Law Society will probably require detailed information from mortgagees in any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Given my conclusion in this case that the petitioner is entitled at law to enforce its mortgage, rather than granting a three month stay, it may be more appropriate in these circumstances to refuse the stay and to grant an order nisi with a longer than usual redemption period. Rather than a six month redemption period, I would fix a nine month redemption period, and in this case not grant an order for sale to the petitioner during the course of that redemption period, as suggested by the solicitor for the foreclosing 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During any redemption period, the Zhous must, if requested, provide the petitioner's solicitor with reports on the progress of their Special Fund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 decline to grant a three month stay, but rather grant an order nisi, without personal judgment against the Zhous, with a nine month redemption period. This longer redemption period should allow the Special Fund Committee time to consider the Zhous' claim before the usual six month time period begins.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 think this order does justice between the parties in these unfortunate circumstances. The petitioner has shown that it has not been paid and is entitled to enforce its still-valid security. The innocent purchaser, hopefully, has an opportunity to make and complete its claim to the Special Compensation Fund before the usual six month redemption period begins. I consider this order to be the most expeditious and least costly manner of beginning to resolve this difficult situation.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In this case, I will not grant an order for sale until the expiration of the redemption period. Whether that is appropriate in other circumstances, of course, depends on the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 understand that the owners are making the payments and are current with the mortgage in favour of Vancouver City Savings Credit Union, the mortgage that I understand that they expected would be their first mortgage against title.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It is my expectation that this case and similar cases can be considered by the Special Compensation Fund over the next three months. It is my expectation that I will make similar orders in other foreclosure proceedings involving innocent purchasers. Provided homeowners are advised of possible proceedings and of the possibility of a claim to the Law Society Special Fund, I would anticipate that in three months from now I will fix six month redemption periods for any foreclosures of innocent purchasers that remain unresolved.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SIGURDSON J.</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CORRIGENDUM</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Released: January 17,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 My reasons for judgment dated December 4, 2002 are hereby amended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page 2 of the judgment, an appearance for The Bank of Nova Scotia by E.N. Kornfeld should be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SIGURDSON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63" style="position:absolute;z-index:25170534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78"/>
          <w:headerReference w:type="default" r:id="rId179"/>
          <w:footerReference w:type="even" r:id="rId180"/>
          <w:footerReference w:type="default" r:id="rId181"/>
          <w:headerReference w:type="first" r:id="rId182"/>
          <w:footerReference w:type="first" r:id="rId18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84" w:history="1">
        <w:r>
          <w:rPr>
            <w:rFonts w:ascii="arial" w:eastAsia="arial" w:hAnsi="arial" w:cs="arial"/>
            <w:b/>
            <w:bCs/>
            <w:i/>
            <w:color w:val="0077CC"/>
            <w:kern w:val="32"/>
            <w:sz w:val="28"/>
            <w:szCs w:val="32"/>
            <w:u w:val="single"/>
            <w:shd w:val="clear" w:color="auto" w:fill="FFFFFF"/>
            <w:lang w:val="en-US" w:eastAsia="en-US" w:bidi="ar-SA"/>
          </w:rPr>
          <w:t>Wright v. Becker, [2018] B.C.J. No. 515</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Kamloops,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Master R. McDiarmid</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February 27, 2018.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March 21, 2018.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S52416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Kamloops</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[2018] B.C.J. No. 515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2018 BCSC 451</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Shawna Marie Wright, Plaintiff, and Carl Becker, Donna Becker and Her Majesty the Queen in Right of the Province of British Columbia as represented by the Ministry of Children and Family Development, Defendant, and Carl Becker and Donna Becker, Third Parties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(48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64" style="position:absolute;z-index:25166643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56" w:name="Keywords_7"/>
      <w:bookmarkEnd w:id="56"/>
      <w:r>
        <w:rPr>
          <w:rFonts w:ascii="arial" w:eastAsia="arial" w:hAnsi="arial" w:cs="arial"/>
          <w:b/>
          <w:color w:val="000000"/>
          <w:sz w:val="20"/>
          <w:lang w:val="en-US" w:eastAsia="en-US" w:bidi="ar-SA"/>
        </w:rPr>
        <w:t>Civil litigation — Civil procedure — Discovery — Production and inspection of documents — Privileged documents — Confidential or private communications — Scope — Production by non-parties — Application by Province for order requiring Kamloops Sexual Assault Counselling Centre to provide documents in respect of plaintiff to plaintiff's solicitor dismissed — Plaintiff had attended Centre for counselling — Centre's records were documents of questionable relevance or which contained information available from other sources and were privileged — Plaintiff was to attend Centre to ascertain dates she attended for counselling and provide those dates to other parties — Supreme Court Civil Rules, Rule 7-1(18).</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57" w:name="Case Summary_6"/>
            <w:bookmarkEnd w:id="57"/>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Province for an order requiring the Kamloops Sexual Assault Counselling Centre to provide documents in respect of the plaintiff to the plaintiff's solicitor. The plaintiff claimed damages against the Province for placing her back in her father's residence after she disclosed repeated sexual abuse by him. She had received counselling at the Centre. She did not object to disclosure of the Centre's records. The Centre refused to produce the records on the basis of confidentiality. Its clients, including the plaintiff, signed an agreement that all records were the property of the Centre and would be kept confidential.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58" w:name="Holdings of Court_5"/>
            <w:bookmarkEnd w:id="58"/>
            <w:r>
              <w:rPr>
                <w:rFonts w:ascii="arial" w:eastAsia="arial" w:hAnsi="arial" w:cs="arial"/>
                <w:color w:val="000000"/>
                <w:sz w:val="20"/>
                <w:lang w:val="en-US" w:eastAsia="en-US" w:bidi="ar-SA"/>
              </w:rPr>
              <w:t>HELD: Application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Centre's records were documents of questionable relevance or which contained information available from other sources and were privileged. The plaintiff was to attend the Centre to ascertain the dates she attended for counselling and provide those dates to the other parties.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59" w:name="Legislation Cited_6"/>
      <w:bookmarkEnd w:id="59"/>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65" style="position:absolute;z-index:25167667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Labour Relations Code, s. 100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Supreme Court Civil Rules, </w:t>
      </w:r>
      <w:r>
        <w:rPr>
          <w:rFonts w:ascii="arial" w:eastAsia="arial" w:hAnsi="arial" w:cs="arial"/>
          <w:i/>
          <w:color w:val="000000"/>
          <w:sz w:val="20"/>
          <w:lang w:val="en-US" w:eastAsia="en-US" w:bidi="ar-SA"/>
        </w:rPr>
        <w:t>B.C. Reg. 168/2009, Rule 7-1</w:t>
      </w:r>
      <w:r>
        <w:rPr>
          <w:rFonts w:ascii="arial" w:eastAsia="arial" w:hAnsi="arial" w:cs="arial"/>
          <w:color w:val="000000"/>
          <w:sz w:val="20"/>
          <w:lang w:val="en-US" w:eastAsia="en-US" w:bidi="ar-SA"/>
        </w:rPr>
        <w:t>, Rule 7-1(9), Rule 7-1(10), Rule 7-1(11), Rule 7-1(12), Rule 7-1(18), Rule 22-1(7)</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60" w:name="Counsel_7"/>
      <w:bookmarkEnd w:id="60"/>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66" style="position:absolute;z-index:25168691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Counsel for the Plaintiff: Hughes.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 Counsel for the Defendant, Her Majesty the Queen in Right of the Province of British Columbia as represented by the Ministry of Children and Family Development : Dalmyn.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and Third Parties, Carl Becker and Donna Becker: N. Parhar.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Kamloops Sexual Assault and Counselling Center: G. Allison.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61" w:name="Judgment_7"/>
      <w:bookmarkEnd w:id="61"/>
      <w:r>
        <w:pict>
          <v:line id="_x0000_s1067" style="position:absolute;z-index:25169715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70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62" w:name="MASTER R. McDIARMID"/>
            <w:bookmarkEnd w:id="62"/>
            <w:r>
              <w:rPr>
                <w:rFonts w:ascii="arial" w:eastAsia="arial" w:hAnsi="arial" w:cs="arial"/>
                <w:b/>
                <w:color w:val="000000"/>
                <w:sz w:val="30"/>
                <w:lang w:val="en-US" w:eastAsia="en-US" w:bidi="ar-SA"/>
              </w:rPr>
              <w:t>MASTER R. McDIARMID</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This is an application by the defendant, Her Majesty the Queen in right of the Province of British Columbia (the "Applicant") under Rule 7-1(18)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B.C. Reg. 168/2009</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Civil Rules</w:t>
      </w:r>
      <w:r>
        <w:rPr>
          <w:rFonts w:ascii="arial" w:eastAsia="arial" w:hAnsi="arial" w:cs="arial"/>
          <w:color w:val="000000"/>
          <w:sz w:val="20"/>
          <w:lang w:val="en-US" w:eastAsia="en-US" w:bidi="ar-SA"/>
        </w:rPr>
        <w:t>] for an order requiring the Kamloops Sexual Assault Counselling [Centre] ("KSACC") to provide copies of documents in their possession or power in respect of the plaintiff to the plaintiff's solicitor forthwith and then an order under Rule 7-1(9), (10), (11) and (12) requiring the plaintiff to list, disclose and provide copies of the documents to be obtained from KSACC forthwith.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Applicant also sought an order striking as against the Applicant the claims for aggravated and punitive damages in paragraphs 2 and 3 of Part 3 of the Amended Notice of Civil Claim ("Amended Notice") and costs against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In her Response filed by counsel on her behalf, the plaintiff took no position with respect to the application for documents from KSACC and consented to striking the claims for aggravated punitive damages with the condition, which was acceptable to the Applicant, that there be no costs of this applicant. That order was made at the hearing.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At the hearing, there was also an application regarding production of non-party records from Greg Schriver, doing business as the Community Counselling Connections, and all persons carrying on business as affiliate counsellors under the business name Community Counselling Connections. Mr. Schriver attended, advised that he had no dealings with the plaintiff, had no records and, to the best of his knowledge, no one connected with Community Counselling Connections had seen the plaintiff. Accordingly, the application for documents from Mr. Schriver was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KSACC objected to providing the documents being sought.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On January 12, 2016, the plaintiff filed a Notice of Civil Claim ("Notice"), subsequently amended on October 30, 2017. The Notice pleads that the plaintiff, presently 42 years of age, was, as a child, sexually assaulted and battered by her father. The acts of sexual abuse are particularized in the Amended Notice. The Amended Notice outlines allegations of repetitive sexual abuse commencing when the plaintiff was a child. The Amended Notice then alleges that it was then the Ministry of Family and Children Services (the "Ministry") apprehended the plaintiff and placed her into a foster home on February 1, 1988, but four days later, on February 5, 1988, placed the plaintiff back in the residence with her father.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Notice then pleads further actions by the Ministry in 1988 resulting ultimately in the Ministry allowing the plaintiff's father to move back to the residence full-time on the condition that the plaintiff's wife, the other personal defendant (not the plaintiff's mother), supervise access between the plaintiff and her father.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The Amended Notice alleges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Applicant. It alleges that as a direct result of the injuries suffered by the plaintiff, which have arisen from the actions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defendants and each of them, the plaintiff has suffered physical and psychological damage which is particularized in the Notice and includes post-traumatic stress disorder, depression, anxiety, difficulties with inter-personal relationships, sexual dysfunction, guilt, humiliation and embarrassment, lack of trust, lack of self-esteem, suicide ideation and attempt, and other particularizations of her alleged damages. The plaintiff seeks general damages, special damages for increased cost of care, aggravated damages and punitive damages, amongst other heads of relief sought.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legal basis for her claim against the Applicant is that the Applicant owed a statutory duty of care to the plaintiff and was negligent and failed to protect the plaintiff. This allegation is particularized in the Notice.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In the Factual Basis of its Notice of Application, the Applicant sets out at paragraphs 3, 4 and 6 the following:</w:t>
      </w:r>
      <w:r>
        <w:rPr>
          <w:rFonts w:ascii="arial" w:eastAsia="arial" w:hAnsi="arial" w:cs="arial"/>
          <w:sz w:val="20"/>
          <w:lang w:val="en-US" w:eastAsia="en-US" w:bidi="ar-SA"/>
        </w:rPr>
        <w:cr/>
      </w:r>
    </w:p>
    <w:p>
      <w:pPr>
        <w:numPr>
          <w:numId w:val="6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has not disclosed records of treatment or assessment by a psychiatrist or a psychologist. The plaintiff listed her general medical practitioner's clinical records in her List of Documents.</w:t>
      </w:r>
    </w:p>
    <w:p>
      <w:pPr>
        <w:numPr>
          <w:numId w:val="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She did not list the records of the persons she saw for counselling. She agreed to make enquiries for records upon request during her examination for discovery by counsel defendants C.B. and D.B. in July 2017. The plaintiff, in answering questions 663-683 and request 4 (p. 20) on her examination did not identify the person or persons she saw at Community Counselling Connections or at Kamloops Sexual Assault Counselling [Centre]. The plaintiff followed up on request 4 in her July 2017 exam with letters from her counsel in September and October, 2017. The plaintiff's solicitor provided letters from the non-parties: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2195"/>
        <w:gridCol w:w="2614"/>
        <w:gridCol w:w="460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215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Community</w:t>
            </w:r>
          </w:p>
        </w:tc>
        <w:tc>
          <w:tcPr>
            <w:tcW w:w="256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September 15,</w:t>
            </w:r>
          </w:p>
        </w:tc>
        <w:tc>
          <w:tcPr>
            <w:tcW w:w="450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Greg H.</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215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Counselling</w:t>
            </w:r>
          </w:p>
        </w:tc>
        <w:tc>
          <w:tcPr>
            <w:tcW w:w="256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2017</w:t>
            </w:r>
          </w:p>
        </w:tc>
        <w:tc>
          <w:tcPr>
            <w:tcW w:w="450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Schriver</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215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Connections</w:t>
            </w:r>
          </w:p>
        </w:tc>
        <w:tc>
          <w:tcPr>
            <w:tcW w:w="256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50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215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Kamloops Sexual</w:t>
            </w:r>
          </w:p>
        </w:tc>
        <w:tc>
          <w:tcPr>
            <w:tcW w:w="256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October 4, 2017</w:t>
            </w:r>
          </w:p>
        </w:tc>
        <w:tc>
          <w:tcPr>
            <w:tcW w:w="450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Charlene Eden</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215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Assault</w:t>
            </w:r>
          </w:p>
        </w:tc>
        <w:tc>
          <w:tcPr>
            <w:tcW w:w="256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50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215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Counselling</w:t>
            </w:r>
          </w:p>
        </w:tc>
        <w:tc>
          <w:tcPr>
            <w:tcW w:w="256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50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215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[Centre]</w:t>
            </w:r>
          </w:p>
        </w:tc>
        <w:tc>
          <w:tcPr>
            <w:tcW w:w="256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50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215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("KSACC")</w:t>
            </w:r>
          </w:p>
        </w:tc>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50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Ms. Eden of KSACC said: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...KSACC does not provide confirmation of client attendance or counselling records to others including for third party matters such as court. All individuals who access our Centre are informed of KSACC's policy that due to the confidential nature of counselling and to protect the safety of all client files, KSACC does not get involved in third party matters including court cases. All clients who are provided service are aware of this policy and by accessing our service, agree to these terms of service and agree to not attempt to involve us in third party issues at a later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In its Response, KSACC, at paragraphs 10-18, sets out the following:</w:t>
      </w:r>
      <w:r>
        <w:rPr>
          <w:rFonts w:ascii="arial" w:eastAsia="arial" w:hAnsi="arial" w:cs="arial"/>
          <w:sz w:val="20"/>
          <w:lang w:val="en-US" w:eastAsia="en-US" w:bidi="ar-SA"/>
        </w:rPr>
        <w:cr/>
      </w:r>
    </w:p>
    <w:p>
      <w:pPr>
        <w:numPr>
          <w:numId w:val="4"/>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KSACC maintains records in relation to its interactions with clients. KSACC maintains notes to assist in providing support to clients. KSACC does not make notes for the purposes of providing a "record" of what occurred.</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notes often contain highly personal and sensitive information. However, the notes are not a verbatim transcript of statements made in the course of an appointment and may be misleading if read or interpreted outside of the support relationship. Often, notes are made for the purposes of KSACC and its staff, and may not reproduce exactly what was said in an appointment.</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Each client agrees that the records KSACC maintains, and the contents of the records, are the property of KSACC.</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core to the relationship between KSACC and its clients is confidentiality.</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Clients at their most vulnerable need to feel secure that they can freely discuss their fears in a safe, secure and confidential environment. KSACC states openly that its services are confidential. To successfully assist a woman, KSACC must ensure that the woman can trust KSACC.</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every intake, KSACC assures its clients that the services it provides are confidential. KSACC informs its clients verbally that its services are confidential; that their personal information is protected; and that, with the exception of KSACC's community based victim services, KSACC does not get involved in court proceedings.</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KSACC's client consent form and client information form, KSACC has clients sign that they understand the confidential nature of KSACC's services and that they will not expect KSACC to take a position on their behalf in third party applications. Consequently, even if the client wants to have the records disclosed in a court proceeding, KSACC will not agree.</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KSACC could not be effective if the confidentiality of its services and the work it does with individual clients is not protected. KSACC would not be able to offer support effectively. This is particularly so when KSACC is dealing with child who have been abused. Clients who have a history of significant childhood adversity, abuse, or interpersonal trauma often find it extremely difficult to trust counsellors. Any disclosure of information pertaining to the confidential relationship can not only undermine the counselling relationship, but also have negative implications for a client's ability to trust counsellors and other healthcare providers in the future.</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KSACC's confidentiality cannot be adequately protected, KSACC cannot gain the trust of its clients, particularly its young client. In turn, KSACC cannot offer them effective support.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In responding to the application, KSACC filed an Affidavit of Charlene A. Eden, the agency coordinator for KSACC. Her Affidavit deposes to the facts set out in KSACC's response. She deposes to the history and background of the deponent, the nature of KSACC, the work done by KSACC, the work with individual victims and their dealings with the police, its work in the equality movement, a description of its clients and then sets out details with respect to KSACC's records and the importance of confidentiality in respect of its operations.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Paragraphs 13 and 14 of Ms. Eden's Affidavit are as follows:</w:t>
      </w:r>
      <w:r>
        <w:rPr>
          <w:rFonts w:ascii="arial" w:eastAsia="arial" w:hAnsi="arial" w:cs="arial"/>
          <w:sz w:val="20"/>
          <w:lang w:val="en-US" w:eastAsia="en-US" w:bidi="ar-SA"/>
        </w:rPr>
        <w:cr/>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services provided by KSACC to clients are often highly intimate and private. Clients sometimes ask KSACC people to be present during the collection of evidence for a sexual assault forensic kit. Clients often disclose secrets () or the effects of abuse (). Clients' secrets often relate to their sexual history, such as a history of sexual abuse.</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KSACC staff, however, are not clinicians. We do not diagnose clients or conduct medical assessments.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Paragraphs 24-26 are under the heading "KSACC'S RECORDS", and are as follows:</w:t>
      </w:r>
      <w:r>
        <w:rPr>
          <w:rFonts w:ascii="arial" w:eastAsia="arial" w:hAnsi="arial" w:cs="arial"/>
          <w:sz w:val="20"/>
          <w:lang w:val="en-US" w:eastAsia="en-US" w:bidi="ar-SA"/>
        </w:rPr>
        <w:cr/>
      </w:r>
    </w:p>
    <w:p>
      <w:pPr>
        <w:numPr>
          <w:numId w:val="1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KSACC maintains records in relation to its interactions with clients. We maintain notes to assist in providing support to our clients. We do not make notes for the purposes of providing a "record" of what occurred.</w:t>
      </w:r>
    </w:p>
    <w:p>
      <w:pPr>
        <w:numPr>
          <w:numId w:val="1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notes often contain highly personal and sensitive information. However, the notes are not a verbatim transcript of statements made in the course of an appointment and may be misleading if read or interpreted outside of the support relationship. Often, notes are made for the purposes of KSACC and its staff, and may not reproduce exactly what was said in an appointment.</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Each client agrees that the records KSACC maintains, and the contents of the records, are the property of KSACC. Now shown to me and marked as Exhibit "A" to this affidavit is a copy of KSACC's client consent form and client information form that each client signs.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Under the heading "IMPORTANCE OF CONFIDENTIALITY", Ms. Eden deposes as follows:</w:t>
      </w:r>
      <w:r>
        <w:rPr>
          <w:rFonts w:ascii="arial" w:eastAsia="arial" w:hAnsi="arial" w:cs="arial"/>
          <w:sz w:val="20"/>
          <w:lang w:val="en-US" w:eastAsia="en-US" w:bidi="ar-SA"/>
        </w:rPr>
        <w:cr/>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core to the relationship between KSACC and its clients is confidentiality.</w:t>
      </w:r>
    </w:p>
    <w:p>
      <w:pPr>
        <w:numPr>
          <w:numId w:val="2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Clients at their most vulnerable need to feel secure that they can freely discuss their fears in a safe, secure and confidential environment. KSACC states openly that its services are confidential. To successfully assist a woman, KSACC must ensure that the woman can trust KSACC.</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every intake, we assure our clients that the services we provide are confidential. We inform our clients verbally that our services are confidential; that their personal information is protected; and that, with the exception of our community based victim services, we do not get involved in court proceedings.</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our client consent form and client information form, we have clients sign that they understand the confidential nature of our services and that they will not expect KSACC to take a position on their behalf in third party applications. Consequently, even if the client wants to have the records disclosed in a court proceeding, KSACC will not agree.</w:t>
      </w:r>
    </w:p>
    <w:p>
      <w:pPr>
        <w:numPr>
          <w:numId w:val="2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KSACC could not be effective if the confidentiality of its services and the work it does with individual clients is not protected. We would not be able to offer support effectively. This is particularly so when we are dealing with children who have been abused. Clients who have a history of significant childhood adversity, abuse, or interpersonal trauma often find it extremely difficult to trust counsellors. Any disclosure of information pertaining to the confidential relationship can not only undermine the counselling relationship, but also have negative implications for a client's ability to trust counsellors and other healthcare providers in the future.</w:t>
      </w:r>
    </w:p>
    <w:p>
      <w:pPr>
        <w:numPr>
          <w:numId w:val="2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our confidentiality cannot be adequately protected, we cannot gain the trust of our clients, particularly our young clients. In turn, we cannot offer them effective support.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Paragraph 33 of Ms. Eden's Affidavit is as follows:</w:t>
      </w:r>
      <w:r>
        <w:rPr>
          <w:rFonts w:ascii="arial" w:eastAsia="arial" w:hAnsi="arial" w:cs="arial"/>
          <w:sz w:val="20"/>
          <w:lang w:val="en-US" w:eastAsia="en-US" w:bidi="ar-SA"/>
        </w:rPr>
        <w:cr/>
      </w:r>
    </w:p>
    <w:p>
      <w:pPr>
        <w:numPr>
          <w:numId w:val="2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have read the reasons for judgment in the case of </w:t>
      </w:r>
      <w:r>
        <w:rPr>
          <w:rFonts w:ascii="arial" w:eastAsia="arial" w:hAnsi="arial" w:cs="arial"/>
          <w:i/>
          <w:color w:val="000000"/>
          <w:sz w:val="20"/>
          <w:lang w:val="en-US" w:eastAsia="en-US" w:bidi="ar-SA"/>
        </w:rPr>
        <w:t>R. v. Akumu</w:t>
      </w:r>
      <w:r>
        <w:rPr>
          <w:rFonts w:ascii="arial" w:eastAsia="arial" w:hAnsi="arial" w:cs="arial"/>
          <w:color w:val="000000"/>
          <w:sz w:val="20"/>
          <w:lang w:val="en-US" w:eastAsia="en-US" w:bidi="ar-SA"/>
        </w:rPr>
        <w:t xml:space="preserve">, </w:t>
      </w:r>
      <w:hyperlink r:id="rId185" w:history="1">
        <w:r>
          <w:rPr>
            <w:rFonts w:ascii="arial" w:eastAsia="arial" w:hAnsi="arial" w:cs="arial"/>
            <w:i/>
            <w:color w:val="0077CC"/>
            <w:sz w:val="20"/>
            <w:u w:val="single"/>
            <w:shd w:val="clear" w:color="auto" w:fill="FFFFFF"/>
            <w:lang w:val="en-US" w:eastAsia="en-US" w:bidi="ar-SA"/>
          </w:rPr>
          <w:t>2016 BCSC 2500</w:t>
        </w:r>
      </w:hyperlink>
      <w:r>
        <w:rPr>
          <w:rFonts w:ascii="arial" w:eastAsia="arial" w:hAnsi="arial" w:cs="arial"/>
          <w:color w:val="000000"/>
          <w:sz w:val="20"/>
          <w:lang w:val="en-US" w:eastAsia="en-US" w:bidi="ar-SA"/>
        </w:rPr>
        <w:t xml:space="preserve"> and, in particular, paras. 26 and 27:</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[26] Ms. Russell deposed that V.R.R. offers callers "a refuge, a sanctuary, a place where they can temporarily escape from the violent men in their lives, and where they can plan a future." In some cases, V.R.R. will work with a woman in an advocacy role, for example, assisting her in her interactions with police. She described confidentiality as "the core to the relationship between Rape Relief and its callers":</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Women at their most vulnerable need to feel secure that they can freely discuss their fears in a safe, secure and confidential environment. Rape Relief states openly that its services are confidential. To successfully assist a woman, Rape Relief must ensure that the woman can trust Rape Relief and be safe in that environment.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[27] Ms. Russell added that V.R.R. could not function if the confidentiality of its services and the work it does with individual callers is not protected:</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First, there would be significant harm to individual callers. Women who come to the rape crisis centre rely on the confidential nature of the relation. A woman would not be able to feel safe in the transition house if her communications could not be kept confidential from the man who assaulted her. She would not be able to receive the help she needs. She will be silenced and re-victimised; for which Rape Relief would be partially culpable.</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Second, there would be significant harm to Rape Relief and its integrity as an organization. Rape Relief would not be in a position to offer a safe and supportive environment to its callers. Rape Relief will have to tell its callers that even though the woman is at her most vulnerable, Rape Relief cannot be sure that her private thoughts will remain confidential from the man who assaulted her. Alternatively, Rape Relief may have to tell a woman that she is safe and supported so long as she does not discuss what happened to her.</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There is a further harm to Rape Relief as an organisation. Rape Relief is a well-recognized equality-seeking group. In that role, Rape Relief works to hold police, government and agents of the state accountable for actions towards women. In its work, Rape Relief relies heavily on women being willing to come forward to share their experiences in a safe and confidential environment. Women will not come forward if confidentiality could not be guaranteed. Rape Reliefs work in advocating equality for women will be undermined.</w:t>
      </w:r>
    </w:p>
    <w:p>
      <w:pPr>
        <w:numPr>
          <w:numId w:val="2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 adopt Ms. Russell's evidence regarding the harms to our clients and to KSACC if the confidentiality of our records is not maintained.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Counsel for the Applicant objected to this portion of the Affidavit. He objected on the basis that this was argument in the guise of evidence. His objection is well-founded. However, paragraph 34 of Ms. Eden's Affidavit is basically a re-statement of Ms. Eden's belief that confidentiality is the core to the relationship between KSACC and its clients, her belief that KSACC could not function if confidentiality of its services and the work it does with individuals is not protected and her belief that women would not come forward if confidentiality could not be guaranteed and thus KSACC's work in advocating would be undermined.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To the extent that those paragraphs are argument, I accept the Applicant counsel's objection and disregard the attempt to pose to argument as fact. Ms. Eden's belief assists in determining the relevance of the notes and whether privilege attaches to communications between the plaintiff and KSACC's counsellors.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APPLICABLE LEGAL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A.M. v. Ryan</w:t>
      </w:r>
      <w:r>
        <w:rPr>
          <w:rFonts w:ascii="arial" w:eastAsia="arial" w:hAnsi="arial" w:cs="arial"/>
          <w:color w:val="000000"/>
          <w:sz w:val="20"/>
          <w:lang w:val="en-US" w:eastAsia="en-US" w:bidi="ar-SA"/>
        </w:rPr>
        <w:t xml:space="preserve"> </w:t>
      </w:r>
      <w:hyperlink r:id="rId186" w:history="1">
        <w:r>
          <w:rPr>
            <w:rFonts w:ascii="arial" w:eastAsia="arial" w:hAnsi="arial" w:cs="arial"/>
            <w:i/>
            <w:color w:val="0077CC"/>
            <w:sz w:val="20"/>
            <w:u w:val="single"/>
            <w:shd w:val="clear" w:color="auto" w:fill="FFFFFF"/>
            <w:lang w:val="en-US" w:eastAsia="en-US" w:bidi="ar-SA"/>
          </w:rPr>
          <w:t>[1997] 1 S.C.R. 157</w:t>
        </w:r>
      </w:hyperlink>
      <w:r>
        <w:rPr>
          <w:rFonts w:ascii="arial" w:eastAsia="arial" w:hAnsi="arial" w:cs="arial"/>
          <w:color w:val="000000"/>
          <w:sz w:val="20"/>
          <w:lang w:val="en-US" w:eastAsia="en-US" w:bidi="ar-SA"/>
        </w:rPr>
        <w:t xml:space="preserve"> was an appeal from the British Columbia Court of Appeal which partially allowed Dr. Parfitt's appeal from a judge's decision which affirmed a Master's Order ordering the respondent, Dr. Parfitt to produce a copy of records relating to the appellant. Sitting in a seven-judge panel, the Supreme Court of Canada dismissed the appeal with McLachlin J., as she then was, writing the decision concurred by La Forest, Sopinka, Cory, Iacobucci and Major J.J., L'Heureux-Dubé J. dissenting. There were three preliminary issues, one of which is of particular importance to this application and is dealt with by McLachlin J. at para. 18: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[18] A third preliminary issue concerns the distinction between absolute or blanket privilege, on the one hand, and partial privilege on the other. While the traditional common law categories conceived privilege as an absolute, all-or-nothing proposition, more recent jurisprudence recognizes the appropriateness in many situations of partial privilege. The degree of protection conferred by the privilege may be absolute or partial, depending on what is required to strike the proper balance between the interest in protecting the communication from disclosure and the interest in proper disposition of the litigation. Partial privilege may signify that only some of the documents in a given class must be produced. Documents should be considered individually or by sub-groups on a "case-by-case"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In setting out general principles, at para. 19-21, McLachlin J. writes: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[19]. The common law principles underlying the recognition of privilege from disclosure are simply stated. They proceed from the fundamental proposition that everyone owes a general duty to give evidence relevant to the matter before the court, so that the truth may be ascertained. To this fundamental duty, the law permits certain exceptions, known as privileges, where it can be shown that they are required by a "public good transcending the normally predominant principle of utilizing all rational means for ascertaining truth": Trammel v. United States, 445 U.S. 40 (1980), at p. 50.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 While the circumstances giving rise to a privilege were once thought to be fixed by categories defined in previous centuries -- categories that do not include communications between a psychiatrist and her patient -- it is now accepted that the common law permits privilege in new situations where reason, experience and application of the principles that underlie the traditional privileges so dictate: Slavutych v. Baker, </w:t>
      </w:r>
      <w:hyperlink r:id="rId187" w:history="1">
        <w:r>
          <w:rPr>
            <w:rFonts w:ascii="arial" w:eastAsia="arial" w:hAnsi="arial" w:cs="arial"/>
            <w:i/>
            <w:color w:val="0077CC"/>
            <w:sz w:val="20"/>
            <w:u w:val="single"/>
            <w:shd w:val="clear" w:color="auto" w:fill="FFFFFF"/>
            <w:lang w:val="en-US" w:eastAsia="en-US" w:bidi="ar-SA"/>
          </w:rPr>
          <w:t>[1976] 1 S.C.R. 254</w:t>
        </w:r>
      </w:hyperlink>
      <w:r>
        <w:rPr>
          <w:rFonts w:ascii="arial" w:eastAsia="arial" w:hAnsi="arial" w:cs="arial"/>
          <w:color w:val="000000"/>
          <w:sz w:val="20"/>
          <w:lang w:val="en-US" w:eastAsia="en-US" w:bidi="ar-SA"/>
        </w:rPr>
        <w:t xml:space="preserve">; R. v. Gruenke, </w:t>
      </w:r>
      <w:r>
        <w:rPr>
          <w:rFonts w:ascii="arial" w:eastAsia="arial" w:hAnsi="arial" w:cs="arial"/>
          <w:i/>
          <w:color w:val="000000"/>
          <w:sz w:val="20"/>
          <w:lang w:val="en-US" w:eastAsia="en-US" w:bidi="ar-SA"/>
        </w:rPr>
        <w:t>[1991] 3 S.C.R. 263</w:t>
      </w:r>
      <w:r>
        <w:rPr>
          <w:rFonts w:ascii="arial" w:eastAsia="arial" w:hAnsi="arial" w:cs="arial"/>
          <w:color w:val="000000"/>
          <w:sz w:val="20"/>
          <w:lang w:val="en-US" w:eastAsia="en-US" w:bidi="ar-SA"/>
        </w:rPr>
        <w:t>, at p. 286. The applicable principles are derived from those set forth in Wigmore on Evidence, vol. 8 (McNaughton rev. 1961), sec. 2285. First, the communication must originate in a confidence. Second, the confidence must be essential to the relationship in which the communication arises. Third, the relationship must be one which should be "sedulously fostered" in the public good. Finally, if all these requirements are met, the court must consider whether the interests served by protecting the communications from disclosure outweigh the interest in getting at the truth and disposing correctly of the litigation.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[21] It follows that the law of privilege may evolve to reflect the social and legal realities of our time. One such reality is the law's increasing concern with the wrongs perpetrated by sexual abuse and the serious effect such abuse has on the health and productivity of the many members of our society it victimizes. Another modern reality is the extension of medical assistance from treatment of its physical effects to treatment of its mental and emotional aftermath through techniques such as psychiatric counselling. Yet another development of recent vintage which may be considered in connection with new claims for privilege is the Canadian Charter of Rights and Freedoms, adopted in 1982: RWDSU v. Dolphin Delivery Ltd., </w:t>
      </w:r>
      <w:hyperlink r:id="rId188" w:history="1">
        <w:r>
          <w:rPr>
            <w:rFonts w:ascii="arial" w:eastAsia="arial" w:hAnsi="arial" w:cs="arial"/>
            <w:i/>
            <w:color w:val="0077CC"/>
            <w:sz w:val="20"/>
            <w:u w:val="single"/>
            <w:shd w:val="clear" w:color="auto" w:fill="FFFFFF"/>
            <w:lang w:val="en-US" w:eastAsia="en-US" w:bidi="ar-SA"/>
          </w:rPr>
          <w:t>[1986] 2 S.C.R. 573</w:t>
        </w:r>
      </w:hyperlink>
      <w:r>
        <w:rPr>
          <w:rFonts w:ascii="arial" w:eastAsia="arial" w:hAnsi="arial" w:cs="arial"/>
          <w:color w:val="000000"/>
          <w:sz w:val="20"/>
          <w:lang w:val="en-US" w:eastAsia="en-US" w:bidi="ar-SA"/>
        </w:rPr>
        <w:t xml:space="preserve">, at pp. 592-93; Dagenais v. Canadian Broadcasting Corp., </w:t>
      </w:r>
      <w:hyperlink r:id="rId189" w:history="1">
        <w:r>
          <w:rPr>
            <w:rFonts w:ascii="arial" w:eastAsia="arial" w:hAnsi="arial" w:cs="arial"/>
            <w:i/>
            <w:color w:val="0077CC"/>
            <w:sz w:val="20"/>
            <w:u w:val="single"/>
            <w:shd w:val="clear" w:color="auto" w:fill="FFFFFF"/>
            <w:lang w:val="en-US" w:eastAsia="en-US" w:bidi="ar-SA"/>
          </w:rPr>
          <w:t>[1994] 3 S.C.R. 835</w:t>
        </w:r>
      </w:hyperlink>
      <w:r>
        <w:rPr>
          <w:rFonts w:ascii="arial" w:eastAsia="arial" w:hAnsi="arial" w:cs="arial"/>
          <w:color w:val="000000"/>
          <w:sz w:val="20"/>
          <w:lang w:val="en-US" w:eastAsia="en-US" w:bidi="ar-SA"/>
        </w:rPr>
        <w:t xml:space="preserve">, at pp. 876-77; Hill v. Church of Scientology of Toronto, </w:t>
      </w:r>
      <w:hyperlink r:id="rId88" w:history="1">
        <w:r>
          <w:rPr>
            <w:rFonts w:ascii="arial" w:eastAsia="arial" w:hAnsi="arial" w:cs="arial"/>
            <w:i/>
            <w:color w:val="0077CC"/>
            <w:sz w:val="20"/>
            <w:u w:val="single"/>
            <w:shd w:val="clear" w:color="auto" w:fill="FFFFFF"/>
            <w:lang w:val="en-US" w:eastAsia="en-US" w:bidi="ar-SA"/>
          </w:rPr>
          <w:t>[1995] 2 S.C.R. 1130</w:t>
        </w:r>
      </w:hyperlink>
      <w:r>
        <w:rPr>
          <w:rFonts w:ascii="arial" w:eastAsia="arial" w:hAnsi="arial" w:cs="arial"/>
          <w:color w:val="000000"/>
          <w:sz w:val="20"/>
          <w:lang w:val="en-US" w:eastAsia="en-US" w:bidi="ar-SA"/>
        </w:rPr>
        <w:t>, at para. 121.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At paras. 28-33, McLachlin J. writes: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[28] It may thus be concluded that the first three conditions for privilege for communications between a psychiatrist and the victim of a sexual assault are met in the case at bar. The communications were confidential. Their confidence is essential to the psychiatrist-patient relationship. The relationship itself and the treatment it makes possible are of transcendent public importance.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[29] The fourth requirement is that the interests served by protecting the communications from disclosure outweigh the interest of pursuing the truth and disposing correctly of the litigation. This requires first an assessment of the interests served by protecting the communications from disclosure. These include injury to the appellant's ongoing relationship with Dr. Parfitt and her future treatment. They also include the effect that a finding of no privilege would have on the ability of other persons suffering from similar trauma to obtain needed treatment and of psychiatrists to provide it. The interests served by non-disclosure must extend to any effect on society of the failure of individuals to obtain treatment restoring them to healthy and contributing members of society. Finally, the interests served by protection from disclosure must include the privacy interest of the person claiming privilege and inequalities which may be perpetuated by the absence of protection.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[30] As noted, the common law must develop in a way that reflects emerging Charter values. It follows that the factors balanced under the fourth part of the test for privilege should be updated to reflect relevant Charter values. One such value is the interest affirmed by s. 8 of the Charter of each person in privacy. Another is the right of every person embodied in s. 15 of the Charter to equal treatment and benefit of the law. A rule of privilege which fails to protect confidential doctor/ patient communications in the context of an action arising out of sexual assault perpetuates the disadvantage felt by victims of sexual assault, often women. The intimate nature of sexual assault heightens the privacy concerns of the victim and may increase, if automatic disclosure is the rule, the difficulty of obtaining redress for the wrong. The victim of a sexual assault is thus placed in a disadvantaged position as compared with the victim of a different wrong. The result may be that the victim of sexual assault does not obtain the equal benefit of the law to which s. 15 of the Charter entitles her. She is doubly victimized, initially by the sexual assault and later by the price she must pay to claim redress -- redress which in some cases may be part of her program of therapy. These are factors which may properly be considered in determining the interests served by an order for protection from disclosure of confidential patient-psychiatrist communications in sexual assault cases.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[31] These criteria, applied to the case at bar, demonstrate a compelling interest in protecting the communications at issue from disclosure. More, however, is required to establish privilege. For privilege to exist, it must be shown that the benefit that inures from privilege, however great it may seem, in fact outweighs the interest in the correct disposal of the litigation.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[32] At this stage, the court considering an application for privilege must balance one alternative against the other. The exercise is essentially one of common sense and good judgment. This said, it is important to establish the outer limits of acceptability. I for one cannot accept the proposition that "occasional injustice" should be accepted as the price of the privilege. It is true that the traditional categories of privilege, cast as they are in absolute all-or-nothing terms, necessarily run the risk of occasional injustice. But that does not mean that courts, in invoking new privileges, should lightly condone its extension. In the words of Scalia J. (dissenting) in Jaffee v. Redmond, 116 S. Ct. 1923 (1996), at p. 1941:</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It is no small matter to say that, in some cases, our federal courts will be the tools of injustice rather than unearth the truth where it is available to be found. The common law has identified a few instances where that is tolerable. Perhaps Congress may conclude that it is also tolerable. . . . But that conclusion assuredly does not burst upon the mind with such clarity that a judgment in favor of suppressing the truth ought to be pronounced by this honorable Court.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[33] It follows that if the court considering a claim for privilege determines that a particular document or class of documents must be produced to get at the truth and prevent an unjust verdict, it must permit production to the extent required to avoid that result. On the other hand, the need to get at the truth and avoid injustice does not automatically negate the possibility of protection from full disclosure. In some cases, the court may well decide that the truth permits of nothing less than full production. This said, I would venture to say that an order for partial privilege will more often be appropriate in civil cases where, as here, the privacy interest is compelling. Disclosure of a limited number of documents, editing by the court to remove non-essential material, and the imposition of conditions on who may see and copy the documents are techniques which may be used to ensure the highest degree of confidentiality and the least damage to the protected relationship, while guarding against the injustice of cloaking the truth.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After setting out in para. 36 the distinction between the interests of a defendant in a criminal case when contrasted with that of a defendant in a civil case, McLachlin J.'s conclusion is set out in para. 37: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[37] My conclusion is that it is open to a judge to conclude that psychiatrist-patient records are privileged in appropriate circumstances. Once the first three requirements are met and a compelling prima facie case for protection is established, the focus will be on the balancing under the fourth head. A document relevant to a defence or claim may be required to be disclosed, notwithstanding the high interest of the plaintiff in keeping it confidential. On the other hand, documents of questionable relevance or which contain information available from other sources may be declared privileged. The result depends on the balance of the competing interests of disclosure and privacy in each case. It must be borne in mind that in most cases, the majority of the communications between a psychiatrist and her patient will have little or no bearing on the case at bar and can safely be excluded from production. Fishing expeditions are not appropriate where there is a compelling privacy interest at stake, even at the discovery stage. Finally, where justice requires that communications be disclosed, the court should consider qualifying the disclosure by imposing limits aimed at permitting the opponent to have the access justice requires while preserving the confidential nature of the documents to the greatest degree possible.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In reaching a decision in that case, after noting that the Court of Appeal declined to order production of Dr. Parfitt's notes to herself on the ground that they were unnecessary given that she would not be called to testify, McLachlin J. concludes: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[41] The interest in preserving the confidentiality of the communications here at issue was, as discussed, compelling. On the other hand, the communications might be expected to bear on the critical issue of the extent to which the respondent Dr. Ryan's conduct caused the difficulties the appellant was experiencing. A court, in a case such as this, might well consider it best to inspect the records individually to the end of weeding out those which were irrelevant to this defence. However, the alternative chosen by the Court of Appeal in this case of refusing to order production of one group of documents and imposing stringent conditions on who could see the others and what use could be made of them cannot be said to be in error. In the end, the only persons to see the documents in question will be the lawyers for the respondent Dr. Ryan and his expert witnesses. Copies will not be made, and disclosure of the contents to other people will not be permitted. In short, the plaintiff's private disclosures to her psychiatrist will be disclosed only to a small group of trustworthy professionals, much in the fashion that confidential medical records may be disclosed in a hospital setting. I am not persuaded that the order of the Court of Appeal should be disturbed.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KSACC opposes any disclosure and relies, in part, on the decision of Madam Justice Fisher, as she then was, in </w:t>
      </w:r>
      <w:r>
        <w:rPr>
          <w:rFonts w:ascii="arial" w:eastAsia="arial" w:hAnsi="arial" w:cs="arial"/>
          <w:i/>
          <w:color w:val="000000"/>
          <w:sz w:val="20"/>
          <w:lang w:val="en-US" w:eastAsia="en-US" w:bidi="ar-SA"/>
        </w:rPr>
        <w:t>R. v. Akumu</w:t>
      </w:r>
      <w:r>
        <w:rPr>
          <w:rFonts w:ascii="arial" w:eastAsia="arial" w:hAnsi="arial" w:cs="arial"/>
          <w:color w:val="000000"/>
          <w:sz w:val="20"/>
          <w:lang w:val="en-US" w:eastAsia="en-US" w:bidi="ar-SA"/>
        </w:rPr>
        <w:t xml:space="preserve">, </w:t>
      </w:r>
      <w:hyperlink r:id="rId185" w:history="1">
        <w:r>
          <w:rPr>
            <w:rFonts w:ascii="arial" w:eastAsia="arial" w:hAnsi="arial" w:cs="arial"/>
            <w:i/>
            <w:color w:val="0077CC"/>
            <w:sz w:val="20"/>
            <w:u w:val="single"/>
            <w:shd w:val="clear" w:color="auto" w:fill="FFFFFF"/>
            <w:lang w:val="en-US" w:eastAsia="en-US" w:bidi="ar-SA"/>
          </w:rPr>
          <w:t>2016 BCSC 2500</w:t>
        </w:r>
      </w:hyperlink>
      <w:r>
        <w:rPr>
          <w:rFonts w:ascii="arial" w:eastAsia="arial" w:hAnsi="arial" w:cs="arial"/>
          <w:color w:val="000000"/>
          <w:sz w:val="20"/>
          <w:lang w:val="en-US" w:eastAsia="en-US" w:bidi="ar-SA"/>
        </w:rPr>
        <w:t xml:space="preserve"> at para. 34: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[34] This evidence establishes that A.W. sought advice from V.R.R. that was in the nature of counselling about emotional issues arising from the May 7-8, 2014 incident, including feelings of guilt. She also received assistance from V.R.R. in preparing a written statement for police.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At paras. 68-69, Fisher J. writes: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[68] The defence submitted that the probative value of these records is significant because they relate to the credibility of A.W.'s evidence, a primary issue at trial, and therefore they are necessary for Ms. Akumu to make full answer and defence. These interests are greater than the privacy interests of V.R.R. in the records, because Ms. Steacy and/or Ms. Wong were acting more as interviewers and statement-givers than counsellors and such a relationship carries a lower expectation of privacy than a true therapeutic relationship.</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[69] Ms. Allison submitted that there is not a bright line distinction between V.R.R.'s counselling, support and advocacy roles, and it is a stretch to say that assistance with crafting a statement for police is done to pursue an agenda. She says that the positions V.R.R. takes are reflected in the law and its advocacy role should not take it out of the scope of confidentiality protection. Further, given the nature of its services to women, the expectation of privacy in these counselling records is very high. Ms. Russell's evidence shows the importance of confidentiality to the organization as a whole.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Under the heading "Analysis", Fisher J. writes at paras. 71-73: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[71] As my reasons on the issue of likely relevance indicate, I do not accept the submission of the defence that the V.R.R. employees were acting more as interviewers and statement-givers than counsellors. The material before me in this application indicates that V.R.R. provided counselling to A.W. about her emotional responses to the incident, explained the law to her about underage persons and consent, and assisted her to write a statement for police by advising her to focus on facts rather than emotions. That they advised her to make sure she stated that Mr. Boima knew her age does not, in my view, support the defence's assertion of bias. Assuming A.W.'s statement is true, this is simply a fact that is important in the context of this case.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[72] I have considered the factors in s. 278.5(2). While V.R.R. does not have a professional therapeutic relationship with the women who seek its assistance, the records that exist in this case are in the nature of counselling records which carry a high expectation of privacy. This is particularly so for A.W., who is especially vulnerable given her young age and mental health history. There is evidence that she had attempted suicide prior to the incidents here and has received psychiatric and psychological treatment. In circumstances like this, the potential prejudice to her personal dignity and right to privacy by production of these records to the court is very high, and society's interest in encouraging the obtaining of treatment by complainants of sexual offences is considerable. The </w:t>
      </w:r>
      <w:r>
        <w:rPr>
          <w:rFonts w:ascii="arial" w:eastAsia="arial" w:hAnsi="arial" w:cs="arial"/>
          <w:i/>
          <w:color w:val="000000"/>
          <w:sz w:val="20"/>
          <w:lang w:val="en-US" w:eastAsia="en-US" w:bidi="ar-SA"/>
        </w:rPr>
        <w:t>Mills</w:t>
      </w:r>
      <w:r>
        <w:rPr>
          <w:rFonts w:ascii="arial" w:eastAsia="arial" w:hAnsi="arial" w:cs="arial"/>
          <w:color w:val="000000"/>
          <w:sz w:val="20"/>
          <w:lang w:val="en-US" w:eastAsia="en-US" w:bidi="ar-SA"/>
        </w:rPr>
        <w:t xml:space="preserve"> </w:t>
      </w:r>
      <w:hyperlink r:id="rId190" w:history="1">
        <w:r>
          <w:rPr>
            <w:rFonts w:ascii="arial" w:eastAsia="arial" w:hAnsi="arial" w:cs="arial"/>
            <w:i/>
            <w:color w:val="0077CC"/>
            <w:sz w:val="20"/>
            <w:u w:val="single"/>
            <w:shd w:val="clear" w:color="auto" w:fill="FFFFFF"/>
            <w:lang w:val="en-US" w:eastAsia="en-US" w:bidi="ar-SA"/>
          </w:rPr>
          <w:t>[1999] 3 S.C.R. 668</w:t>
        </w:r>
      </w:hyperlink>
      <w:r>
        <w:rPr>
          <w:rFonts w:ascii="arial" w:eastAsia="arial" w:hAnsi="arial" w:cs="arial"/>
          <w:color w:val="000000"/>
          <w:sz w:val="20"/>
          <w:lang w:val="en-US" w:eastAsia="en-US" w:bidi="ar-SA"/>
        </w:rPr>
        <w:t xml:space="preserve"> regime recognizes that the focus of counselling is different from other processes, such as investigation, which focus on the facts surrounding an alleged assault. As such, notes made during counselling may bear only lightly on the issues at trial, and may by their nature be quite unreliable: </w:t>
      </w:r>
      <w:r>
        <w:rPr>
          <w:rFonts w:ascii="arial" w:eastAsia="arial" w:hAnsi="arial" w:cs="arial"/>
          <w:i/>
          <w:color w:val="000000"/>
          <w:sz w:val="20"/>
          <w:lang w:val="en-US" w:eastAsia="en-US" w:bidi="ar-SA"/>
        </w:rPr>
        <w:t>Mills</w:t>
      </w:r>
      <w:r>
        <w:rPr>
          <w:rFonts w:ascii="arial" w:eastAsia="arial" w:hAnsi="arial" w:cs="arial"/>
          <w:color w:val="000000"/>
          <w:sz w:val="20"/>
          <w:lang w:val="en-US" w:eastAsia="en-US" w:bidi="ar-SA"/>
        </w:rPr>
        <w:t xml:space="preserve"> at para. 136. Moreover, assuming that the records here are likely relevant, there remains a tenuous link, at best, between the records and a material change in A.W.'s evidence or an issue at trial. In my view, all of this shows that the potential probative value of these records is low. In contrast, the privacy interest of A.W. and V.R.R. as an organization, are very high.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[73] In these circumstances, I do not consider the records to be necessary for Ms. Akumu to make full answer and defence and therefore I have concluded that the production of the records to the court is not necessary in the interests of justice.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In reply, Applicant's counsel directed my attention to </w:t>
      </w:r>
      <w:r>
        <w:rPr>
          <w:rFonts w:ascii="arial" w:eastAsia="arial" w:hAnsi="arial" w:cs="arial"/>
          <w:i/>
          <w:color w:val="000000"/>
          <w:sz w:val="20"/>
          <w:lang w:val="en-US" w:eastAsia="en-US" w:bidi="ar-SA"/>
        </w:rPr>
        <w:t>British Columbia v. B.C.G.S.E.U.</w:t>
      </w:r>
      <w:r>
        <w:rPr>
          <w:rFonts w:ascii="arial" w:eastAsia="arial" w:hAnsi="arial" w:cs="arial"/>
          <w:color w:val="000000"/>
          <w:sz w:val="20"/>
          <w:lang w:val="en-US" w:eastAsia="en-US" w:bidi="ar-SA"/>
        </w:rPr>
        <w:t xml:space="preserve">, </w:t>
      </w:r>
      <w:hyperlink r:id="rId191" w:history="1">
        <w:r>
          <w:rPr>
            <w:rFonts w:ascii="arial" w:eastAsia="arial" w:hAnsi="arial" w:cs="arial"/>
            <w:i/>
            <w:color w:val="0077CC"/>
            <w:sz w:val="20"/>
            <w:u w:val="single"/>
            <w:shd w:val="clear" w:color="auto" w:fill="FFFFFF"/>
            <w:lang w:val="en-US" w:eastAsia="en-US" w:bidi="ar-SA"/>
          </w:rPr>
          <w:t>2005 BCCA 14</w:t>
        </w:r>
      </w:hyperlink>
      <w:r>
        <w:rPr>
          <w:rFonts w:ascii="arial" w:eastAsia="arial" w:hAnsi="arial" w:cs="arial"/>
          <w:color w:val="000000"/>
          <w:sz w:val="20"/>
          <w:lang w:val="en-US" w:eastAsia="en-US" w:bidi="ar-SA"/>
        </w:rPr>
        <w:t>, an appeal under s. 100 of the Labour Relations Code from an interim order of an arbitrator. The arbitrator had ordered pre-hearing disclosure of medical records, including psychological records of a grievor who has made a disputed claim for short-term illness benefits. The disclosure order was made subject to strict conditions on the use of those records.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In reply, counsel for the Applicant submitted that I ought to make similar strict conditions such as were set out in para. 2 of the dissenting reasons of Prowse J.A. In writing for the majority, Mr. Justice Mackenzie, at para. 64, sets out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[64] It is a fundamental common law axiom that a party to litigation is entitled to full disclosure of all documents and other evidence that is relevant to the litigation, subject only to privileged exceptions. Disclosure of documents to counsel for a party that is withheld from the party itself compromises the candour of the relationship between lawyer and client and impairs counsel's ability to obtain fully-informed instructions in the conduct of the proceedings. Disclosure limited to counsel and expert witnesses should be discouraged in all but very exceptional cases.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British Columbia v. B.C.G.S.E.U.</w:t>
      </w:r>
      <w:r>
        <w:rPr>
          <w:rFonts w:ascii="arial" w:eastAsia="arial" w:hAnsi="arial" w:cs="arial"/>
          <w:color w:val="000000"/>
          <w:sz w:val="20"/>
          <w:lang w:val="en-US" w:eastAsia="en-US" w:bidi="ar-SA"/>
        </w:rPr>
        <w:t>, the order granted by the arbitrator contained terms (commonly referred to as "</w:t>
      </w:r>
      <w:r>
        <w:rPr>
          <w:rFonts w:ascii="arial" w:eastAsia="arial" w:hAnsi="arial" w:cs="arial"/>
          <w:i/>
          <w:color w:val="000000"/>
          <w:sz w:val="20"/>
          <w:lang w:val="en-US" w:eastAsia="en-US" w:bidi="ar-SA"/>
        </w:rPr>
        <w:t>Halliday</w:t>
      </w:r>
      <w:r>
        <w:rPr>
          <w:rFonts w:ascii="arial" w:eastAsia="arial" w:hAnsi="arial" w:cs="arial"/>
          <w:color w:val="000000"/>
          <w:sz w:val="20"/>
          <w:lang w:val="en-US" w:eastAsia="en-US" w:bidi="ar-SA"/>
        </w:rPr>
        <w:t xml:space="preserve">' terms referencing </w:t>
      </w:r>
      <w:r>
        <w:rPr>
          <w:rFonts w:ascii="arial" w:eastAsia="arial" w:hAnsi="arial" w:cs="arial"/>
          <w:i/>
          <w:color w:val="000000"/>
          <w:sz w:val="20"/>
          <w:lang w:val="en-US" w:eastAsia="en-US" w:bidi="ar-SA"/>
        </w:rPr>
        <w:t>Halliday v. McCulloch</w:t>
      </w:r>
      <w:r>
        <w:rPr>
          <w:rFonts w:ascii="arial" w:eastAsia="arial" w:hAnsi="arial" w:cs="arial"/>
          <w:color w:val="000000"/>
          <w:sz w:val="20"/>
          <w:lang w:val="en-US" w:eastAsia="en-US" w:bidi="ar-SA"/>
        </w:rPr>
        <w:t xml:space="preserve"> </w:t>
      </w:r>
      <w:hyperlink r:id="rId192" w:history="1">
        <w:r>
          <w:rPr>
            <w:rFonts w:ascii="arial" w:eastAsia="arial" w:hAnsi="arial" w:cs="arial"/>
            <w:i/>
            <w:color w:val="0077CC"/>
            <w:sz w:val="20"/>
            <w:u w:val="single"/>
            <w:shd w:val="clear" w:color="auto" w:fill="FFFFFF"/>
            <w:lang w:val="en-US" w:eastAsia="en-US" w:bidi="ar-SA"/>
          </w:rPr>
          <w:t>(1986), 1 B.C.L.R. (2d) 194</w:t>
        </w:r>
      </w:hyperlink>
      <w:r>
        <w:rPr>
          <w:rFonts w:ascii="arial" w:eastAsia="arial" w:hAnsi="arial" w:cs="arial"/>
          <w:color w:val="000000"/>
          <w:sz w:val="20"/>
          <w:lang w:val="en-US" w:eastAsia="en-US" w:bidi="ar-SA"/>
        </w:rPr>
        <w:t xml:space="preserve"> (B.C.C.A.)). That is what is sought here as well. A </w:t>
      </w:r>
      <w:r>
        <w:rPr>
          <w:rFonts w:ascii="arial" w:eastAsia="arial" w:hAnsi="arial" w:cs="arial"/>
          <w:i/>
          <w:color w:val="000000"/>
          <w:sz w:val="20"/>
          <w:lang w:val="en-US" w:eastAsia="en-US" w:bidi="ar-SA"/>
        </w:rPr>
        <w:t>Halliday</w:t>
      </w:r>
      <w:r>
        <w:rPr>
          <w:rFonts w:ascii="arial" w:eastAsia="arial" w:hAnsi="arial" w:cs="arial"/>
          <w:color w:val="000000"/>
          <w:sz w:val="20"/>
          <w:lang w:val="en-US" w:eastAsia="en-US" w:bidi="ar-SA"/>
        </w:rPr>
        <w:t xml:space="preserve"> order permits counsel for the plaintiff to review the records, to list those which need to be listed pursuant to Rule 7-1 of the </w:t>
      </w:r>
      <w:r>
        <w:rPr>
          <w:rFonts w:ascii="arial" w:eastAsia="arial" w:hAnsi="arial" w:cs="arial"/>
          <w:i/>
          <w:color w:val="000000"/>
          <w:sz w:val="20"/>
          <w:lang w:val="en-US" w:eastAsia="en-US" w:bidi="ar-SA"/>
        </w:rPr>
        <w:t>Civil Rules</w:t>
      </w:r>
      <w:r>
        <w:rPr>
          <w:rFonts w:ascii="arial" w:eastAsia="arial" w:hAnsi="arial" w:cs="arial"/>
          <w:color w:val="000000"/>
          <w:sz w:val="20"/>
          <w:lang w:val="en-US" w:eastAsia="en-US" w:bidi="ar-SA"/>
        </w:rPr>
        <w:t>, and permits counsel in conjunction with the plaintiff to claim privilege and/or redact records. If an issue arises over privilege and/or redactions, that is dealt with in a subsequent court application where the presiding master or judge usually reviews the records in issue in an unredacted form and then makes a ruling with respect to the contested portions.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This case presents some unusual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In this case, unlike in </w:t>
      </w:r>
      <w:r>
        <w:rPr>
          <w:rFonts w:ascii="arial" w:eastAsia="arial" w:hAnsi="arial" w:cs="arial"/>
          <w:i/>
          <w:color w:val="000000"/>
          <w:sz w:val="20"/>
          <w:lang w:val="en-US" w:eastAsia="en-US" w:bidi="ar-SA"/>
        </w:rPr>
        <w:t>Ryan</w:t>
      </w:r>
      <w:r>
        <w:rPr>
          <w:rFonts w:ascii="arial" w:eastAsia="arial" w:hAnsi="arial" w:cs="arial"/>
          <w:color w:val="000000"/>
          <w:sz w:val="20"/>
          <w:lang w:val="en-US" w:eastAsia="en-US" w:bidi="ar-SA"/>
        </w:rPr>
        <w:t>, the plaintiff does not object to the disclosure being sought by the Applicant. She recognizes that there is a possibility the disclosure will assist her in proving her case. Furthermore, unlike many victims of sexual assault where confidentiality is important, this plaintiff feels empowered by the ability to present her claims in open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plaintiff does regret the position taken by KSACC that a disclosure order would prevent a continuation of the counselling they are providing to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One other aspect is that the consent form apparently signed by the plaintiff (the form signed by the plaintiff was not appended to Ms. Eden's Affidavit, but a blank consent form was) contains the following language: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understand that the personal information provided is confidential and that my file and its contents are the property of the Kamloops Sexual Assault Counselling Centre...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Under the heading "Involvement in Third Party Applications" is written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Because of the confidential nature of counselling, you understand and agree that your counsellor will not be expected to take a position on your behalf with regard to matters involving third parties, disclose any materials related to the services provided you including client notes or voluntarily get involved in court proceedings in any capacity (for example: criminal court cases; custody and access issues, divorce proceedings, employment issues, Worksafe, etc.).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identical wording is utilized in another document attached to Ms. Eden's Affidavit. This is a client information sheet and, under the heading "Confidentiality" it re-states: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All KSACC counselling services are confidential. I understand that any notes KSACC maintains on the services I receive are the sole property of the Kamloops Sexual Assault Counselling Centre. These documents will be kept confidential and thus will not be shared.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There are two exceptions noted, dealing with a child in need of protection or the likelihood of the client causing serious physical harm to the client or another.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While I appreciate that this wording is viewed by KSACC as necessary to protect its file, an entity cannot "contract out" of the disclosure requirements of the </w:t>
      </w:r>
      <w:r>
        <w:rPr>
          <w:rFonts w:ascii="arial" w:eastAsia="arial" w:hAnsi="arial" w:cs="arial"/>
          <w:i/>
          <w:color w:val="000000"/>
          <w:sz w:val="20"/>
          <w:lang w:val="en-US" w:eastAsia="en-US" w:bidi="ar-SA"/>
        </w:rPr>
        <w:t>Civil Rules</w:t>
      </w:r>
      <w:r>
        <w:rPr>
          <w:rFonts w:ascii="arial" w:eastAsia="arial" w:hAnsi="arial" w:cs="arial"/>
          <w:color w:val="000000"/>
          <w:sz w:val="20"/>
          <w:lang w:val="en-US" w:eastAsia="en-US" w:bidi="ar-SA"/>
        </w:rPr>
        <w:t>. If disclosure parameters are met, disclosure will be ordered.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The key to disclosure is whether a document can be used by any party to prove or disprove a material fact. Relevance can be determined by the pleadings. It can also be determined pursuant to subrule 7-1(11) by meeting a relatively low evidentiary threshold. In </w:t>
      </w:r>
      <w:r>
        <w:rPr>
          <w:rFonts w:ascii="arial" w:eastAsia="arial" w:hAnsi="arial" w:cs="arial"/>
          <w:i/>
          <w:color w:val="000000"/>
          <w:sz w:val="20"/>
          <w:lang w:val="en-US" w:eastAsia="en-US" w:bidi="ar-SA"/>
        </w:rPr>
        <w:t>Ryan</w:t>
      </w:r>
      <w:r>
        <w:rPr>
          <w:rFonts w:ascii="arial" w:eastAsia="arial" w:hAnsi="arial" w:cs="arial"/>
          <w:color w:val="000000"/>
          <w:sz w:val="20"/>
          <w:lang w:val="en-US" w:eastAsia="en-US" w:bidi="ar-SA"/>
        </w:rPr>
        <w:t>, the psychiatrist's notes were found to be relevant by the master.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In this case, records are maintained in relation to KSACC's interactions with clients. They consist of notes which assist KSACC counsellors in providing support to the clients. They are not notes for the purpose of providing a record of what occurred. They are notes which are made in the course of appointments and are to be interpreted in the context of the support relationship. They are made for the purposes of KSACC and its staff.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It is common sense to recognize that in order for an effective counselling relationship to exist, there needs to be trust between the client and the counsellor. One can readily imagine notes made by the counsellor to assist in the counselling which, if disclosed to the client, might adversely affect that trust relationship.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Ryan</w:t>
      </w:r>
      <w:r>
        <w:rPr>
          <w:rFonts w:ascii="arial" w:eastAsia="arial" w:hAnsi="arial" w:cs="arial"/>
          <w:color w:val="000000"/>
          <w:sz w:val="20"/>
          <w:lang w:val="en-US" w:eastAsia="en-US" w:bidi="ar-SA"/>
        </w:rPr>
        <w:t>, the psychiatrist's notes to herself were not ordered disclosed. The rest of the file, which presumably consisted of other notes forming part of the clinical records, made by the specialist medical doctor, can reasonably be assumed to provide relevant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KSACC's file is not a file that contains clinical records.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Based on the evidence deposed to by Ms. Eden in paragraphs 14 and 24 of her Affidavit, I find the KSACC notes to be what McLachlin J. calls "documents of questionable relevance or which contain information available from other sources", and thus may be declared privileged.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Rule 22-1(7) permits me to grant or refuse relief in whole or in part or dispose of any question arising on the chambers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It seems to me that the dates when the plaintiff attended at counselling may have some probative value. I direct that the plaintiff forthwith attend at KSACC, ascertain the dates she attended there for counselling, and provide those, through her counsel, to the other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Apart from requiring the plaintiff to provide that information, the application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 hope that with this order, counselling of the plaintiff by KSACC will resume.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My inclination is to order all parties bear their own costs, but if that is an issue, any of the lawyers should contact Supreme Court Scheduling to arrange a further hearing, with liberty for all counsel and parties to attend by telephone.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MASTER R. McDIARMID</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68" style="position:absolute;z-index:25170636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93"/>
          <w:headerReference w:type="default" r:id="rId194"/>
          <w:footerReference w:type="even" r:id="rId195"/>
          <w:footerReference w:type="default" r:id="rId196"/>
          <w:headerReference w:type="first" r:id="rId197"/>
          <w:footerReference w:type="first" r:id="rId19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99" w:history="1">
        <w:r>
          <w:rPr>
            <w:rFonts w:ascii="arial" w:eastAsia="arial" w:hAnsi="arial" w:cs="arial"/>
            <w:b/>
            <w:bCs/>
            <w:i/>
            <w:color w:val="0077CC"/>
            <w:kern w:val="32"/>
            <w:sz w:val="28"/>
            <w:szCs w:val="32"/>
            <w:u w:val="single"/>
            <w:shd w:val="clear" w:color="auto" w:fill="FFFFFF"/>
            <w:lang w:val="en-US" w:eastAsia="en-US" w:bidi="ar-SA"/>
          </w:rPr>
          <w:t>Panghali v. Panghali, [2014] B.C.J. No. 673</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R.D. Punnett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November 21, 2013; written submissions, December 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2013 (Defendants) and December 17, 2013 (Plaintiffs).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April 15,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S073127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[2014] B.C.J. No. 673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2014 BCSC 647</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Tarminderpal Singh Basra and Jasmine Kaur Bhambra, Administrators of the Estate of Manjit Kaur Panghali, Deceased, Plaintiffs, and Mukhtiar Singh Panghali aka Mukhtiar Paanghali aka "MP",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(112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69" style="position:absolute;z-index:25166745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63" w:name="Keywords_8"/>
      <w:bookmarkEnd w:id="63"/>
      <w:r>
        <w:rPr>
          <w:rFonts w:ascii="arial" w:eastAsia="arial" w:hAnsi="arial" w:cs="arial"/>
          <w:b/>
          <w:color w:val="000000"/>
          <w:sz w:val="20"/>
          <w:lang w:val="en-US" w:eastAsia="en-US" w:bidi="ar-SA"/>
        </w:rPr>
        <w:t>Damages — Fatal injuries — Third party claims — Persons entitled to claim — Child — Recoverable losses — Loss of care and guidance — Housekeeping service — Considerations impacting on award — Age of deceased — Miscellaneous — Application by plaintiffs for summary trial assessment of damages under Family Compensation Act allowed — Defendant murdered wife — Daughter, age ten, was now in sole custody of deceased's sister — Deceased, age 31 at time of passing, worked as schoolteacher and was pregnant with second child — Daughter entitled to $54,700 for past loss of dependency, $165,000 for future loss of dependency, $129,000 for past loss of household assistance and childcare, $172,000 for future loss of household assistance and childcare, $35,000 for loss of guidance, and $58,600 for public guardian and trustee management fees.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64" w:name="Case Summary_7"/>
            <w:bookmarkEnd w:id="64"/>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plaintiffs for a summary trial assessment of damages under the Family Compensation Act. The defendant murdered his wife. Litigation ensued between the wife's estate and the defendant and his family in respect of damages related to the murder and the disposition of family assets. A prior hearing determined that the defendant was liable to the plaintiffs for wrongful death and ordered the defendant to pay damages to be assessed. The plaintiffs applied for summary trial assessment of damages payable to the deceased's daughter, age ten, pursuant to the Family Compensation Act. The daughter was three years of age at the time of her mother's death. She was in the sole custody of the deceased's sister. The deceased, age 31 at the time of her passing, worked as a schoolteacher and was involved in buying, renovating and selling properties. She was pregnant at the time of her death. The defendant submitted that the matter was not suitable for summary determination. He characterized the application as a collateral attack on the existing litigation and an attempt to litigate in piecemeal fashion. The defendant sought consolidation of the application with the underlying litigation.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65" w:name="Holdings of Court_6"/>
            <w:bookmarkEnd w:id="65"/>
            <w:r>
              <w:rPr>
                <w:rFonts w:ascii="arial" w:eastAsia="arial" w:hAnsi="arial" w:cs="arial"/>
                <w:color w:val="000000"/>
                <w:sz w:val="20"/>
                <w:lang w:val="en-US" w:eastAsia="en-US" w:bidi="ar-SA"/>
              </w:rPr>
              <w:t>HELD: Application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Summary assessment of damages was possible on the evidence and would not affect the unresolved issues in the other litigation concerning the defendant's assets. There was no reason to further complicate the trial of the other matters by ordering consolidation. The daughter was entitled to be compensated for losses flowing from her mother's death rather than any losses flowing from the defendant's criminal acts and subsequent incarceration. The award reflected the contingency that the deceased would not have immediately returned to full-time work following the birth of her second child. The daughter was entitled to $54,700 for past loss of dependency, $165,000 for future loss of dependency, $129,000 for past loss of household assistance and childcare, $172,000 for future loss of household assistance and childcare, $35,000 for loss of guidance, and $58,600 for public guardian and trustee management fees. Any loss of future inheritance would be offset by acceleration of her inheritance following disposition of the property litigation. The court declined to award special costs, as the defendant's reprehensible conduct related to the murder rather than the litigation.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66" w:name="Legislation Cited_7"/>
      <w:bookmarkEnd w:id="66"/>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70" style="position:absolute;z-index:25167769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Civil Rules, Rule 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Court Order Interest Act, </w:t>
      </w:r>
      <w:hyperlink r:id="rId200" w:history="1">
        <w:r>
          <w:rPr>
            <w:rFonts w:ascii="arial" w:eastAsia="arial" w:hAnsi="arial" w:cs="arial"/>
            <w:i/>
            <w:color w:val="0077CC"/>
            <w:sz w:val="20"/>
            <w:u w:val="single"/>
            <w:shd w:val="clear" w:color="auto" w:fill="FFFFFF"/>
            <w:lang w:val="en-US" w:eastAsia="en-US" w:bidi="ar-SA"/>
          </w:rPr>
          <w:t>RSBC 1996, CHAPTER 79, s. 1</w:t>
        </w:r>
      </w:hyperlink>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Family Compensation Act, </w:t>
      </w:r>
      <w:hyperlink r:id="rId201" w:history="1">
        <w:r>
          <w:rPr>
            <w:rFonts w:ascii="arial" w:eastAsia="arial" w:hAnsi="arial" w:cs="arial"/>
            <w:i/>
            <w:color w:val="0077CC"/>
            <w:sz w:val="20"/>
            <w:u w:val="single"/>
            <w:shd w:val="clear" w:color="auto" w:fill="FFFFFF"/>
            <w:lang w:val="en-US" w:eastAsia="en-US" w:bidi="ar-SA"/>
          </w:rPr>
          <w:t>R.S.B.C 1996, c. 126, s. 2</w:t>
        </w:r>
      </w:hyperlink>
      <w:r>
        <w:rPr>
          <w:rFonts w:ascii="arial" w:eastAsia="arial" w:hAnsi="arial" w:cs="arial"/>
          <w:color w:val="000000"/>
          <w:sz w:val="20"/>
          <w:lang w:val="en-US" w:eastAsia="en-US" w:bidi="ar-SA"/>
        </w:rPr>
        <w:t>, s. 3(2)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Law and Equity Act, </w:t>
      </w:r>
      <w:hyperlink r:id="rId202" w:history="1">
        <w:r>
          <w:rPr>
            <w:rFonts w:ascii="arial" w:eastAsia="arial" w:hAnsi="arial" w:cs="arial"/>
            <w:i/>
            <w:color w:val="0077CC"/>
            <w:sz w:val="20"/>
            <w:u w:val="single"/>
            <w:shd w:val="clear" w:color="auto" w:fill="FFFFFF"/>
            <w:lang w:val="en-US" w:eastAsia="en-US" w:bidi="ar-SA"/>
          </w:rPr>
          <w:t>RSBC 1996, CHAPTER 253, s. 56</w:t>
        </w:r>
      </w:hyperlink>
      <w:r>
        <w:rPr>
          <w:rFonts w:ascii="arial" w:eastAsia="arial" w:hAnsi="arial" w:cs="arial"/>
          <w:color w:val="000000"/>
          <w:sz w:val="20"/>
          <w:lang w:val="en-US" w:eastAsia="en-US" w:bidi="ar-SA"/>
        </w:rPr>
        <w:t>(2)(a), s. 56(2)(b)</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67" w:name="Counsel_8"/>
      <w:bookmarkEnd w:id="67"/>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71" style="position:absolute;z-index:2516879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P.A. Mazzone.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G. Pyper.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Kulwinder Singh Panghali: B.D. Easton.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68" w:name="Judgment_8"/>
      <w:bookmarkEnd w:id="68"/>
      <w:r>
        <w:pict>
          <v:line id="_x0000_s1072" style="position:absolute;z-index:25169817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70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69" w:name="R.D. PUNNETT J."/>
            <w:bookmarkEnd w:id="69"/>
            <w:r>
              <w:rPr>
                <w:rFonts w:ascii="arial" w:eastAsia="arial" w:hAnsi="arial" w:cs="arial"/>
                <w:b/>
                <w:color w:val="000000"/>
                <w:sz w:val="30"/>
                <w:lang w:val="en-US" w:eastAsia="en-US" w:bidi="ar-SA"/>
              </w:rPr>
              <w:t>R.D. PUNNETT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plaintiffs in this matter claim for damages arising from the defendant's murder of his wife, Manjit Kaur Panghali. On behalf of the deceased's ten-year-old daughter, Maya Kaur Panghali, they have applied for an assessment of damages under the </w:t>
      </w:r>
      <w:r>
        <w:rPr>
          <w:rFonts w:ascii="arial" w:eastAsia="arial" w:hAnsi="arial" w:cs="arial"/>
          <w:i/>
          <w:color w:val="000000"/>
          <w:sz w:val="20"/>
          <w:lang w:val="en-US" w:eastAsia="en-US" w:bidi="ar-SA"/>
        </w:rPr>
        <w:t>Family Compensation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126</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FCA</w:t>
      </w:r>
      <w:r>
        <w:rPr>
          <w:rFonts w:ascii="arial" w:eastAsia="arial" w:hAnsi="arial" w:cs="arial"/>
          <w:color w:val="000000"/>
          <w:sz w:val="20"/>
          <w:lang w:val="en-US" w:eastAsia="en-US" w:bidi="ar-SA"/>
        </w:rPr>
        <w:t xml:space="preserve">]. The defendant's liability under the </w:t>
      </w:r>
      <w:r>
        <w:rPr>
          <w:rFonts w:ascii="arial" w:eastAsia="arial" w:hAnsi="arial" w:cs="arial"/>
          <w:i/>
          <w:color w:val="000000"/>
          <w:sz w:val="20"/>
          <w:lang w:val="en-US" w:eastAsia="en-US" w:bidi="ar-SA"/>
        </w:rPr>
        <w:t>FCA</w:t>
      </w:r>
      <w:r>
        <w:rPr>
          <w:rFonts w:ascii="arial" w:eastAsia="arial" w:hAnsi="arial" w:cs="arial"/>
          <w:color w:val="000000"/>
          <w:sz w:val="20"/>
          <w:lang w:val="en-US" w:eastAsia="en-US" w:bidi="ar-SA"/>
        </w:rPr>
        <w:t xml:space="preserve"> was determined on March 19, 2013, when Madam Justice Dardi found that the defendant was liable to the plaintiffs for the wrongful death of Manjit Kaur Panghali. She ordered that the defendant pay damages to be assessed.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This application is for summary trial of the assessment of damages, pursuant to Rule 9-7 of the </w:t>
      </w:r>
      <w:r>
        <w:rPr>
          <w:rFonts w:ascii="arial" w:eastAsia="arial" w:hAnsi="arial" w:cs="arial"/>
          <w:i/>
          <w:color w:val="000000"/>
          <w:sz w:val="20"/>
          <w:lang w:val="en-US" w:eastAsia="en-US" w:bidi="ar-SA"/>
        </w:rPr>
        <w:t>Supreme Court Civil Rules.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defendant in his response opposed the application on the basis that it was not suitable for summary determination. He characterized it as an attempt to litigate in slices and as a collateral attack on an existing action between the same parties. The defendant submitted that this proceeding should be joined or consolidated with a number of other claims against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Counsel advised there is ongoing litigation involving the defendant, the deceased's estate, and a number of other interested parties. Broadly speaking, those claims all relate to the parties' entitlement to some portion of the liquidated value of the matrimonial home and an investment property owned by the defendant at the time of the deceased's death. The deceased's estate has made a claim against that property in constructive trust, a matter due for trial in November 2014, while two of the defendant's brothers have advanced claims for monies advanced and services rendered to the defendant relating to the preservation, maintenance, upkeep and improvement of both properties. Mr. Easton appeared on behalf of Kulwinder Singh Panghali, one of the brothers; his attendance was limited to a submission that the actions should be consolidated for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In addition, the defendant's parents have asserted a financial interest in those properties, on the basis they contributed to their acquisition. It was not clear that they are currently involved in the ongoing litigation but Mr. Sukvinder Panghali, their son and another of the defendant's brothers, appeared and briefly addressed the court on their behalf. He took the position that this matter should be consolidated with the other matters.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Given the purpose of this summary application, the defendant's position, as well as that of the others who appeared, was misconceived. This Court was not asked to determine entitlement to assets or to answer any questions relating to the enforcement of, or priorities between, various claims. This application was restricted to an assessment of damages under the </w:t>
      </w:r>
      <w:r>
        <w:rPr>
          <w:rFonts w:ascii="arial" w:eastAsia="arial" w:hAnsi="arial" w:cs="arial"/>
          <w:i/>
          <w:color w:val="000000"/>
          <w:sz w:val="20"/>
          <w:lang w:val="en-US" w:eastAsia="en-US" w:bidi="ar-SA"/>
        </w:rPr>
        <w:t>Family Compensation Act</w:t>
      </w:r>
      <w:r>
        <w:rPr>
          <w:rFonts w:ascii="arial" w:eastAsia="arial" w:hAnsi="arial" w:cs="arial"/>
          <w:color w:val="000000"/>
          <w:sz w:val="20"/>
          <w:lang w:val="en-US" w:eastAsia="en-US" w:bidi="ar-SA"/>
        </w:rPr>
        <w:t>. Any judgment issued on that basis will do no more than establish the value of the plaintiffs' entitlement to damages arising from the wrongful death of Manjit Kaur Panghali. It will not affect the unresolved issues in other litigation concerning the defendant's assets and other obligations. Indeed, it is likely the plaintiffs will have to wait to enforce this judgment until the issues raised in those other matters are resolved. However, that is not a reason to further complicate the trial of the other matters, or this matter, by ordering consolidation with this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As a result, I refused to consolidate the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Defendant's counsel then indicated that given that the application for consolidation had been dismissed, the matter should be adjourned as he was not prepared to argue the application on its merits. It appeared that he had assumed that there was no question that the matters would be consolidated.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 also dismissed the application to adjourn. The summary trial application was served on defence counsel well before the hearing date. The defendant filed a response. The fact that the defendant chose not to respond meaningfully to the application was a tactical step he chose to take. It did not provide the basis for an adjournment and the defendant must live with the consequences of his litigation strategy.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Finally, the defendant submitted that without the information arising from the other court claims, the court would not have the facts necessary to assess damages. I rejected that submission. I am satisfied on the material filed that the facts necessary to assess damages under the </w:t>
      </w:r>
      <w:r>
        <w:rPr>
          <w:rFonts w:ascii="arial" w:eastAsia="arial" w:hAnsi="arial" w:cs="arial"/>
          <w:i/>
          <w:color w:val="000000"/>
          <w:sz w:val="20"/>
          <w:lang w:val="en-US" w:eastAsia="en-US" w:bidi="ar-SA"/>
        </w:rPr>
        <w:t>FCA</w:t>
      </w:r>
      <w:r>
        <w:rPr>
          <w:rFonts w:ascii="arial" w:eastAsia="arial" w:hAnsi="arial" w:cs="arial"/>
          <w:color w:val="000000"/>
          <w:sz w:val="20"/>
          <w:lang w:val="en-US" w:eastAsia="en-US" w:bidi="ar-SA"/>
        </w:rPr>
        <w:t xml:space="preserve"> can be found and that it would not be unjust to do so. As a result, I find that the matter is suitable for summary disposition.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Following the hearing in chambers, the defendant sought and obtained leave to file written submissions on a number of points of law. Initially, based on the defendant's oral submissions, it appeared that the defendant intended to argue that the plaintiffs were not entitled to any damages in this proceeding based on the principle of "double jeopardy." In other words, the defendant suggested that no damages could flow under the </w:t>
      </w:r>
      <w:r>
        <w:rPr>
          <w:rFonts w:ascii="arial" w:eastAsia="arial" w:hAnsi="arial" w:cs="arial"/>
          <w:i/>
          <w:color w:val="000000"/>
          <w:sz w:val="20"/>
          <w:lang w:val="en-US" w:eastAsia="en-US" w:bidi="ar-SA"/>
        </w:rPr>
        <w:t>FCA</w:t>
      </w:r>
      <w:r>
        <w:rPr>
          <w:rFonts w:ascii="arial" w:eastAsia="arial" w:hAnsi="arial" w:cs="arial"/>
          <w:color w:val="000000"/>
          <w:sz w:val="20"/>
          <w:lang w:val="en-US" w:eastAsia="en-US" w:bidi="ar-SA"/>
        </w:rPr>
        <w:t xml:space="preserve"> because the defendant had already been punished in the criminal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However, the defendant's written submissions varied from counsel's position in oral submissions. The written submission addressed the issue of special costs and also submitted that the deceased's estate will receive a double recovery from the defendant should the survivorship benefits from the former family residence not be taken into consideration in assessing damages. In their written submissions, the plaintiffs have accordingly responded only to the two issues raised by the defendant in his written submission. I will address both issues in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Counsel for the defendant also filed an application seeking an order that the fees of the defendant owing to his previous and present counsel be paid from trust funds currently held by prior counsel. That application was premature and was adjourned.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plaintiffs in this matter are the administrators of the deceased's estate. Jasmine Kaur Bhambra is the deceased's sister while Tarminderpal Singh Basra is her brother. They bring this action on behalf of the deceased's estate and the deceased's child, Maya.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Maya was born May 11, 2003 and was three years of age at the time of her mother's death. She is now 10. Since December 3, 2007 she has been in the permanent custody of, and resident with, Ms. Bhambra and her family in a single-family residence in the Fraser Valley in British Columbia. Ms. Bhambra was granted sole custody of the child by a Provincial Court Order dated December 13,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Ms. Bhambra is married and has three children of her own, all under the age of seven. She does not work outside the home and describes herself as a homemaker.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deceased, Manjit Kaur Panghali, was born on July 4, 1975. She died on October 23, 2006, at 31 years of age. She was a teacher. At the time of her death she was job sharing in an elementary school in Surrey, British Columbia. The defendant was also a teacher. The deceased and the defendant were living together as husband and wife at the time of the murder. It appears on the evidence that theirs was a traditional family. At the time of the deceased's death they were expecting their second child.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In addition to working full-time as a high school teacher the defendant was the sole shareholder of a company called Southridge Homes Inc. Through that company he was involved in the construction and sale of single-family dwellings in Surrey. In October 2006 the company owned one property (the "Southridge property"), which was earmarked for sale once construction was complete.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defendant was arrested for the murder in early 2007 and has remained in custody since then. On February 4, 2011 he was convicted of second-degree murder of the deceased and was subsequently sentenced to imprisonment for life with no eligibility for parole for a period of 15 years. The British Columbia Court of Appeal dismissed his conviction appeal on October 16,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As is often the case the deceased's future plans were uncertain and the evidence of those plans even more so as a result of her death. Ms. Bhambra deposes that the deceased told her that she planned to take maternity leave upon the birth of her second child and then at some later point return to the workforce as a teacher. Unfortunately, that is the extent of the information available respecting the deceased's long-term plans with respect to childcare and her career.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plaintiffs produced copies of computer printouts of the deceased's tax returns for the year 2000 to 2005 and a copy of her 2006 income tax return. As discussed below, the plaintiffs' economist relied on these figures and the information given by Ms. Bhambra as to the deceased's career intentions in calculating the value of the lost dependency.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Evidence of the defendant's career intentions (and thus of his role in the family's economic circumstances absent the death) is likewise limited. As noted what is known is that at the time of the murder the defendant was working full-time as a teacher and was also involved in the construction and sale of single-family dwellings in Surrey.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Ms. Bhambra says that at the time of her sister's death the defendant was completing the construction of the Southridge property with the intention of selling it for a profit. She does not know whether or not the defendant intended to build any more houses, but an affidavit from the defendant's brother states that that was the last home to be built as the defendant had decided to work only as a teacher given his expanding family. I am satisfied that, absent the death, he would have continued to work full-time as a teacher.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Despite at least two requests for production by the defendant of his income tax returns he failed to do so. His income as noted on the deceased's 2006 tax return was $65,930.27.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parties' assets at the time of the death consisted of the matrimonial home and the Southridge investment property. The parties were joint tenants in the family home in Surrey and the Southridge property was registered in the name of the defendant's company. Both homes were sold in 2007; the net equity in the matrimonial home was $264,760.92 while the Southridge property generated net proceeds of $266,287.24. Those funds are currently held in trust, pending the outcome of the estate's constructive trust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As is apparent from this review, the available evidence about the hypothetical future of this family absent the death is relatively limited. Where there is limited evidence because of the actions of the defendant I approach the plaintiff's burden of proof on the basis described by Spencer J. in </w:t>
      </w:r>
      <w:r>
        <w:rPr>
          <w:rFonts w:ascii="arial" w:eastAsia="arial" w:hAnsi="arial" w:cs="arial"/>
          <w:i/>
          <w:color w:val="000000"/>
          <w:sz w:val="20"/>
          <w:lang w:val="en-US" w:eastAsia="en-US" w:bidi="ar-SA"/>
        </w:rPr>
        <w:t>Clements et al v. Central Valley Taxi Ltd. et al</w:t>
      </w:r>
      <w:r>
        <w:rPr>
          <w:rFonts w:ascii="arial" w:eastAsia="arial" w:hAnsi="arial" w:cs="arial"/>
          <w:color w:val="000000"/>
          <w:sz w:val="20"/>
          <w:lang w:val="en-US" w:eastAsia="en-US" w:bidi="ar-SA"/>
        </w:rPr>
        <w:t xml:space="preserve">, </w:t>
      </w:r>
      <w:hyperlink r:id="rId203" w:history="1">
        <w:r>
          <w:rPr>
            <w:rFonts w:ascii="arial" w:eastAsia="arial" w:hAnsi="arial" w:cs="arial"/>
            <w:i/>
            <w:color w:val="0077CC"/>
            <w:sz w:val="20"/>
            <w:u w:val="single"/>
            <w:shd w:val="clear" w:color="auto" w:fill="FFFFFF"/>
            <w:lang w:val="en-US" w:eastAsia="en-US" w:bidi="ar-SA"/>
          </w:rPr>
          <w:t>[1992] B.C.J. No. 2490</w:t>
        </w:r>
      </w:hyperlink>
      <w:r>
        <w:rPr>
          <w:rFonts w:ascii="arial" w:eastAsia="arial" w:hAnsi="arial" w:cs="arial"/>
          <w:color w:val="000000"/>
          <w:sz w:val="20"/>
          <w:lang w:val="en-US" w:eastAsia="en-US" w:bidi="ar-SA"/>
        </w:rPr>
        <w:t xml:space="preserve"> (26 November 1992), New Westminster A910185 (B.C.S.C.), as quoted and relied upon by Mr. Justice Parrett in </w:t>
      </w:r>
      <w:r>
        <w:rPr>
          <w:rFonts w:ascii="arial" w:eastAsia="arial" w:hAnsi="arial" w:cs="arial"/>
          <w:i/>
          <w:color w:val="000000"/>
          <w:sz w:val="20"/>
          <w:lang w:val="en-US" w:eastAsia="en-US" w:bidi="ar-SA"/>
        </w:rPr>
        <w:t>Uri Estate v. Pahal</w:t>
      </w:r>
      <w:r>
        <w:rPr>
          <w:rFonts w:ascii="arial" w:eastAsia="arial" w:hAnsi="arial" w:cs="arial"/>
          <w:color w:val="000000"/>
          <w:sz w:val="20"/>
          <w:lang w:val="en-US" w:eastAsia="en-US" w:bidi="ar-SA"/>
        </w:rPr>
        <w:t xml:space="preserve">, </w:t>
      </w:r>
      <w:hyperlink r:id="rId204" w:history="1">
        <w:r>
          <w:rPr>
            <w:rFonts w:ascii="arial" w:eastAsia="arial" w:hAnsi="arial" w:cs="arial"/>
            <w:i/>
            <w:color w:val="0077CC"/>
            <w:sz w:val="20"/>
            <w:u w:val="single"/>
            <w:shd w:val="clear" w:color="auto" w:fill="FFFFFF"/>
            <w:lang w:val="en-US" w:eastAsia="en-US" w:bidi="ar-SA"/>
          </w:rPr>
          <w:t>[1994] B.C.J. No. 1720</w:t>
        </w:r>
      </w:hyperlink>
      <w:r>
        <w:rPr>
          <w:rFonts w:ascii="arial" w:eastAsia="arial" w:hAnsi="arial" w:cs="arial"/>
          <w:color w:val="000000"/>
          <w:sz w:val="20"/>
          <w:lang w:val="en-US" w:eastAsia="en-US" w:bidi="ar-SA"/>
        </w:rPr>
        <w:t xml:space="preserve"> (S.C.) at para. 30: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burden of proof is on the plaintiff to show what the dependants' losses are. While it is to a degree speculative to say what would have happened but for the accident, the burden of proof should not be so tightly drawn against the plaintiff that the law forgets that the difficulty of proof was caused by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defendants are entitled to be protected from mere speculation, but in considering what might have happened in the now impossible future, they cannot hide behind the difficulties of proof caused by their own fault.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At common law there is no action for wrongful death. However, the </w:t>
      </w:r>
      <w:r>
        <w:rPr>
          <w:rFonts w:ascii="arial" w:eastAsia="arial" w:hAnsi="arial" w:cs="arial"/>
          <w:i/>
          <w:color w:val="000000"/>
          <w:sz w:val="20"/>
          <w:lang w:val="en-US" w:eastAsia="en-US" w:bidi="ar-SA"/>
        </w:rPr>
        <w:t>FCA</w:t>
      </w:r>
      <w:r>
        <w:rPr>
          <w:rFonts w:ascii="arial" w:eastAsia="arial" w:hAnsi="arial" w:cs="arial"/>
          <w:color w:val="000000"/>
          <w:sz w:val="20"/>
          <w:lang w:val="en-US" w:eastAsia="en-US" w:bidi="ar-SA"/>
        </w:rPr>
        <w:t xml:space="preserve"> creates a statutory basis for the recovery of damages by the deceased's surviving spouse, parents, or children. Section 2 states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If the death of a person is caused by wrongful act, neglect or default, and the act, neglect or default is such as would, if death had not resulted, have entitled the party injured to maintain an action and recover damages for it, any person, partnership or corporation which would have been liable if death had not resulted is liable in an action for damages, despite the death of the person injured, and although the death has been caused under circumstances that amount in law to an indictable offence.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Claims are brought in the name of the deceased's personal representative. While the surviving spouse would normally be a claimant under the </w:t>
      </w:r>
      <w:r>
        <w:rPr>
          <w:rFonts w:ascii="arial" w:eastAsia="arial" w:hAnsi="arial" w:cs="arial"/>
          <w:i/>
          <w:color w:val="000000"/>
          <w:sz w:val="20"/>
          <w:lang w:val="en-US" w:eastAsia="en-US" w:bidi="ar-SA"/>
        </w:rPr>
        <w:t>FCA</w:t>
      </w:r>
      <w:r>
        <w:rPr>
          <w:rFonts w:ascii="arial" w:eastAsia="arial" w:hAnsi="arial" w:cs="arial"/>
          <w:color w:val="000000"/>
          <w:sz w:val="20"/>
          <w:lang w:val="en-US" w:eastAsia="en-US" w:bidi="ar-SA"/>
        </w:rPr>
        <w:t>, in this case the deceased's husband has no claim because he was criminally responsible for his wife's death. As a result, this action is advanced solely for the benefit of the deceased's child.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The purpose of the </w:t>
      </w:r>
      <w:r>
        <w:rPr>
          <w:rFonts w:ascii="arial" w:eastAsia="arial" w:hAnsi="arial" w:cs="arial"/>
          <w:i/>
          <w:color w:val="000000"/>
          <w:sz w:val="20"/>
          <w:lang w:val="en-US" w:eastAsia="en-US" w:bidi="ar-SA"/>
        </w:rPr>
        <w:t>FCA</w:t>
      </w:r>
      <w:r>
        <w:rPr>
          <w:rFonts w:ascii="arial" w:eastAsia="arial" w:hAnsi="arial" w:cs="arial"/>
          <w:color w:val="000000"/>
          <w:sz w:val="20"/>
          <w:lang w:val="en-US" w:eastAsia="en-US" w:bidi="ar-SA"/>
        </w:rPr>
        <w:t xml:space="preserve"> to place claimants in the economic position they would have been in but for the death (</w:t>
      </w:r>
      <w:r>
        <w:rPr>
          <w:rFonts w:ascii="arial" w:eastAsia="arial" w:hAnsi="arial" w:cs="arial"/>
          <w:i/>
          <w:color w:val="000000"/>
          <w:sz w:val="20"/>
          <w:lang w:val="en-US" w:eastAsia="en-US" w:bidi="ar-SA"/>
        </w:rPr>
        <w:t>Keizer v. Hanna and Buch</w:t>
      </w:r>
      <w:r>
        <w:rPr>
          <w:rFonts w:ascii="arial" w:eastAsia="arial" w:hAnsi="arial" w:cs="arial"/>
          <w:color w:val="000000"/>
          <w:sz w:val="20"/>
          <w:lang w:val="en-US" w:eastAsia="en-US" w:bidi="ar-SA"/>
        </w:rPr>
        <w:t xml:space="preserve">, </w:t>
      </w:r>
      <w:hyperlink r:id="rId205" w:history="1">
        <w:r>
          <w:rPr>
            <w:rFonts w:ascii="arial" w:eastAsia="arial" w:hAnsi="arial" w:cs="arial"/>
            <w:i/>
            <w:color w:val="0077CC"/>
            <w:sz w:val="20"/>
            <w:u w:val="single"/>
            <w:shd w:val="clear" w:color="auto" w:fill="FFFFFF"/>
            <w:lang w:val="en-US" w:eastAsia="en-US" w:bidi="ar-SA"/>
          </w:rPr>
          <w:t>[1978] 2 S.C.R. 342</w:t>
        </w:r>
      </w:hyperlink>
      <w:r>
        <w:rPr>
          <w:rFonts w:ascii="arial" w:eastAsia="arial" w:hAnsi="arial" w:cs="arial"/>
          <w:color w:val="000000"/>
          <w:sz w:val="20"/>
          <w:lang w:val="en-US" w:eastAsia="en-US" w:bidi="ar-SA"/>
        </w:rPr>
        <w:t xml:space="preserve"> at 351). Recoverable losses are restricted to pecuniary losses, including "the actual financial benefit of which the [the claimant] has been deprived and ... financial benefit which might reasonably be expected to accrue in the future if death had not occurred": </w:t>
      </w:r>
      <w:r>
        <w:rPr>
          <w:rFonts w:ascii="arial" w:eastAsia="arial" w:hAnsi="arial" w:cs="arial"/>
          <w:i/>
          <w:color w:val="000000"/>
          <w:sz w:val="20"/>
          <w:lang w:val="en-US" w:eastAsia="en-US" w:bidi="ar-SA"/>
        </w:rPr>
        <w:t>Cox v. Takahashi</w:t>
      </w:r>
      <w:r>
        <w:rPr>
          <w:rFonts w:ascii="arial" w:eastAsia="arial" w:hAnsi="arial" w:cs="arial"/>
          <w:color w:val="000000"/>
          <w:sz w:val="20"/>
          <w:lang w:val="en-US" w:eastAsia="en-US" w:bidi="ar-SA"/>
        </w:rPr>
        <w:t xml:space="preserve"> </w:t>
      </w:r>
      <w:hyperlink r:id="rId206" w:history="1">
        <w:r>
          <w:rPr>
            <w:rFonts w:ascii="arial" w:eastAsia="arial" w:hAnsi="arial" w:cs="arial"/>
            <w:i/>
            <w:color w:val="0077CC"/>
            <w:sz w:val="20"/>
            <w:u w:val="single"/>
            <w:shd w:val="clear" w:color="auto" w:fill="FFFFFF"/>
            <w:lang w:val="en-US" w:eastAsia="en-US" w:bidi="ar-SA"/>
          </w:rPr>
          <w:t>(1977), 5 B.C.L.R. 162</w:t>
        </w:r>
      </w:hyperlink>
      <w:r>
        <w:rPr>
          <w:rFonts w:ascii="arial" w:eastAsia="arial" w:hAnsi="arial" w:cs="arial"/>
          <w:color w:val="000000"/>
          <w:sz w:val="20"/>
          <w:lang w:val="en-US" w:eastAsia="en-US" w:bidi="ar-SA"/>
        </w:rPr>
        <w:t xml:space="preserve"> at 164; see also </w:t>
      </w:r>
      <w:r>
        <w:rPr>
          <w:rFonts w:ascii="arial" w:eastAsia="arial" w:hAnsi="arial" w:cs="arial"/>
          <w:i/>
          <w:color w:val="000000"/>
          <w:sz w:val="20"/>
          <w:lang w:val="en-US" w:eastAsia="en-US" w:bidi="ar-SA"/>
        </w:rPr>
        <w:t>Brown v. Finch</w:t>
      </w:r>
      <w:r>
        <w:rPr>
          <w:rFonts w:ascii="arial" w:eastAsia="arial" w:hAnsi="arial" w:cs="arial"/>
          <w:color w:val="000000"/>
          <w:sz w:val="20"/>
          <w:lang w:val="en-US" w:eastAsia="en-US" w:bidi="ar-SA"/>
        </w:rPr>
        <w:t xml:space="preserve"> </w:t>
      </w:r>
      <w:hyperlink r:id="rId207" w:history="1">
        <w:r>
          <w:rPr>
            <w:rFonts w:ascii="arial" w:eastAsia="arial" w:hAnsi="arial" w:cs="arial"/>
            <w:i/>
            <w:color w:val="0077CC"/>
            <w:sz w:val="20"/>
            <w:u w:val="single"/>
            <w:shd w:val="clear" w:color="auto" w:fill="FFFFFF"/>
            <w:lang w:val="en-US" w:eastAsia="en-US" w:bidi="ar-SA"/>
          </w:rPr>
          <w:t>(1997), 42 B.C.L.R. (3d) 116</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Keizer</w:t>
      </w:r>
      <w:r>
        <w:rPr>
          <w:rFonts w:ascii="arial" w:eastAsia="arial" w:hAnsi="arial" w:cs="arial"/>
          <w:color w:val="000000"/>
          <w:sz w:val="20"/>
          <w:lang w:val="en-US" w:eastAsia="en-US" w:bidi="ar-SA"/>
        </w:rPr>
        <w:t>, Mr. Justice Dickson at 352 said that the award in fatal compensation claims should provide "a monthly sum at least equal to that which might reasonably have been expected during the continued life of the deceased." The assessment of damages should not be punitive or influence by sentimentality: "It is largely an exercise of business judgment" (</w:t>
      </w:r>
      <w:r>
        <w:rPr>
          <w:rFonts w:ascii="arial" w:eastAsia="arial" w:hAnsi="arial" w:cs="arial"/>
          <w:i/>
          <w:color w:val="000000"/>
          <w:sz w:val="20"/>
          <w:lang w:val="en-US" w:eastAsia="en-US" w:bidi="ar-SA"/>
        </w:rPr>
        <w:t>ibid</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In this case the court must be careful to limit the losses to those that flow from the deceased's death, rather than any losses that flow from the defendant's criminal acts and subsequent incarceration. As set out at s. 3(2), damages under the </w:t>
      </w:r>
      <w:r>
        <w:rPr>
          <w:rFonts w:ascii="arial" w:eastAsia="arial" w:hAnsi="arial" w:cs="arial"/>
          <w:i/>
          <w:color w:val="000000"/>
          <w:sz w:val="20"/>
          <w:lang w:val="en-US" w:eastAsia="en-US" w:bidi="ar-SA"/>
        </w:rPr>
        <w:t>FCA</w:t>
      </w:r>
      <w:r>
        <w:rPr>
          <w:rFonts w:ascii="arial" w:eastAsia="arial" w:hAnsi="arial" w:cs="arial"/>
          <w:color w:val="000000"/>
          <w:sz w:val="20"/>
          <w:lang w:val="en-US" w:eastAsia="en-US" w:bidi="ar-SA"/>
        </w:rPr>
        <w:t xml:space="preserve"> must flow from "the injury resulting from the death." Any loss arising from the fact that the child's father is no longer present in her life and no longer earning an income flows from his own actions, not from the death itself. Similarly, in </w:t>
      </w:r>
      <w:r>
        <w:rPr>
          <w:rFonts w:ascii="arial" w:eastAsia="arial" w:hAnsi="arial" w:cs="arial"/>
          <w:i/>
          <w:color w:val="000000"/>
          <w:sz w:val="20"/>
          <w:lang w:val="en-US" w:eastAsia="en-US" w:bidi="ar-SA"/>
        </w:rPr>
        <w:t>Butterfield (Guardian of) v. Butterfield Estate</w:t>
      </w:r>
      <w:r>
        <w:rPr>
          <w:rFonts w:ascii="arial" w:eastAsia="arial" w:hAnsi="arial" w:cs="arial"/>
          <w:color w:val="000000"/>
          <w:sz w:val="20"/>
          <w:lang w:val="en-US" w:eastAsia="en-US" w:bidi="ar-SA"/>
        </w:rPr>
        <w:t xml:space="preserve"> </w:t>
      </w:r>
      <w:hyperlink r:id="rId208" w:history="1">
        <w:r>
          <w:rPr>
            <w:rFonts w:ascii="arial" w:eastAsia="arial" w:hAnsi="arial" w:cs="arial"/>
            <w:i/>
            <w:color w:val="0077CC"/>
            <w:sz w:val="20"/>
            <w:u w:val="single"/>
            <w:shd w:val="clear" w:color="auto" w:fill="FFFFFF"/>
            <w:lang w:val="en-US" w:eastAsia="en-US" w:bidi="ar-SA"/>
          </w:rPr>
          <w:t>(1996), 96 O.A.C. 262</w:t>
        </w:r>
      </w:hyperlink>
      <w:r>
        <w:rPr>
          <w:rFonts w:ascii="arial" w:eastAsia="arial" w:hAnsi="arial" w:cs="arial"/>
          <w:color w:val="000000"/>
          <w:sz w:val="20"/>
          <w:lang w:val="en-US" w:eastAsia="en-US" w:bidi="ar-SA"/>
        </w:rPr>
        <w:t xml:space="preserve">, both parents died in a car accident but the surviving children sued the father's estate as he was liable for the accident. The court emphasized that the children had no claim for the loss of any support from their father as he was the author of his own death; damages were restricted to those flowing directly from the mother's death. See also </w:t>
      </w:r>
      <w:r>
        <w:rPr>
          <w:rFonts w:ascii="arial" w:eastAsia="arial" w:hAnsi="arial" w:cs="arial"/>
          <w:i/>
          <w:color w:val="000000"/>
          <w:sz w:val="20"/>
          <w:lang w:val="en-US" w:eastAsia="en-US" w:bidi="ar-SA"/>
        </w:rPr>
        <w:t>Collins v. Savovich</w:t>
      </w:r>
      <w:r>
        <w:rPr>
          <w:rFonts w:ascii="arial" w:eastAsia="arial" w:hAnsi="arial" w:cs="arial"/>
          <w:color w:val="000000"/>
          <w:sz w:val="20"/>
          <w:lang w:val="en-US" w:eastAsia="en-US" w:bidi="ar-SA"/>
        </w:rPr>
        <w:t xml:space="preserve"> </w:t>
      </w:r>
      <w:hyperlink r:id="rId209" w:history="1">
        <w:r>
          <w:rPr>
            <w:rFonts w:ascii="arial" w:eastAsia="arial" w:hAnsi="arial" w:cs="arial"/>
            <w:i/>
            <w:color w:val="0077CC"/>
            <w:sz w:val="20"/>
            <w:u w:val="single"/>
            <w:shd w:val="clear" w:color="auto" w:fill="FFFFFF"/>
            <w:lang w:val="en-US" w:eastAsia="en-US" w:bidi="ar-SA"/>
          </w:rPr>
          <w:t>(1996), 20 B.C.L.R. (3d) 126</w:t>
        </w:r>
      </w:hyperlink>
      <w:r>
        <w:rPr>
          <w:rFonts w:ascii="arial" w:eastAsia="arial" w:hAnsi="arial" w:cs="arial"/>
          <w:color w:val="000000"/>
          <w:sz w:val="20"/>
          <w:lang w:val="en-US" w:eastAsia="en-US" w:bidi="ar-SA"/>
        </w:rPr>
        <w:t xml:space="preserve"> (S.C.), where the child's mother died in a car accident caused by his stepfather's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child went to live with other relatives, thereby cutting off the flow of income from his stepfather as well as his mother. The court noted that the child could not be compensated for the loss of the stepfather's income in the circumstances. Any recovery for the loss occasioned by the father's incarceration must be addressed in a child support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The calculation of future losses requires that the court attempt to address the unknowable. In </w:t>
      </w:r>
      <w:r>
        <w:rPr>
          <w:rFonts w:ascii="arial" w:eastAsia="arial" w:hAnsi="arial" w:cs="arial"/>
          <w:i/>
          <w:color w:val="000000"/>
          <w:sz w:val="20"/>
          <w:lang w:val="en-US" w:eastAsia="en-US" w:bidi="ar-SA"/>
        </w:rPr>
        <w:t>Rosvold v. Dunlop</w:t>
      </w:r>
      <w:r>
        <w:rPr>
          <w:rFonts w:ascii="arial" w:eastAsia="arial" w:hAnsi="arial" w:cs="arial"/>
          <w:color w:val="000000"/>
          <w:sz w:val="20"/>
          <w:lang w:val="en-US" w:eastAsia="en-US" w:bidi="ar-SA"/>
        </w:rPr>
        <w:t xml:space="preserve">, </w:t>
      </w:r>
      <w:hyperlink r:id="rId210" w:history="1">
        <w:r>
          <w:rPr>
            <w:rFonts w:ascii="arial" w:eastAsia="arial" w:hAnsi="arial" w:cs="arial"/>
            <w:i/>
            <w:color w:val="0077CC"/>
            <w:sz w:val="20"/>
            <w:u w:val="single"/>
            <w:shd w:val="clear" w:color="auto" w:fill="FFFFFF"/>
            <w:lang w:val="en-US" w:eastAsia="en-US" w:bidi="ar-SA"/>
          </w:rPr>
          <w:t>2001 BCCA 1</w:t>
        </w:r>
      </w:hyperlink>
      <w:r>
        <w:rPr>
          <w:rFonts w:ascii="arial" w:eastAsia="arial" w:hAnsi="arial" w:cs="arial"/>
          <w:color w:val="000000"/>
          <w:sz w:val="20"/>
          <w:lang w:val="en-US" w:eastAsia="en-US" w:bidi="ar-SA"/>
        </w:rPr>
        <w:t xml:space="preserve"> at para. 9, Madam Justice Huddart noted that the standard of proof for evaluating future or hypothetical events 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[9] ... simple probability, not the balance of probabilities ... Possibilities and probabilities, chances, opportunities, and risks must all be considered, so long as they are a real and substantial possibility and not mere speculation. These possibilities are to be given weight according to the percentage chance they would have happened or will happen.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As a result, in assessing the child's losses in the future, the court must apply contingencies, both positive and negative, to reflect the uncertainty inherent in making such predictions.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 will address the law that is specifically applicable to the various compensable claims as those are considered.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Assessment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The usual heads of damage in a </w:t>
      </w:r>
      <w:r>
        <w:rPr>
          <w:rFonts w:ascii="arial" w:eastAsia="arial" w:hAnsi="arial" w:cs="arial"/>
          <w:i/>
          <w:color w:val="000000"/>
          <w:sz w:val="20"/>
          <w:lang w:val="en-US" w:eastAsia="en-US" w:bidi="ar-SA"/>
        </w:rPr>
        <w:t>Family Compensation Act</w:t>
      </w:r>
      <w:r>
        <w:rPr>
          <w:rFonts w:ascii="arial" w:eastAsia="arial" w:hAnsi="arial" w:cs="arial"/>
          <w:color w:val="000000"/>
          <w:sz w:val="20"/>
          <w:lang w:val="en-US" w:eastAsia="en-US" w:bidi="ar-SA"/>
        </w:rPr>
        <w:t xml:space="preserve"> claim are:</w:t>
      </w:r>
      <w:r>
        <w:rPr>
          <w:rFonts w:ascii="arial" w:eastAsia="arial" w:hAnsi="arial" w:cs="arial"/>
          <w:sz w:val="20"/>
          <w:lang w:val="en-US" w:eastAsia="en-US" w:bidi="ar-SA"/>
        </w:rPr>
        <w:cr/>
      </w:r>
    </w:p>
    <w:p>
      <w:pPr>
        <w:numPr>
          <w:numId w:val="6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financial support (or loss of dependency);</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household services and child care;</w:t>
      </w:r>
    </w:p>
    <w:p>
      <w:pPr>
        <w:numPr>
          <w:numId w:val="3"/>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guidance, care and companionship;</w:t>
      </w:r>
    </w:p>
    <w:p>
      <w:pPr>
        <w:numPr>
          <w:numId w:val="4"/>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inheritance;</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Management fees;</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Tax Gross-up.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In quantifying the losses the plaintiffs rely on a report from Mr. Robert Carson, an economist with Associated Economic Associates. I accept him as an expert in economics qualified to provide opinion evidence on the loss to the child of past and future financial support, household services, loss of inheritance, and income tax gross-up calculations.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The defendant submitted that Mr. Carson's report was flawed because it assumed that the plaintiff's death had not occurred and that the defendant had continued to work as a teacher when in reality he is incarcerated. I reject this argument. The purpose of the </w:t>
      </w:r>
      <w:r>
        <w:rPr>
          <w:rFonts w:ascii="arial" w:eastAsia="arial" w:hAnsi="arial" w:cs="arial"/>
          <w:i/>
          <w:color w:val="000000"/>
          <w:sz w:val="20"/>
          <w:lang w:val="en-US" w:eastAsia="en-US" w:bidi="ar-SA"/>
        </w:rPr>
        <w:t>FCA</w:t>
      </w:r>
      <w:r>
        <w:rPr>
          <w:rFonts w:ascii="arial" w:eastAsia="arial" w:hAnsi="arial" w:cs="arial"/>
          <w:color w:val="000000"/>
          <w:sz w:val="20"/>
          <w:lang w:val="en-US" w:eastAsia="en-US" w:bidi="ar-SA"/>
        </w:rPr>
        <w:t xml:space="preserve"> is to compensate the child for the loss arising from the death of her mother. Such a calculation necessarily requires that one assume that the death had not occurred, just as losses in personal injury matters are calculated by assuming that the injuries had not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defendant did not otherwise oppose the calculations nor did he file a report in reply.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In considering the expert evidence I bear in mind the comments of Dickson J. in </w:t>
      </w:r>
      <w:r>
        <w:rPr>
          <w:rFonts w:ascii="arial" w:eastAsia="arial" w:hAnsi="arial" w:cs="arial"/>
          <w:i/>
          <w:color w:val="000000"/>
          <w:sz w:val="20"/>
          <w:lang w:val="en-US" w:eastAsia="en-US" w:bidi="ar-SA"/>
        </w:rPr>
        <w:t>Lewis v. Todd</w:t>
      </w:r>
      <w:r>
        <w:rPr>
          <w:rFonts w:ascii="arial" w:eastAsia="arial" w:hAnsi="arial" w:cs="arial"/>
          <w:color w:val="000000"/>
          <w:sz w:val="20"/>
          <w:lang w:val="en-US" w:eastAsia="en-US" w:bidi="ar-SA"/>
        </w:rPr>
        <w:t xml:space="preserve">, </w:t>
      </w:r>
      <w:hyperlink r:id="rId211" w:history="1">
        <w:r>
          <w:rPr>
            <w:rFonts w:ascii="arial" w:eastAsia="arial" w:hAnsi="arial" w:cs="arial"/>
            <w:i/>
            <w:color w:val="0077CC"/>
            <w:sz w:val="20"/>
            <w:u w:val="single"/>
            <w:shd w:val="clear" w:color="auto" w:fill="FFFFFF"/>
            <w:lang w:val="en-US" w:eastAsia="en-US" w:bidi="ar-SA"/>
          </w:rPr>
          <w:t>[1980] 2 S.C.R. 694</w:t>
        </w:r>
      </w:hyperlink>
      <w:r>
        <w:rPr>
          <w:rFonts w:ascii="arial" w:eastAsia="arial" w:hAnsi="arial" w:cs="arial"/>
          <w:color w:val="000000"/>
          <w:sz w:val="20"/>
          <w:lang w:val="en-US" w:eastAsia="en-US" w:bidi="ar-SA"/>
        </w:rPr>
        <w:t xml:space="preserve"> at 708, regarding the use of expert opinion evidence: "The evidence of actuaries and economists is of value in arriving at a fair and just result. ... But the trial judge, who is required to make the decision, must be accorded a large measure of freedom in dealing with the evidence presented by the experts." Where the economist's figures result in an award which seems inordinately low in the circumstances, the judge must adjust it upwards, and vice versa.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Loss of Financial Support (Dependency)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Generally speaking, the award for loss of financial support is calculated by determining what income the deceased would have earned but for the death, then reducing that amount to account for the deceased's personal consumption. The award is meant to reflect the portion of the deceased's earnings that would have gone towards the financial support of the surviving child. The amount awarded is net of income tax as, had the deceased survived, her contributions to the family and to the child would have drawn on after-tax income. Contingencies should then be considered and an allowance for "grossing up" the award made (see </w:t>
      </w:r>
      <w:r>
        <w:rPr>
          <w:rFonts w:ascii="arial" w:eastAsia="arial" w:hAnsi="arial" w:cs="arial"/>
          <w:i/>
          <w:color w:val="000000"/>
          <w:sz w:val="20"/>
          <w:lang w:val="en-US" w:eastAsia="en-US" w:bidi="ar-SA"/>
        </w:rPr>
        <w:t>Cogar Estate v. Central Mountain Air Services Ltd.</w:t>
      </w:r>
      <w:r>
        <w:rPr>
          <w:rFonts w:ascii="arial" w:eastAsia="arial" w:hAnsi="arial" w:cs="arial"/>
          <w:color w:val="000000"/>
          <w:sz w:val="20"/>
          <w:lang w:val="en-US" w:eastAsia="en-US" w:bidi="ar-SA"/>
        </w:rPr>
        <w:t xml:space="preserve"> </w:t>
      </w:r>
      <w:hyperlink r:id="rId212" w:history="1">
        <w:r>
          <w:rPr>
            <w:rFonts w:ascii="arial" w:eastAsia="arial" w:hAnsi="arial" w:cs="arial"/>
            <w:i/>
            <w:color w:val="0077CC"/>
            <w:sz w:val="20"/>
            <w:u w:val="single"/>
            <w:shd w:val="clear" w:color="auto" w:fill="FFFFFF"/>
            <w:lang w:val="en-US" w:eastAsia="en-US" w:bidi="ar-SA"/>
          </w:rPr>
          <w:t>(1992), 72 B.C.L.R. (2d) 292</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Ratansi v. Abery</w:t>
      </w:r>
      <w:r>
        <w:rPr>
          <w:rFonts w:ascii="arial" w:eastAsia="arial" w:hAnsi="arial" w:cs="arial"/>
          <w:color w:val="000000"/>
          <w:sz w:val="20"/>
          <w:lang w:val="en-US" w:eastAsia="en-US" w:bidi="ar-SA"/>
        </w:rPr>
        <w:t xml:space="preserve"> </w:t>
      </w:r>
      <w:hyperlink r:id="rId213" w:history="1">
        <w:r>
          <w:rPr>
            <w:rFonts w:ascii="arial" w:eastAsia="arial" w:hAnsi="arial" w:cs="arial"/>
            <w:i/>
            <w:color w:val="0077CC"/>
            <w:sz w:val="20"/>
            <w:u w:val="single"/>
            <w:shd w:val="clear" w:color="auto" w:fill="FFFFFF"/>
            <w:lang w:val="en-US" w:eastAsia="en-US" w:bidi="ar-SA"/>
          </w:rPr>
          <w:t>(1994), 97 B.C.L.R. (2d) 74</w:t>
        </w:r>
      </w:hyperlink>
      <w:r>
        <w:rPr>
          <w:rFonts w:ascii="arial" w:eastAsia="arial" w:hAnsi="arial" w:cs="arial"/>
          <w:color w:val="000000"/>
          <w:sz w:val="20"/>
          <w:lang w:val="en-US" w:eastAsia="en-US" w:bidi="ar-SA"/>
        </w:rPr>
        <w:t xml:space="preserve">, </w:t>
      </w:r>
      <w:hyperlink r:id="rId213" w:history="1">
        <w:r>
          <w:rPr>
            <w:rFonts w:ascii="arial" w:eastAsia="arial" w:hAnsi="arial" w:cs="arial"/>
            <w:i/>
            <w:color w:val="0077CC"/>
            <w:sz w:val="20"/>
            <w:u w:val="single"/>
            <w:shd w:val="clear" w:color="auto" w:fill="FFFFFF"/>
            <w:lang w:val="en-US" w:eastAsia="en-US" w:bidi="ar-SA"/>
          </w:rPr>
          <w:t>49 A.C.W.S. (3d) 1242</w:t>
        </w:r>
      </w:hyperlink>
      <w:r>
        <w:rPr>
          <w:rFonts w:ascii="arial" w:eastAsia="arial" w:hAnsi="arial" w:cs="arial"/>
          <w:color w:val="000000"/>
          <w:sz w:val="20"/>
          <w:lang w:val="en-US" w:eastAsia="en-US" w:bidi="ar-SA"/>
        </w:rPr>
        <w:t xml:space="preserve"> (S.C.), Madam Justice Koenigsberg provided a convenient summary of the principles that apply in making these assessments when the claimant is a child: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In order to determine how much of families' income is devoted to maintaining the child or children, two categories of expenses must be constructed; those amounts devoted exclusively to the children and those amounts which constituted the lifestyle of the children as part of the family and thus although shared with other members of the family are necessary to maintain that lifestyle.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The goal, as set out in </w:t>
      </w:r>
      <w:r>
        <w:rPr>
          <w:rFonts w:ascii="arial" w:eastAsia="arial" w:hAnsi="arial" w:cs="arial"/>
          <w:i/>
          <w:color w:val="000000"/>
          <w:sz w:val="20"/>
          <w:lang w:val="en-US" w:eastAsia="en-US" w:bidi="ar-SA"/>
        </w:rPr>
        <w:t>Plant v. Chadwick</w:t>
      </w:r>
      <w:r>
        <w:rPr>
          <w:rFonts w:ascii="arial" w:eastAsia="arial" w:hAnsi="arial" w:cs="arial"/>
          <w:color w:val="000000"/>
          <w:sz w:val="20"/>
          <w:lang w:val="en-US" w:eastAsia="en-US" w:bidi="ar-SA"/>
        </w:rPr>
        <w:t xml:space="preserve"> </w:t>
      </w:r>
      <w:hyperlink r:id="rId214" w:history="1">
        <w:r>
          <w:rPr>
            <w:rFonts w:ascii="arial" w:eastAsia="arial" w:hAnsi="arial" w:cs="arial"/>
            <w:i/>
            <w:color w:val="0077CC"/>
            <w:sz w:val="20"/>
            <w:u w:val="single"/>
            <w:shd w:val="clear" w:color="auto" w:fill="FFFFFF"/>
            <w:lang w:val="en-US" w:eastAsia="en-US" w:bidi="ar-SA"/>
          </w:rPr>
          <w:t>(1986), 5 B.C.L.R. (2d) 305</w:t>
        </w:r>
      </w:hyperlink>
      <w:r>
        <w:rPr>
          <w:rFonts w:ascii="arial" w:eastAsia="arial" w:hAnsi="arial" w:cs="arial"/>
          <w:color w:val="000000"/>
          <w:sz w:val="20"/>
          <w:lang w:val="en-US" w:eastAsia="en-US" w:bidi="ar-SA"/>
        </w:rPr>
        <w:t xml:space="preserve"> (C.A.), is to give the claimant "an award of such an amount as will assure her the comforts and station in life she would have enjoyed" but for the death.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award for loss of support for a child is limited in time to the period in which the child would have been dependent on the parent for financial support.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In his report Mr. Carson made the following assumptions:</w:t>
      </w:r>
      <w:r>
        <w:rPr>
          <w:rFonts w:ascii="arial" w:eastAsia="arial" w:hAnsi="arial" w:cs="arial"/>
          <w:sz w:val="20"/>
          <w:lang w:val="en-US" w:eastAsia="en-US" w:bidi="ar-SA"/>
        </w:rPr>
        <w:cr/>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child would have been and will be a dependant to age 22, on the basis that she will attend university and complete a degree.</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second child would have been born to the family on April 1, 2007.</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After a one-year period of maternity leave Ms. Panghali would have returned to work on a permanent part-time basis (40% of full-time); or, in the alternative, that she would have returned to full-time work.</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Panghali's work anniversary date, for movement up the teaching pay scale, was September 1, and pay increments would have occurred every second year. Mr. Carson relied on information regarding the pay scale for teachers in School District Number 36, where the deceased worked, in making these calculations.</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would have continued to work full-time as a high school teacher in School District Number 36. Again, Mr. Carson based his calculations on information regarding the pay scale in the Surrey School District.</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was no information concerning the defendant's income from his business activities. The plaintiffs were content to proceed without that information and any calculations that referred to Mr. Panghali's income included income from teaching only.</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But for the murder, Ms. Panghali and the defendant would have performed household services typical of an average Canadian male and female in similar economic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 accept the assumptions relied upon by Mr. Carson and find that the available evidence supports them. I have concluded that the deceased would likely have returned to part-time employment following a period of maternity leave, but am not satisfied that it has been established as a certainty that she would in fact have returned to full-time work, at least while her children were living at home. There is a real possibility that she would have done so eventually, however, and I have taken that into account as a contingency in assessing the loss of financial support.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Because the mother is deceased and the defendant father incarcerated (and because the defendant has chosen not to file evidence in this matter) there was minimal evidence tendered regarding the pattern of family expenditures. There is no evidence that either parent expended substantial sums outside of meeting the needs of the family, however.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Because of the limited evidence available of the family's actual expenditures Mr. Carson relied on Statistics Canada's 2008 Survey of Household Spending to produce estimates of the child's benefit from family expenditures, both with respect to her exclusive use goods (such as food and clothing), and shared use goods (such as shelter). In making the calculations Mr. Carson took into account that a second child would have been born in 2007 and that as a result the amount devoted exclusively to Maya, and the amount available for shared use consumption, would have diminished at that point. For example, he found that shared use expenditures decreased from 33.5% of total household expenditure in a three person household in 2006 to 29.8% of total household expenditure with the addition of a second child in 2007. Similarly, he estimated a child's exclusive use consumption in a three-person household at 19.3% of total household expenditure, versus 14.5% for each child in a four-person household.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Mr. Carson then estimated the dependency loss by calculating the family disposable income absent the accident and multiplying it by the child's consumption share (both exclusive and shared use) absent the accident. He provided alternate calculations to account for the possibility that the deceased would have returned to full-time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results from that formula were as follows:</w:t>
      </w:r>
      <w:r>
        <w:rPr>
          <w:rFonts w:ascii="arial" w:eastAsia="arial" w:hAnsi="arial" w:cs="arial"/>
          <w:sz w:val="20"/>
          <w:lang w:val="en-US" w:eastAsia="en-US" w:bidi="ar-SA"/>
        </w:rPr>
        <w:cr/>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Maya's past exclusive and shared use consumption (to July 1, 2013) ranged from $206,100 to $208,600, depending on Ms. Panghali's pattern of employment following maternity leave;</w:t>
      </w:r>
    </w:p>
    <w:p>
      <w:pPr>
        <w:numPr>
          <w:numId w:val="1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Maya's future exclusive and shared use consumption, to age 22, ranged from $324,800 (if Ms. Panghali worked part-time throughout) to $453,200 (if Ms. Panghali returned to work full-time sometime in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Mr. Carson then calculated the portion of those amounts attributable to Ms. Panghali's death. In calculations based on permanent part-time employment, he found that Ms. Panghali's disposable income accounted for 26.5% of the family expenditure on Maya's past use consumption (approximately $54,700) and 31.25% of her future use consumption ($101,500). In calculations based on full-time employment from 2013, Ms. Panghali's disposable income accounted for 27.4% of the total family expenditure on Maya's past use consumption ($57,200) and 50.7% of total expenditures on her future use consumption ($229,900).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In terms of contingencies, Mr. Carson took statistical estimates of the mortality risks for the child and the deceased into account in making the calculations.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Given the deceased was employed half-time and was expecting another child I conclude, as I have indicated, that she would have, after maternity leave, returned to work part-time rather than full-time. The deceased had elected to work part-time after Maya's birth. It is probable she would have continued to do so for a period following the birth of the second child. As a result I assess the child's past dependency loss at $54,700.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 situation is somewhat different for the future dependency loss, which looks quite far into the future. I am satisfied that there is a real possibility that Ms. Panghali would have returned to full-time work at some point during the period of Maya's dependency. This contingency must be recognized in the award.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 plaintiffs seek the sum of $165,000 for the future dependency loss claim, a sum partway between the figures based on part-time work and those based on full-time work from 2013 onwards. In my view that figure is an appropriate assessment of the loss as it takes into account the possibility of the deceased returning to a full-time position teaching. I assess the future dependency loss at $165,000, for a total of $219,700 under this head of 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Loss of Household Services and Childcare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Ms. Bhambra estimated that the deceased normally spent an average of 3.6 hours per day on household work and childcare tasks. However, the estimates provided by Ms. Bhambra with respect to childcare tasks appear to included double counting of time that was spent doing primary child care tasks when those tasks overlapped with time spent doing household tasks.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As a result of the limited evidence, Mr. Carson turned to the Statistics Canada 2010 General Social Survey, which sets out the average hours per day spent by females on household work and child care. These figures were reasonably consistent with the estimates given by Ms. Bhambra.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Mr. Carson noted that most tasks that comprise household work produce shared goods (i.e. they benefit all household members), although in some cases work done as well by one family member may benefit one or more than one but not all other family members. It was therefore likely that some proportion of household work done by the deceased would not have been of benefit to Maya. Mr. Carson advised that he was unaware of any statistical data that shows how much household work done by one family member is done for the benefit of other family members.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As a result, since not all domestic, shopping and service acquisition work done by one household member benefits others, a reduction to the estimates of total time spend doing household work is appropriate where the objective is to estimate the value of a survivor's loss of the value of such work as a result of the death or absence of a parent.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Mr. Carson noted that there is no way to objectively measure the effects of positive or negative contingencies as they affect the value of the work done by one household member to the benefit of another. He provided his opinion that as much household work benefits all household members, and some household work benefits only the individual doing the task, a deduction of approximately 20-30% for a child is appropriate. With regards to the childcare amounts, Mr. Carson suggested that a 20% deduction might be appropriate to recognize that some childcare would have accrued to the exclusive benefit of the second child.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According to Mr. Carson, before any adjustments for contingencies and personal consumption, the value of past and future household services provided by Ms. Panghali totalled $328,800 ($112,600 to July 2013 and $216,200 calculated to the child's age 22). For childcare the total value was $89,800 ($62,800 to July 2013 and $27,000 to age 19). In making this calculation, Mr. Carson decreased the amount of time attributed to childcare as Maya grew older. Applying the contingencies discussed above -- 30% for the shared portion of household services and 20% for childcare devoted to the second child -- the loss of household services is approximately $230,000 ($79,000 for past loss and $151,000 for future), while the loss of child care is $71,000 (split into $50,000 for past loss and $21,000 for future). I note that Mr. Carson calculated the hourly value of household work at $16.62 and the hourly value of childcare at $11.68.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Because the calculations were based on statistical averages that included women who worked both part-time and full-time, the calculations already reflect the possibility that Ms. Panghali would eventually have returned to full-time employment. In any event the differences between the average hours per day spent on household work and child care for a woman employed part-time and one employed full-time is almost negligible; for women with children over five, for example, the total time spent on household work is 3.5 hours per day, regardless of employment status. As a result there is no need to adjust the award to reflect the contingencies associated with the uncertainties of Ms. Panghali's future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Mr. Carson has built into his estimates for all the future losses a discount rate of 2.5%, pursuant to s. 56(2)(a) of the </w:t>
      </w:r>
      <w:r>
        <w:rPr>
          <w:rFonts w:ascii="arial" w:eastAsia="arial" w:hAnsi="arial" w:cs="arial"/>
          <w:i/>
          <w:color w:val="000000"/>
          <w:sz w:val="20"/>
          <w:lang w:val="en-US" w:eastAsia="en-US" w:bidi="ar-SA"/>
        </w:rPr>
        <w:t>Law and Equity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253</w:t>
      </w:r>
      <w:r>
        <w:rPr>
          <w:rFonts w:ascii="arial" w:eastAsia="arial" w:hAnsi="arial" w:cs="arial"/>
          <w:color w:val="000000"/>
          <w:sz w:val="20"/>
          <w:lang w:val="en-US" w:eastAsia="en-US" w:bidi="ar-SA"/>
        </w:rPr>
        <w:t xml:space="preserve">. He notes in his report that there is a legal issue regarding whether the present value of future household work should be calculated at the 2.5% discount rate, or the 3.5% rate governed by s. 56(2)(b) of the </w:t>
      </w:r>
      <w:r>
        <w:rPr>
          <w:rFonts w:ascii="arial" w:eastAsia="arial" w:hAnsi="arial" w:cs="arial"/>
          <w:i/>
          <w:color w:val="000000"/>
          <w:sz w:val="20"/>
          <w:lang w:val="en-US" w:eastAsia="en-US" w:bidi="ar-SA"/>
        </w:rPr>
        <w:t>Law and Equity Act</w:t>
      </w:r>
      <w:r>
        <w:rPr>
          <w:rFonts w:ascii="arial" w:eastAsia="arial" w:hAnsi="arial" w:cs="arial"/>
          <w:color w:val="000000"/>
          <w:sz w:val="20"/>
          <w:lang w:val="en-US" w:eastAsia="en-US" w:bidi="ar-SA"/>
        </w:rPr>
        <w:t>. The defendant made no submissions on this point but I accept that Mr. Carson was correct to use the 2.5% rate, (</w:t>
      </w:r>
      <w:r>
        <w:rPr>
          <w:rFonts w:ascii="arial" w:eastAsia="arial" w:hAnsi="arial" w:cs="arial"/>
          <w:i/>
          <w:color w:val="000000"/>
          <w:sz w:val="20"/>
          <w:lang w:val="en-US" w:eastAsia="en-US" w:bidi="ar-SA"/>
        </w:rPr>
        <w:t>Duncan v. Brown</w:t>
      </w:r>
      <w:r>
        <w:rPr>
          <w:rFonts w:ascii="arial" w:eastAsia="arial" w:hAnsi="arial" w:cs="arial"/>
          <w:color w:val="000000"/>
          <w:sz w:val="20"/>
          <w:lang w:val="en-US" w:eastAsia="en-US" w:bidi="ar-SA"/>
        </w:rPr>
        <w:t xml:space="preserve">, </w:t>
      </w:r>
      <w:hyperlink r:id="rId215" w:history="1">
        <w:r>
          <w:rPr>
            <w:rFonts w:ascii="arial" w:eastAsia="arial" w:hAnsi="arial" w:cs="arial"/>
            <w:i/>
            <w:color w:val="0077CC"/>
            <w:sz w:val="20"/>
            <w:u w:val="single"/>
            <w:shd w:val="clear" w:color="auto" w:fill="FFFFFF"/>
            <w:lang w:val="en-US" w:eastAsia="en-US" w:bidi="ar-SA"/>
          </w:rPr>
          <w:t>2014 BCSC 153</w:t>
        </w:r>
      </w:hyperlink>
      <w:r>
        <w:rPr>
          <w:rFonts w:ascii="arial" w:eastAsia="arial" w:hAnsi="arial" w:cs="arial"/>
          <w:color w:val="000000"/>
          <w:sz w:val="20"/>
          <w:lang w:val="en-US" w:eastAsia="en-US" w:bidi="ar-SA"/>
        </w:rPr>
        <w:t xml:space="preserve"> at para. 134).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The court's task is to assess a fair and reasonable measure of damages based on the evidence before it. A slavish adherence to mathematical calculations is not necessarily appropriate. After all, as noted by Mr. Carson, a precise calculation of the contributions to household and childcare is not possible. In addition the future cannot be predicted. That said, the calculations provided by Mr. Carson acknowledge that is the case. As a result I am satisfied that a fair and reasonable assessment of past and future household assistance is $230,000 and for past and future childcare is $71,000.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Loss of Guidance, Companionship and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The child is entitled to compensation for the loss of guidance, companionship, care and training that she would have received from her mother: </w:t>
      </w:r>
      <w:r>
        <w:rPr>
          <w:rFonts w:ascii="arial" w:eastAsia="arial" w:hAnsi="arial" w:cs="arial"/>
          <w:i/>
          <w:color w:val="000000"/>
          <w:sz w:val="20"/>
          <w:lang w:val="en-US" w:eastAsia="en-US" w:bidi="ar-SA"/>
        </w:rPr>
        <w:t>Plant</w:t>
      </w:r>
      <w:r>
        <w:rPr>
          <w:rFonts w:ascii="arial" w:eastAsia="arial" w:hAnsi="arial" w:cs="arial"/>
          <w:color w:val="000000"/>
          <w:sz w:val="20"/>
          <w:lang w:val="en-US" w:eastAsia="en-US" w:bidi="ar-SA"/>
        </w:rPr>
        <w:t xml:space="preserve">. The award under this head is pecuniary; it is "not a non-pecuniary award by way of solace as in awards for pain and suffering in personal injury cases": </w:t>
      </w:r>
      <w:r>
        <w:rPr>
          <w:rFonts w:ascii="arial" w:eastAsia="arial" w:hAnsi="arial" w:cs="arial"/>
          <w:i/>
          <w:color w:val="000000"/>
          <w:sz w:val="20"/>
          <w:lang w:val="en-US" w:eastAsia="en-US" w:bidi="ar-SA"/>
        </w:rPr>
        <w:t>Bjornson v. McDonald et al</w:t>
      </w:r>
      <w:r>
        <w:rPr>
          <w:rFonts w:ascii="arial" w:eastAsia="arial" w:hAnsi="arial" w:cs="arial"/>
          <w:color w:val="000000"/>
          <w:sz w:val="20"/>
          <w:lang w:val="en-US" w:eastAsia="en-US" w:bidi="ar-SA"/>
        </w:rPr>
        <w:t xml:space="preserve">, </w:t>
      </w:r>
      <w:hyperlink r:id="rId216" w:history="1">
        <w:r>
          <w:rPr>
            <w:rFonts w:ascii="arial" w:eastAsia="arial" w:hAnsi="arial" w:cs="arial"/>
            <w:i/>
            <w:color w:val="0077CC"/>
            <w:sz w:val="20"/>
            <w:u w:val="single"/>
            <w:shd w:val="clear" w:color="auto" w:fill="FFFFFF"/>
            <w:lang w:val="en-US" w:eastAsia="en-US" w:bidi="ar-SA"/>
          </w:rPr>
          <w:t>2005 BCSC 765</w:t>
        </w:r>
      </w:hyperlink>
      <w:r>
        <w:rPr>
          <w:rFonts w:ascii="arial" w:eastAsia="arial" w:hAnsi="arial" w:cs="arial"/>
          <w:color w:val="000000"/>
          <w:sz w:val="20"/>
          <w:lang w:val="en-US" w:eastAsia="en-US" w:bidi="ar-SA"/>
        </w:rPr>
        <w:t xml:space="preserve"> at para. 29. The award is meant to replace a pecuniary loss that the child suffers because of the loss of care, guidance and affection.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It is difficult for the court to assess such losses, as "[m]oney cannot buy a suitable replacement for a parent" (</w:t>
      </w:r>
      <w:r>
        <w:rPr>
          <w:rFonts w:ascii="arial" w:eastAsia="arial" w:hAnsi="arial" w:cs="arial"/>
          <w:i/>
          <w:color w:val="000000"/>
          <w:sz w:val="20"/>
          <w:lang w:val="en-US" w:eastAsia="en-US" w:bidi="ar-SA"/>
        </w:rPr>
        <w:t>Plant</w:t>
      </w:r>
      <w:r>
        <w:rPr>
          <w:rFonts w:ascii="arial" w:eastAsia="arial" w:hAnsi="arial" w:cs="arial"/>
          <w:color w:val="000000"/>
          <w:sz w:val="20"/>
          <w:lang w:val="en-US" w:eastAsia="en-US" w:bidi="ar-SA"/>
        </w:rPr>
        <w:t xml:space="preserve"> at 314). As a result, awards under this head are generally conventional: </w:t>
      </w:r>
      <w:r>
        <w:rPr>
          <w:rFonts w:ascii="arial" w:eastAsia="arial" w:hAnsi="arial" w:cs="arial"/>
          <w:i/>
          <w:color w:val="000000"/>
          <w:sz w:val="20"/>
          <w:lang w:val="en-US" w:eastAsia="en-US" w:bidi="ar-SA"/>
        </w:rPr>
        <w:t>McVea v. T.B. et al</w:t>
      </w:r>
      <w:r>
        <w:rPr>
          <w:rFonts w:ascii="arial" w:eastAsia="arial" w:hAnsi="arial" w:cs="arial"/>
          <w:color w:val="000000"/>
          <w:sz w:val="20"/>
          <w:lang w:val="en-US" w:eastAsia="en-US" w:bidi="ar-SA"/>
        </w:rPr>
        <w:t xml:space="preserve">, </w:t>
      </w:r>
      <w:hyperlink r:id="rId217" w:history="1">
        <w:r>
          <w:rPr>
            <w:rFonts w:ascii="arial" w:eastAsia="arial" w:hAnsi="arial" w:cs="arial"/>
            <w:i/>
            <w:color w:val="0077CC"/>
            <w:sz w:val="20"/>
            <w:u w:val="single"/>
            <w:shd w:val="clear" w:color="auto" w:fill="FFFFFF"/>
            <w:lang w:val="en-US" w:eastAsia="en-US" w:bidi="ar-SA"/>
          </w:rPr>
          <w:t>2002 BCSC 1407</w:t>
        </w:r>
      </w:hyperlink>
      <w:r>
        <w:rPr>
          <w:rFonts w:ascii="arial" w:eastAsia="arial" w:hAnsi="arial" w:cs="arial"/>
          <w:color w:val="000000"/>
          <w:sz w:val="20"/>
          <w:lang w:val="en-US" w:eastAsia="en-US" w:bidi="ar-SA"/>
        </w:rPr>
        <w:t xml:space="preserve">, noting that not only is it "impossible to replace a parent, but ... it is impossible (and invidious) to make nice comparisons between one parent's love and another's" (para. 75). In </w:t>
      </w:r>
      <w:r>
        <w:rPr>
          <w:rFonts w:ascii="arial" w:eastAsia="arial" w:hAnsi="arial" w:cs="arial"/>
          <w:i/>
          <w:color w:val="000000"/>
          <w:sz w:val="20"/>
          <w:lang w:val="en-US" w:eastAsia="en-US" w:bidi="ar-SA"/>
        </w:rPr>
        <w:t>McVea</w:t>
      </w:r>
      <w:r>
        <w:rPr>
          <w:rFonts w:ascii="arial" w:eastAsia="arial" w:hAnsi="arial" w:cs="arial"/>
          <w:color w:val="000000"/>
          <w:sz w:val="20"/>
          <w:lang w:val="en-US" w:eastAsia="en-US" w:bidi="ar-SA"/>
        </w:rPr>
        <w:t xml:space="preserve"> the court reviewed the case law and found that the awards under this heading when given to younger children ranged between $25,000 and $30,000. The upper limit of the award may increase over time with inflation and in </w:t>
      </w:r>
      <w:r>
        <w:rPr>
          <w:rFonts w:ascii="arial" w:eastAsia="arial" w:hAnsi="arial" w:cs="arial"/>
          <w:i/>
          <w:color w:val="000000"/>
          <w:sz w:val="20"/>
          <w:lang w:val="en-US" w:eastAsia="en-US" w:bidi="ar-SA"/>
        </w:rPr>
        <w:t>Foster v. Perry and VSA Highway Maintenance Ltd.</w:t>
      </w:r>
      <w:r>
        <w:rPr>
          <w:rFonts w:ascii="arial" w:eastAsia="arial" w:hAnsi="arial" w:cs="arial"/>
          <w:color w:val="000000"/>
          <w:sz w:val="20"/>
          <w:lang w:val="en-US" w:eastAsia="en-US" w:bidi="ar-SA"/>
        </w:rPr>
        <w:t xml:space="preserve">, </w:t>
      </w:r>
      <w:hyperlink r:id="rId218" w:history="1">
        <w:r>
          <w:rPr>
            <w:rFonts w:ascii="arial" w:eastAsia="arial" w:hAnsi="arial" w:cs="arial"/>
            <w:i/>
            <w:color w:val="0077CC"/>
            <w:sz w:val="20"/>
            <w:u w:val="single"/>
            <w:shd w:val="clear" w:color="auto" w:fill="FFFFFF"/>
            <w:lang w:val="en-US" w:eastAsia="en-US" w:bidi="ar-SA"/>
          </w:rPr>
          <w:t>2005 BCSC 1214</w:t>
        </w:r>
      </w:hyperlink>
      <w:r>
        <w:rPr>
          <w:rFonts w:ascii="arial" w:eastAsia="arial" w:hAnsi="arial" w:cs="arial"/>
          <w:color w:val="000000"/>
          <w:sz w:val="20"/>
          <w:lang w:val="en-US" w:eastAsia="en-US" w:bidi="ar-SA"/>
        </w:rPr>
        <w:t>, Mr. Justice Pitfield concluded that the conventional award under this head of damages had risen to a limit of $35,000 per child.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 child has lost the care, love and support of her mother who would have provided guidance throughout her youth into young adulthood as I am satisfied that it is probable that the child will continue on to university. The plaintiff seeks the conventional award of $35,000 and I so order.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Loss of Inheritance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The plaintiffs claim for damages reflecting the present value of the inheritance the child might reasonably be expected to have received from Ms. Panghali but for her premature death. In making this claim, they focus on the value of two properties: the matrimonial home, and the Southridge investment property. Mr. Carson in his report calculated Maya's absent-incident expected share in the value of the properties following her parents' deaths, calculating in an increase in value for the properties tied to the rate of inflation over their natural lifespans.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The defendant takes issue with this claim. The defendant submits that the principle that the plaintiff is not entitled to double recovery for any loss arising from an injury claim is equally applicable to claims under the </w:t>
      </w:r>
      <w:r>
        <w:rPr>
          <w:rFonts w:ascii="arial" w:eastAsia="arial" w:hAnsi="arial" w:cs="arial"/>
          <w:i/>
          <w:color w:val="000000"/>
          <w:sz w:val="20"/>
          <w:lang w:val="en-US" w:eastAsia="en-US" w:bidi="ar-SA"/>
        </w:rPr>
        <w:t>FCA</w:t>
      </w:r>
      <w:r>
        <w:rPr>
          <w:rFonts w:ascii="arial" w:eastAsia="arial" w:hAnsi="arial" w:cs="arial"/>
          <w:color w:val="000000"/>
          <w:sz w:val="20"/>
          <w:lang w:val="en-US" w:eastAsia="en-US" w:bidi="ar-SA"/>
        </w:rPr>
        <w:t>. The defendant says that the loss of inheritance claim, if granted, would amount to double recovery, because the deceased's estate has already received a benefit because of the defendant's conduct. According to defence counsel, that benefit arises because the portion of the value of the matrimonial home which the defendant would have received as a result of survivorship principles has reverted to the deceased's estate.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In order to understand the difficulties arising under this head of loss, it is necessary to briefly discuss the current status of both the matrimonial home and the Southridge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xml:space="preserve">  The defendant and the deceased owned the matrimonial home in joint tenancy. As a result, on her death, the deceased's undivided half interest in the property passed to the defendant by right of survivorship. As the deceased died intestate, the defendant also became entitled, subject to the then </w:t>
      </w:r>
      <w:r>
        <w:rPr>
          <w:rFonts w:ascii="arial" w:eastAsia="arial" w:hAnsi="arial" w:cs="arial"/>
          <w:i/>
          <w:color w:val="000000"/>
          <w:sz w:val="20"/>
          <w:lang w:val="en-US" w:eastAsia="en-US" w:bidi="ar-SA"/>
        </w:rPr>
        <w:t>Estate Administration Act</w:t>
      </w:r>
      <w:r>
        <w:rPr>
          <w:rFonts w:ascii="arial" w:eastAsia="arial" w:hAnsi="arial" w:cs="arial"/>
          <w:color w:val="000000"/>
          <w:sz w:val="20"/>
          <w:lang w:val="en-US" w:eastAsia="en-US" w:bidi="ar-SA"/>
        </w:rPr>
        <w:t>, to inherit any other assets under the intestacy.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It is trite law, however, that a murderer cannot profit from his wrongful act by acquiring property from the victim. Based on this principle, the deceased's estate advanced a claim in constructive trust against the defendant, claiming that the deceased's half interest in the matrimonial home, and a half interest in the Southridge property, should both flow to the deceased's estate.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That claim is the subject of the other lawsuit between the parties that was discussed in the introduction to this matter. In that action, Dardi J. has issued a declaration that the defendant, by virtue of the fact that he unlawfully caused the deceased's death, is disentitled to any benefit he might otherwise have gotten as a result of her death, by operation of law, right of survivorship, or on intestacy.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As a result, it appears that Maya is the sole beneficiary of her mother's estate. In the normal course, the estate would receive half of the equity in the matrimonial home (approximately $130,000) and, in addition, whatever portion of the value of the Southridge property the court finds should be held on constructive trust for the estate. Again, assuming the estate is successful in claiming a half interest, this amounts to approximately $130,000.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However, as noted above, there are a number of other claims against both those properties. As a result, it is not clear what portion of the funds currently in the trust account will eventually enter the deceased's estate and flow, from there, to the child.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Law on Loss of Inheritance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An inheritance -- or the expectation of one -- can play two roles in a wrongful death claim: first, as a head of damages, known as "loss of inheritance," and second, as a deduction from the overall award made to account for any benefits received by the claimant in the deceased's estate.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The plaintiffs may say, as they do here, that they have lost a potential inheritance by the deceased's premature death, on the basis that the untimely death of the victim has stopped her from accumulating assets that would eventually have entered her estate. The compensation is meant to replace the amount by which the deceased's estate would have increased if she had lived.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xml:space="preserve">  As the court pointed out in </w:t>
      </w:r>
      <w:r>
        <w:rPr>
          <w:rFonts w:ascii="arial" w:eastAsia="arial" w:hAnsi="arial" w:cs="arial"/>
          <w:i/>
          <w:color w:val="000000"/>
          <w:sz w:val="20"/>
          <w:lang w:val="en-US" w:eastAsia="en-US" w:bidi="ar-SA"/>
        </w:rPr>
        <w:t>Kwok v. B.C. Ferry Corp.</w:t>
      </w:r>
      <w:r>
        <w:rPr>
          <w:rFonts w:ascii="arial" w:eastAsia="arial" w:hAnsi="arial" w:cs="arial"/>
          <w:color w:val="000000"/>
          <w:sz w:val="20"/>
          <w:lang w:val="en-US" w:eastAsia="en-US" w:bidi="ar-SA"/>
        </w:rPr>
        <w:t xml:space="preserve"> </w:t>
      </w:r>
      <w:hyperlink r:id="rId219" w:history="1">
        <w:r>
          <w:rPr>
            <w:rFonts w:ascii="arial" w:eastAsia="arial" w:hAnsi="arial" w:cs="arial"/>
            <w:i/>
            <w:color w:val="0077CC"/>
            <w:sz w:val="20"/>
            <w:u w:val="single"/>
            <w:shd w:val="clear" w:color="auto" w:fill="FFFFFF"/>
            <w:lang w:val="en-US" w:eastAsia="en-US" w:bidi="ar-SA"/>
          </w:rPr>
          <w:t>(1987), 20 B.C.L.R. (2d) 318</w:t>
        </w:r>
      </w:hyperlink>
      <w:r>
        <w:rPr>
          <w:rFonts w:ascii="arial" w:eastAsia="arial" w:hAnsi="arial" w:cs="arial"/>
          <w:color w:val="000000"/>
          <w:sz w:val="20"/>
          <w:lang w:val="en-US" w:eastAsia="en-US" w:bidi="ar-SA"/>
        </w:rPr>
        <w:t xml:space="preserve"> at 361 (S.C.), a "claim of this nature is beset with uncertainty and any award must necessarily be largely arbitrary." It is very difficult to predict what assets a person might have accumulated over their natural lifespan, how they might have dealt with them during that period, or predict how they might have dispersed them at death. The deceased may have put aside savings at one point in life only to spend them later, or invested in real estate (the matrimonial home or otherwise) only to consume the value of those assets during retirement. Catastrophes might have arisen that required the deceased to draw on savings; or perhaps the deceased would have spent the majority of her income, rather than saving, and not accumulated much in the way of assets at all. At the end of a natural lifespan she might have devised her assets entirely on her spouse, if he outlived her. The contingencies and uncertainties associated with the award are very high.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The other side of the inheritance claim is a deduction to account for any financial benefits flowing through the estate to the claimant. The amount deducted is not the actual amount received, but instead, the value of the acceleration of the inheritance -- the value of the fact that the estate has come to the plaintiff much earlier than it would have done absent the wrongful death.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xml:space="preserve">  In many cases, these two factors cancel each other out, so that no award or deduction is made with regards to the value of an inheritance; see for example </w:t>
      </w:r>
      <w:r>
        <w:rPr>
          <w:rFonts w:ascii="arial" w:eastAsia="arial" w:hAnsi="arial" w:cs="arial"/>
          <w:i/>
          <w:color w:val="000000"/>
          <w:sz w:val="20"/>
          <w:lang w:val="en-US" w:eastAsia="en-US" w:bidi="ar-SA"/>
        </w:rPr>
        <w:t>Keizer,</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Boechler v. Edwards et al</w:t>
      </w:r>
      <w:r>
        <w:rPr>
          <w:rFonts w:ascii="arial" w:eastAsia="arial" w:hAnsi="arial" w:cs="arial"/>
          <w:color w:val="000000"/>
          <w:sz w:val="20"/>
          <w:lang w:val="en-US" w:eastAsia="en-US" w:bidi="ar-SA"/>
        </w:rPr>
        <w:t xml:space="preserve">, </w:t>
      </w:r>
      <w:hyperlink r:id="rId220" w:history="1">
        <w:r>
          <w:rPr>
            <w:rFonts w:ascii="arial" w:eastAsia="arial" w:hAnsi="arial" w:cs="arial"/>
            <w:i/>
            <w:color w:val="0077CC"/>
            <w:sz w:val="20"/>
            <w:u w:val="single"/>
            <w:shd w:val="clear" w:color="auto" w:fill="FFFFFF"/>
            <w:lang w:val="en-US" w:eastAsia="en-US" w:bidi="ar-SA"/>
          </w:rPr>
          <w:t>2004 BCSC 301</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xml:space="preserve">  If the deceased's estate had no (or minimal) assets, there is no need to make a deduction for acceleration of inheritance. In such a case, courts generally award a nominal sum -- the conventional award for children ranges from $5,000 to $10,000 -- to recognize the difficulty of calculating losses under this head of damages. See for example </w:t>
      </w:r>
      <w:r>
        <w:rPr>
          <w:rFonts w:ascii="arial" w:eastAsia="arial" w:hAnsi="arial" w:cs="arial"/>
          <w:i/>
          <w:color w:val="000000"/>
          <w:sz w:val="20"/>
          <w:lang w:val="en-US" w:eastAsia="en-US" w:bidi="ar-SA"/>
        </w:rPr>
        <w:t>McVea</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Morrison v. Moore</w:t>
      </w:r>
      <w:r>
        <w:rPr>
          <w:rFonts w:ascii="arial" w:eastAsia="arial" w:hAnsi="arial" w:cs="arial"/>
          <w:color w:val="000000"/>
          <w:sz w:val="20"/>
          <w:lang w:val="en-US" w:eastAsia="en-US" w:bidi="ar-SA"/>
        </w:rPr>
        <w:t xml:space="preserve">, </w:t>
      </w:r>
      <w:hyperlink r:id="rId221" w:history="1">
        <w:r>
          <w:rPr>
            <w:rFonts w:ascii="arial" w:eastAsia="arial" w:hAnsi="arial" w:cs="arial"/>
            <w:i/>
            <w:color w:val="0077CC"/>
            <w:sz w:val="20"/>
            <w:u w:val="single"/>
            <w:shd w:val="clear" w:color="auto" w:fill="FFFFFF"/>
            <w:lang w:val="en-US" w:eastAsia="en-US" w:bidi="ar-SA"/>
          </w:rPr>
          <w:t>2009 BCSC 1656</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Coe Estate v. Tennant</w:t>
      </w:r>
      <w:r>
        <w:rPr>
          <w:rFonts w:ascii="arial" w:eastAsia="arial" w:hAnsi="arial" w:cs="arial"/>
          <w:color w:val="000000"/>
          <w:sz w:val="20"/>
          <w:lang w:val="en-US" w:eastAsia="en-US" w:bidi="ar-SA"/>
        </w:rPr>
        <w:t xml:space="preserve"> </w:t>
      </w:r>
      <w:hyperlink r:id="rId222" w:history="1">
        <w:r>
          <w:rPr>
            <w:rFonts w:ascii="arial" w:eastAsia="arial" w:hAnsi="arial" w:cs="arial"/>
            <w:i/>
            <w:color w:val="0077CC"/>
            <w:sz w:val="20"/>
            <w:u w:val="single"/>
            <w:shd w:val="clear" w:color="auto" w:fill="FFFFFF"/>
            <w:lang w:val="en-US" w:eastAsia="en-US" w:bidi="ar-SA"/>
          </w:rPr>
          <w:t>(1988), 31 B.C.L.R. (2d) 236</w:t>
        </w:r>
      </w:hyperlink>
      <w:r>
        <w:rPr>
          <w:rFonts w:ascii="arial" w:eastAsia="arial" w:hAnsi="arial" w:cs="arial"/>
          <w:color w:val="000000"/>
          <w:sz w:val="20"/>
          <w:lang w:val="en-US" w:eastAsia="en-US" w:bidi="ar-SA"/>
        </w:rPr>
        <w:t xml:space="preserve">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xml:space="preserve">  Courts in British Columbia have given higher awards under this head of damages, but only where there is evidence establishing a pattern of income and savings that would support the potential for a significant estate remaining at the end of the deceased's natural lifespan: see for example </w:t>
      </w:r>
      <w:r>
        <w:rPr>
          <w:rFonts w:ascii="arial" w:eastAsia="arial" w:hAnsi="arial" w:cs="arial"/>
          <w:i/>
          <w:color w:val="000000"/>
          <w:sz w:val="20"/>
          <w:lang w:val="en-US" w:eastAsia="en-US" w:bidi="ar-SA"/>
        </w:rPr>
        <w:t>Stegmann v. Pasemko</w:t>
      </w:r>
      <w:r>
        <w:rPr>
          <w:rFonts w:ascii="arial" w:eastAsia="arial" w:hAnsi="arial" w:cs="arial"/>
          <w:color w:val="000000"/>
          <w:sz w:val="20"/>
          <w:lang w:val="en-US" w:eastAsia="en-US" w:bidi="ar-SA"/>
        </w:rPr>
        <w:t xml:space="preserve">, </w:t>
      </w:r>
      <w:hyperlink r:id="rId223" w:history="1">
        <w:r>
          <w:rPr>
            <w:rFonts w:ascii="arial" w:eastAsia="arial" w:hAnsi="arial" w:cs="arial"/>
            <w:i/>
            <w:color w:val="0077CC"/>
            <w:sz w:val="20"/>
            <w:u w:val="single"/>
            <w:shd w:val="clear" w:color="auto" w:fill="FFFFFF"/>
            <w:lang w:val="en-US" w:eastAsia="en-US" w:bidi="ar-SA"/>
          </w:rPr>
          <w:t>2010 BCCA 151</w:t>
        </w:r>
      </w:hyperlink>
      <w:r>
        <w:rPr>
          <w:rFonts w:ascii="arial" w:eastAsia="arial" w:hAnsi="arial" w:cs="arial"/>
          <w:color w:val="000000"/>
          <w:sz w:val="20"/>
          <w:lang w:val="en-US" w:eastAsia="en-US" w:bidi="ar-SA"/>
        </w:rPr>
        <w:t xml:space="preserve"> ($30,000 per child) and </w:t>
      </w:r>
      <w:r>
        <w:rPr>
          <w:rFonts w:ascii="arial" w:eastAsia="arial" w:hAnsi="arial" w:cs="arial"/>
          <w:i/>
          <w:color w:val="000000"/>
          <w:sz w:val="20"/>
          <w:lang w:val="en-US" w:eastAsia="en-US" w:bidi="ar-SA"/>
        </w:rPr>
        <w:t>Duncan</w:t>
      </w:r>
      <w:r>
        <w:rPr>
          <w:rFonts w:ascii="arial" w:eastAsia="arial" w:hAnsi="arial" w:cs="arial"/>
          <w:color w:val="000000"/>
          <w:sz w:val="20"/>
          <w:lang w:val="en-US" w:eastAsia="en-US" w:bidi="ar-SA"/>
        </w:rPr>
        <w:t xml:space="preserve"> ($25,000 for the child).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xml:space="preserve">  The facts in this case are unusual, but I do not think they can be said to be so unusual as to support, as the plaintiffs claim, an award of $125,650 under this head of damages. That amount is almost five times as much as the amount in </w:t>
      </w:r>
      <w:r>
        <w:rPr>
          <w:rFonts w:ascii="arial" w:eastAsia="arial" w:hAnsi="arial" w:cs="arial"/>
          <w:i/>
          <w:color w:val="000000"/>
          <w:sz w:val="20"/>
          <w:lang w:val="en-US" w:eastAsia="en-US" w:bidi="ar-SA"/>
        </w:rPr>
        <w:t>Stegmann</w:t>
      </w:r>
      <w:r>
        <w:rPr>
          <w:rFonts w:ascii="arial" w:eastAsia="arial" w:hAnsi="arial" w:cs="arial"/>
          <w:color w:val="000000"/>
          <w:sz w:val="20"/>
          <w:lang w:val="en-US" w:eastAsia="en-US" w:bidi="ar-SA"/>
        </w:rPr>
        <w:t>, where the deceased mother was an entrepreneur whose efforts at the time of death had built a high-value asset base and who, absent death, would likely have continue to make large contributions to the wealth of her future estate. While I accept that Ms. Panghali was devoted to her family, and that she appears to have been financially prudent, I do not think that the evidence supports the contention that she would have been able to accrue an unusually large estate.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The plaintiff submits that the increased value of the estate would have come from the growing equity in the family home (and the investment property, although the evidence is that the property was meant to be sold at completion) as the parents contributed to the mortgage over the years. I note that some of that value is already covered in the award for loss of dependency, as Mr. Carson's calculations included Ms. Panghali's contribution to shelter costs and therefore to the mortgage. Further, there is no guarantee that any of the equity in the home would have remained at the end of Ms. Panghali's natural lifespan and passed in her estate to the child. As discussed above, the deceased and the defendant might have used the equity in their home up in their retirement, or otherwise consumed the value in their own lifetimes; and if Ms. Panghali had predeceased Mr. Panghali, both properties would have passed to him. Any inheritance based on these assets would have been subject to significant contingencies.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In other circumstances I might have found this a proper case to make a modest nominal award, likely the conventional $5,000. However, it seems clear that some portion of the liquidated value of both the matrimonial home and the Southridge property will fall into the mother's estate and pass, by virtue of the fact that the father is disentitled to take on the intestacy, entirely to the plaintiff. Following Dardi J.'s declaration in the other lawsuit, the estate has established an interest in, at very least, a half interest in the equity of the matrimonial home. As a result, the child will receive an accelerated inheritance. That acceleration will eliminate the contingencies and uncertainties associated with the future inheritance.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The plaintiffs say that there has been no acceleration because, as a result of the multiple claims against the subject properties, the estate may never receive any of the funds held in trust. I cannot accede to that argument. If the defendant's parents can successfully establish that they are entitled to a portion of that value due to their contributions to the assets, then the basis for the loss of inheritance claim is diminished, as the equity available at the available at the end of the deceased's natural lifespan would have been correspondingly diminished. Whatever equity does enter the estate, it will correspond with the amount the deceased would have relied upon to establish her estate in her natural lifespan.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In the circumstances, I find it fair to say that any potential loss of future inheritance to the child will be offset by the acceleration of her inheritance. I decline to make an award under this head of damages, but also decline to make any deduction from the loss of dependency award.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Management Fee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The plaintiff seeks a management fee and proposes that the Public Guardian and Trustee fulfill that role. The defendant made no submissions on this issue. Entitlement to a management fee depends on the sophistication of the claimant and the necessity for a manager to achieve a certain rate of return and ensure that the lump sum award is not depleted prematurely. The plaintiff administrator Ms. Bhambra is a homemaker. There is no evidence of the occupation of her co-administrator, Mr. Basra. There is no evidence that either of them have the expertise required to manage the funds. In the circumstances in order to protect the integrity of the award and achieve its objectives an award for the management of the fund is appropriate (</w:t>
      </w:r>
      <w:r>
        <w:rPr>
          <w:rFonts w:ascii="arial" w:eastAsia="arial" w:hAnsi="arial" w:cs="arial"/>
          <w:i/>
          <w:color w:val="000000"/>
          <w:sz w:val="20"/>
          <w:lang w:val="en-US" w:eastAsia="en-US" w:bidi="ar-SA"/>
        </w:rPr>
        <w:t>Uri Estate</w:t>
      </w:r>
      <w:r>
        <w:rPr>
          <w:rFonts w:ascii="arial" w:eastAsia="arial" w:hAnsi="arial" w:cs="arial"/>
          <w:color w:val="000000"/>
          <w:sz w:val="20"/>
          <w:lang w:val="en-US" w:eastAsia="en-US" w:bidi="ar-SA"/>
        </w:rPr>
        <w:t xml:space="preserve"> at paras. 58-61).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Mr. Carson filed a report estimating the charges that would be made by the Public Guardian and Trustee of British Columbia for managing the funds awarded. The calculations provided showing the allowance for the charges of the Public Guardian and Trustee represent the present value of the additional funds required to cover the costs of management of the lump sum award so that the fund will yield a stream of income payments appropriate to the estimates of loss and also cover the costs of fees charged based on the exhausting fund principle. Mr. Carson described the calculations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understand the fees charged by the PGT to consist of the following elements:</w:t>
      </w:r>
    </w:p>
    <w:p>
      <w:pPr>
        <w:numPr>
          <w:numId w:val="1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5% of the cash received as capital;</w:t>
      </w:r>
    </w:p>
    <w:p>
      <w:pPr>
        <w:numPr>
          <w:numId w:val="1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5% of cash received as income;</w:t>
      </w:r>
    </w:p>
    <w:p>
      <w:pPr>
        <w:numPr>
          <w:numId w:val="1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0.4% of the gross value of all assets.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estimates of costs of PGT fee expenses, described below, are based upon the following:</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price inflation will be 2.5% per annum;</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real discount rate (net of inflation) is 3.5% per annum;</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GST at 5% is added to fees in 2013.</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have calculated the PGT fees, expressed as percentages of initial capital amounts, for two assumptions with regard to the pattern of withdrawals from the awards. These are:</w:t>
      </w:r>
    </w:p>
    <w:p>
      <w:pPr>
        <w:numPr>
          <w:numId w:val="2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funds will be drawn down to zero by Maya's age 19, in constant annual (real) amounts;</w:t>
      </w:r>
    </w:p>
    <w:p>
      <w:pPr>
        <w:numPr>
          <w:numId w:val="2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funds will not be withdrawn, until Maya's age 19.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The estimated charges of the Public Guardian and Trustee if the funds are drawn down in constant amounts is 8.4% and if held and withdrawn at age 19 is 12.7%.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Ms. Bhambra deposes that she has received Canada Pension Plan survivor's benefits, the Canada Pension Plan death benefit and a Criminal Victim Assistance program payment for the child and has used all of those funds for the child's maintenance and support. I take from that there is a need for ongoing assistance respecting the child. In addition she deposes that the child does well at school, is thriving and that she anticipates the child will graduate from high school and then obtain a university education as both of her parents did. I am satisfied that there is therefore a need for both ongoing funds and funds when the child turns 19 to enable her to pursue her education. For the purpose of determining the management feed the appropriate disbursal of the funds therefore is to assume 50% will be drawn down by age 19 and 50% will be left to that age. Mr. Carson calculates the fees for that scenario at 10.55%.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Applying that figure of 10.55% to the award of $555,700 I award the sum of $58,600 to provide financial accounting and management advice.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The plaintiff is entitled to pre-judgment interest on those parts of the award that are compensation for damages incurred to the date of trial. Specifically, the past dependency loss and the loss of past household assistance and childcare. The plaintiff is also entitled to post-judgment 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xml:space="preserve">  In addition as the award for loss of love and guidance is a pecuniary award under s. 1 of the </w:t>
      </w:r>
      <w:r>
        <w:rPr>
          <w:rFonts w:ascii="arial" w:eastAsia="arial" w:hAnsi="arial" w:cs="arial"/>
          <w:i/>
          <w:color w:val="000000"/>
          <w:sz w:val="20"/>
          <w:lang w:val="en-US" w:eastAsia="en-US" w:bidi="ar-SA"/>
        </w:rPr>
        <w:t>Court Order Interest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79</w:t>
      </w:r>
      <w:r>
        <w:rPr>
          <w:rFonts w:ascii="arial" w:eastAsia="arial" w:hAnsi="arial" w:cs="arial"/>
          <w:color w:val="000000"/>
          <w:sz w:val="20"/>
          <w:lang w:val="en-US" w:eastAsia="en-US" w:bidi="ar-SA"/>
        </w:rPr>
        <w:t xml:space="preserve"> interest shall accrue on that award as well (see </w:t>
      </w:r>
      <w:r>
        <w:rPr>
          <w:rFonts w:ascii="arial" w:eastAsia="arial" w:hAnsi="arial" w:cs="arial"/>
          <w:i/>
          <w:color w:val="000000"/>
          <w:sz w:val="20"/>
          <w:lang w:val="en-US" w:eastAsia="en-US" w:bidi="ar-SA"/>
        </w:rPr>
        <w:t>Garami-Balmer v. Hrehirchuk</w:t>
      </w:r>
      <w:r>
        <w:rPr>
          <w:rFonts w:ascii="arial" w:eastAsia="arial" w:hAnsi="arial" w:cs="arial"/>
          <w:color w:val="000000"/>
          <w:sz w:val="20"/>
          <w:lang w:val="en-US" w:eastAsia="en-US" w:bidi="ar-SA"/>
        </w:rPr>
        <w:t xml:space="preserve"> </w:t>
      </w:r>
      <w:hyperlink r:id="rId224" w:history="1">
        <w:r>
          <w:rPr>
            <w:rFonts w:ascii="arial" w:eastAsia="arial" w:hAnsi="arial" w:cs="arial"/>
            <w:i/>
            <w:color w:val="0077CC"/>
            <w:sz w:val="20"/>
            <w:u w:val="single"/>
            <w:shd w:val="clear" w:color="auto" w:fill="FFFFFF"/>
            <w:lang w:val="en-US" w:eastAsia="en-US" w:bidi="ar-SA"/>
          </w:rPr>
          <w:t>(1998), 63 B.C.L.R. (3d) 288</w:t>
        </w:r>
      </w:hyperlink>
      <w:r>
        <w:rPr>
          <w:rFonts w:ascii="arial" w:eastAsia="arial" w:hAnsi="arial" w:cs="arial"/>
          <w:color w:val="000000"/>
          <w:sz w:val="20"/>
          <w:lang w:val="en-US" w:eastAsia="en-US" w:bidi="ar-SA"/>
        </w:rPr>
        <w:t xml:space="preserve">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Interest is allowed at the court ordered interest rates and is to be calculated pursuant to the</w:t>
      </w:r>
      <w:r>
        <w:rPr>
          <w:rFonts w:ascii="arial" w:eastAsia="arial" w:hAnsi="arial" w:cs="arial"/>
          <w:i/>
          <w:color w:val="000000"/>
          <w:sz w:val="20"/>
          <w:lang w:val="en-US" w:eastAsia="en-US" w:bidi="ar-SA"/>
        </w:rPr>
        <w:t xml:space="preserve"> Court Order Interest Act.</w:t>
      </w:r>
      <w:r>
        <w:rPr>
          <w:rFonts w:ascii="arial" w:eastAsia="arial" w:hAnsi="arial" w:cs="arial"/>
          <w:color w:val="000000"/>
          <w:sz w:val="20"/>
          <w:lang w:val="en-US" w:eastAsia="en-US" w:bidi="ar-SA"/>
        </w:rPr>
        <w:t xml:space="preserve"> If issues arise with respect to the interest calculation the parties have liberty to apply.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Tax Gross-up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The plaintiff has requested that the issue of the tax gross-up should be dealt with following delivery of these reasons. If counsel are unable to agree they may speak to the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xml:space="preserve">  The plaintiffs claim special costs. They say that such costs are available where the conduct giving rise to the liability is reprehensible and criminal in nature. They cite </w:t>
      </w:r>
      <w:r>
        <w:rPr>
          <w:rFonts w:ascii="arial" w:eastAsia="arial" w:hAnsi="arial" w:cs="arial"/>
          <w:i/>
          <w:color w:val="000000"/>
          <w:sz w:val="20"/>
          <w:lang w:val="en-US" w:eastAsia="en-US" w:bidi="ar-SA"/>
        </w:rPr>
        <w:t>Wiebe v. Gunderson et al</w:t>
      </w:r>
      <w:r>
        <w:rPr>
          <w:rFonts w:ascii="arial" w:eastAsia="arial" w:hAnsi="arial" w:cs="arial"/>
          <w:color w:val="000000"/>
          <w:sz w:val="20"/>
          <w:lang w:val="en-US" w:eastAsia="en-US" w:bidi="ar-SA"/>
        </w:rPr>
        <w:t xml:space="preserve">, </w:t>
      </w:r>
      <w:hyperlink r:id="rId225" w:history="1">
        <w:r>
          <w:rPr>
            <w:rFonts w:ascii="arial" w:eastAsia="arial" w:hAnsi="arial" w:cs="arial"/>
            <w:i/>
            <w:color w:val="0077CC"/>
            <w:sz w:val="20"/>
            <w:u w:val="single"/>
            <w:shd w:val="clear" w:color="auto" w:fill="FFFFFF"/>
            <w:lang w:val="en-US" w:eastAsia="en-US" w:bidi="ar-SA"/>
          </w:rPr>
          <w:t>2003 BCSC 1931</w:t>
        </w:r>
      </w:hyperlink>
      <w:r>
        <w:rPr>
          <w:rFonts w:ascii="arial" w:eastAsia="arial" w:hAnsi="arial" w:cs="arial"/>
          <w:color w:val="000000"/>
          <w:sz w:val="20"/>
          <w:lang w:val="en-US" w:eastAsia="en-US" w:bidi="ar-SA"/>
        </w:rPr>
        <w:t>, for that principle.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xml:space="preserve">  The defendant responds that the "motivation" of the plaintiffs in seeking special costs is based on the defendant's criminal conduct and that somehow it is really a claim for punitive damages. Therefore, relying on </w:t>
      </w:r>
      <w:r>
        <w:rPr>
          <w:rFonts w:ascii="arial" w:eastAsia="arial" w:hAnsi="arial" w:cs="arial"/>
          <w:i/>
          <w:color w:val="000000"/>
          <w:sz w:val="20"/>
          <w:lang w:val="en-US" w:eastAsia="en-US" w:bidi="ar-SA"/>
        </w:rPr>
        <w:t>B.</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(P.) v. B. (W.)</w:t>
      </w:r>
      <w:r>
        <w:rPr>
          <w:rFonts w:ascii="arial" w:eastAsia="arial" w:hAnsi="arial" w:cs="arial"/>
          <w:color w:val="000000"/>
          <w:sz w:val="20"/>
          <w:lang w:val="en-US" w:eastAsia="en-US" w:bidi="ar-SA"/>
        </w:rPr>
        <w:t xml:space="preserve"> </w:t>
      </w:r>
      <w:hyperlink r:id="rId226" w:history="1">
        <w:r>
          <w:rPr>
            <w:rFonts w:ascii="arial" w:eastAsia="arial" w:hAnsi="arial" w:cs="arial"/>
            <w:i/>
            <w:color w:val="0077CC"/>
            <w:sz w:val="20"/>
            <w:u w:val="single"/>
            <w:shd w:val="clear" w:color="auto" w:fill="FFFFFF"/>
            <w:lang w:val="en-US" w:eastAsia="en-US" w:bidi="ar-SA"/>
          </w:rPr>
          <w:t>(1992), 11 O.R. (3d) 161</w:t>
        </w:r>
      </w:hyperlink>
      <w:r>
        <w:rPr>
          <w:rFonts w:ascii="arial" w:eastAsia="arial" w:hAnsi="arial" w:cs="arial"/>
          <w:color w:val="000000"/>
          <w:sz w:val="20"/>
          <w:lang w:val="en-US" w:eastAsia="en-US" w:bidi="ar-SA"/>
        </w:rPr>
        <w:t xml:space="preserve"> (Gen. Div.) at para. 21, he submits he has already been sanctioned and punished and that "to award punitive damages in a civil lawsuit would amount to double jeopardy".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xml:space="preserve">  With respect there are difficulties with both these statements of law. To begin, in </w:t>
      </w:r>
      <w:r>
        <w:rPr>
          <w:rFonts w:ascii="arial" w:eastAsia="arial" w:hAnsi="arial" w:cs="arial"/>
          <w:i/>
          <w:color w:val="000000"/>
          <w:sz w:val="20"/>
          <w:lang w:val="en-US" w:eastAsia="en-US" w:bidi="ar-SA"/>
        </w:rPr>
        <w:t>Whiten v. Pilot Insurance Co.,</w:t>
      </w:r>
      <w:r>
        <w:rPr>
          <w:rFonts w:ascii="arial" w:eastAsia="arial" w:hAnsi="arial" w:cs="arial"/>
          <w:color w:val="000000"/>
          <w:sz w:val="20"/>
          <w:lang w:val="en-US" w:eastAsia="en-US" w:bidi="ar-SA"/>
        </w:rPr>
        <w:t xml:space="preserve"> </w:t>
      </w:r>
      <w:hyperlink r:id="rId227" w:history="1">
        <w:r>
          <w:rPr>
            <w:rFonts w:ascii="arial" w:eastAsia="arial" w:hAnsi="arial" w:cs="arial"/>
            <w:i/>
            <w:color w:val="0077CC"/>
            <w:sz w:val="20"/>
            <w:u w:val="single"/>
            <w:shd w:val="clear" w:color="auto" w:fill="FFFFFF"/>
            <w:lang w:val="en-US" w:eastAsia="en-US" w:bidi="ar-SA"/>
          </w:rPr>
          <w:t>2002 SCC 18</w:t>
        </w:r>
      </w:hyperlink>
      <w:r>
        <w:rPr>
          <w:rFonts w:ascii="arial" w:eastAsia="arial" w:hAnsi="arial" w:cs="arial"/>
          <w:color w:val="000000"/>
          <w:sz w:val="20"/>
          <w:lang w:val="en-US" w:eastAsia="en-US" w:bidi="ar-SA"/>
        </w:rPr>
        <w:t xml:space="preserve"> at para. 69, the Supreme Court of Canada clearly states that punitive damages may be awarded even where the defendant has already been punished by a criminal court for an offence arising out of substantially the same facts. It is simply another factor to consider in determining whether punitive damages are necessary in the circumstances. There is no "double jeopardy" defence and, as such, no argument that special costs are barred by analogy.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xml:space="preserve">  As to the availability of special costs for pre-litigation criminal conduct, I am not convinced that the law is as clear as the plaintiff suggests. In fairness, the plaintiff did acknowledge that there are no cases that directly address similar circumstances. As such, the question of whether special costs are available in a </w:t>
      </w:r>
      <w:r>
        <w:rPr>
          <w:rFonts w:ascii="arial" w:eastAsia="arial" w:hAnsi="arial" w:cs="arial"/>
          <w:i/>
          <w:color w:val="000000"/>
          <w:sz w:val="20"/>
          <w:lang w:val="en-US" w:eastAsia="en-US" w:bidi="ar-SA"/>
        </w:rPr>
        <w:t>Family Compensation Act</w:t>
      </w:r>
      <w:r>
        <w:rPr>
          <w:rFonts w:ascii="arial" w:eastAsia="arial" w:hAnsi="arial" w:cs="arial"/>
          <w:color w:val="000000"/>
          <w:sz w:val="20"/>
          <w:lang w:val="en-US" w:eastAsia="en-US" w:bidi="ar-SA"/>
        </w:rPr>
        <w:t xml:space="preserve"> claim where the conduct causing death is criminal in nature (and has received a criminal sanction) is, at least in British Columbia, to some extent one of first impression.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The plaintiff is correct to say that special costs are awarded where there has been reprehensible conduct on the part of one of the parties. Reprehensible conduct includes "scandalous or outrageous conduct ... [and] milder forms of misconduct deserving of reproof or rebuke" (</w:t>
      </w:r>
      <w:r>
        <w:rPr>
          <w:rFonts w:ascii="arial" w:eastAsia="arial" w:hAnsi="arial" w:cs="arial"/>
          <w:i/>
          <w:color w:val="000000"/>
          <w:sz w:val="20"/>
          <w:lang w:val="en-US" w:eastAsia="en-US" w:bidi="ar-SA"/>
        </w:rPr>
        <w:t>Garcia v. Crestbrook Forest Industries Ltd.</w:t>
      </w:r>
      <w:r>
        <w:rPr>
          <w:rFonts w:ascii="arial" w:eastAsia="arial" w:hAnsi="arial" w:cs="arial"/>
          <w:color w:val="000000"/>
          <w:sz w:val="20"/>
          <w:lang w:val="en-US" w:eastAsia="en-US" w:bidi="ar-SA"/>
        </w:rPr>
        <w:t xml:space="preserve"> </w:t>
      </w:r>
      <w:hyperlink r:id="rId228" w:history="1">
        <w:r>
          <w:rPr>
            <w:rFonts w:ascii="arial" w:eastAsia="arial" w:hAnsi="arial" w:cs="arial"/>
            <w:i/>
            <w:color w:val="0077CC"/>
            <w:sz w:val="20"/>
            <w:u w:val="single"/>
            <w:shd w:val="clear" w:color="auto" w:fill="FFFFFF"/>
            <w:lang w:val="en-US" w:eastAsia="en-US" w:bidi="ar-SA"/>
          </w:rPr>
          <w:t>(1994), 119 D.L.R. (4th) 740</w:t>
        </w:r>
      </w:hyperlink>
      <w:r>
        <w:rPr>
          <w:rFonts w:ascii="arial" w:eastAsia="arial" w:hAnsi="arial" w:cs="arial"/>
          <w:color w:val="000000"/>
          <w:sz w:val="20"/>
          <w:lang w:val="en-US" w:eastAsia="en-US" w:bidi="ar-SA"/>
        </w:rPr>
        <w:t xml:space="preserve"> at para. 17 (B.C.C.A.)).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xml:space="preserve">  The purpose of special costs is to chastise or punish a litigant, and to allow the court to disassociate itself from the litigant's misconduct: </w:t>
      </w:r>
      <w:r>
        <w:rPr>
          <w:rFonts w:ascii="arial" w:eastAsia="arial" w:hAnsi="arial" w:cs="arial"/>
          <w:i/>
          <w:color w:val="000000"/>
          <w:sz w:val="20"/>
          <w:lang w:val="en-US" w:eastAsia="en-US" w:bidi="ar-SA"/>
        </w:rPr>
        <w:t>Mayer v. Osborne Contracting Ltd.</w:t>
      </w:r>
      <w:r>
        <w:rPr>
          <w:rFonts w:ascii="arial" w:eastAsia="arial" w:hAnsi="arial" w:cs="arial"/>
          <w:color w:val="000000"/>
          <w:sz w:val="20"/>
          <w:lang w:val="en-US" w:eastAsia="en-US" w:bidi="ar-SA"/>
        </w:rPr>
        <w:t xml:space="preserve">, </w:t>
      </w:r>
      <w:hyperlink r:id="rId229" w:history="1">
        <w:r>
          <w:rPr>
            <w:rFonts w:ascii="arial" w:eastAsia="arial" w:hAnsi="arial" w:cs="arial"/>
            <w:i/>
            <w:color w:val="0077CC"/>
            <w:sz w:val="20"/>
            <w:u w:val="single"/>
            <w:shd w:val="clear" w:color="auto" w:fill="FFFFFF"/>
            <w:lang w:val="en-US" w:eastAsia="en-US" w:bidi="ar-SA"/>
          </w:rPr>
          <w:t>2011 BCSC 914</w:t>
        </w:r>
      </w:hyperlink>
      <w:r>
        <w:rPr>
          <w:rFonts w:ascii="arial" w:eastAsia="arial" w:hAnsi="arial" w:cs="arial"/>
          <w:color w:val="000000"/>
          <w:sz w:val="20"/>
          <w:lang w:val="en-US" w:eastAsia="en-US" w:bidi="ar-SA"/>
        </w:rPr>
        <w:t xml:space="preserve"> at paras. 8, 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xml:space="preserve">  Generally speaking, special costs are only available for misconduct in the course of the litigation itself. However, in exceptional circumstances, special costs can be awarded where pre-litigation conduct warrants rebuke: </w:t>
      </w:r>
      <w:r>
        <w:rPr>
          <w:rFonts w:ascii="arial" w:eastAsia="arial" w:hAnsi="arial" w:cs="arial"/>
          <w:i/>
          <w:color w:val="000000"/>
          <w:sz w:val="20"/>
          <w:lang w:val="en-US" w:eastAsia="en-US" w:bidi="ar-SA"/>
        </w:rPr>
        <w:t>Dockside Brewing Co. Ltd. v. Strata Plan LMS 3837</w:t>
      </w:r>
      <w:r>
        <w:rPr>
          <w:rFonts w:ascii="arial" w:eastAsia="arial" w:hAnsi="arial" w:cs="arial"/>
          <w:color w:val="000000"/>
          <w:sz w:val="20"/>
          <w:lang w:val="en-US" w:eastAsia="en-US" w:bidi="ar-SA"/>
        </w:rPr>
        <w:t xml:space="preserve">, </w:t>
      </w:r>
      <w:hyperlink r:id="rId230" w:history="1">
        <w:r>
          <w:rPr>
            <w:rFonts w:ascii="arial" w:eastAsia="arial" w:hAnsi="arial" w:cs="arial"/>
            <w:i/>
            <w:color w:val="0077CC"/>
            <w:sz w:val="20"/>
            <w:u w:val="single"/>
            <w:shd w:val="clear" w:color="auto" w:fill="FFFFFF"/>
            <w:lang w:val="en-US" w:eastAsia="en-US" w:bidi="ar-SA"/>
          </w:rPr>
          <w:t>2007 BCCA 183</w:t>
        </w:r>
      </w:hyperlink>
      <w:r>
        <w:rPr>
          <w:rFonts w:ascii="arial" w:eastAsia="arial" w:hAnsi="arial" w:cs="arial"/>
          <w:color w:val="000000"/>
          <w:sz w:val="20"/>
          <w:lang w:val="en-US" w:eastAsia="en-US" w:bidi="ar-SA"/>
        </w:rPr>
        <w:t xml:space="preserve"> at para. 90. To attract an award of special costs, the pre-litigation conduct must give rise to a compensable legal wrong: </w:t>
      </w:r>
      <w:r>
        <w:rPr>
          <w:rFonts w:ascii="arial" w:eastAsia="arial" w:hAnsi="arial" w:cs="arial"/>
          <w:i/>
          <w:color w:val="000000"/>
          <w:sz w:val="20"/>
          <w:lang w:val="en-US" w:eastAsia="en-US" w:bidi="ar-SA"/>
        </w:rPr>
        <w:t>Evergreen Building Ltd. v. IBI Leaseholds Ltd.</w:t>
      </w:r>
      <w:r>
        <w:rPr>
          <w:rFonts w:ascii="arial" w:eastAsia="arial" w:hAnsi="arial" w:cs="arial"/>
          <w:color w:val="000000"/>
          <w:sz w:val="20"/>
          <w:lang w:val="en-US" w:eastAsia="en-US" w:bidi="ar-SA"/>
        </w:rPr>
        <w:t xml:space="preserve">, </w:t>
      </w:r>
      <w:hyperlink r:id="rId231" w:history="1">
        <w:r>
          <w:rPr>
            <w:rFonts w:ascii="arial" w:eastAsia="arial" w:hAnsi="arial" w:cs="arial"/>
            <w:i/>
            <w:color w:val="0077CC"/>
            <w:sz w:val="20"/>
            <w:u w:val="single"/>
            <w:shd w:val="clear" w:color="auto" w:fill="FFFFFF"/>
            <w:lang w:val="en-US" w:eastAsia="en-US" w:bidi="ar-SA"/>
          </w:rPr>
          <w:t>2009 BCCA 275</w:t>
        </w:r>
      </w:hyperlink>
      <w:r>
        <w:rPr>
          <w:rFonts w:ascii="arial" w:eastAsia="arial" w:hAnsi="arial" w:cs="arial"/>
          <w:color w:val="000000"/>
          <w:sz w:val="20"/>
          <w:lang w:val="en-US" w:eastAsia="en-US" w:bidi="ar-SA"/>
        </w:rPr>
        <w:t xml:space="preserve"> at para. 33.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xml:space="preserve">  As noted in </w:t>
      </w:r>
      <w:r>
        <w:rPr>
          <w:rFonts w:ascii="arial" w:eastAsia="arial" w:hAnsi="arial" w:cs="arial"/>
          <w:i/>
          <w:color w:val="000000"/>
          <w:sz w:val="20"/>
          <w:lang w:val="en-US" w:eastAsia="en-US" w:bidi="ar-SA"/>
        </w:rPr>
        <w:t>Elsen v. Elsen</w:t>
      </w:r>
      <w:r>
        <w:rPr>
          <w:rFonts w:ascii="arial" w:eastAsia="arial" w:hAnsi="arial" w:cs="arial"/>
          <w:color w:val="000000"/>
          <w:sz w:val="20"/>
          <w:lang w:val="en-US" w:eastAsia="en-US" w:bidi="ar-SA"/>
        </w:rPr>
        <w:t xml:space="preserve">, </w:t>
      </w:r>
      <w:hyperlink r:id="rId232" w:history="1">
        <w:r>
          <w:rPr>
            <w:rFonts w:ascii="arial" w:eastAsia="arial" w:hAnsi="arial" w:cs="arial"/>
            <w:i/>
            <w:color w:val="0077CC"/>
            <w:sz w:val="20"/>
            <w:u w:val="single"/>
            <w:shd w:val="clear" w:color="auto" w:fill="FFFFFF"/>
            <w:lang w:val="en-US" w:eastAsia="en-US" w:bidi="ar-SA"/>
          </w:rPr>
          <w:t>2011 BCSC 1011</w:t>
        </w:r>
      </w:hyperlink>
      <w:r>
        <w:rPr>
          <w:rFonts w:ascii="arial" w:eastAsia="arial" w:hAnsi="arial" w:cs="arial"/>
          <w:color w:val="000000"/>
          <w:sz w:val="20"/>
          <w:lang w:val="en-US" w:eastAsia="en-US" w:bidi="ar-SA"/>
        </w:rPr>
        <w:t xml:space="preserve"> at para. 14, such awards will be "quite rare." The case law establishes two generally accepted exceptions where special costs may be awarded for reprehensible conduct prior to litigation (see </w:t>
      </w:r>
      <w:r>
        <w:rPr>
          <w:rFonts w:ascii="arial" w:eastAsia="arial" w:hAnsi="arial" w:cs="arial"/>
          <w:i/>
          <w:color w:val="000000"/>
          <w:sz w:val="20"/>
          <w:lang w:val="en-US" w:eastAsia="en-US" w:bidi="ar-SA"/>
        </w:rPr>
        <w:t>Golden Capital Sec. Ltd. v. Holmes et al.</w:t>
      </w:r>
      <w:r>
        <w:rPr>
          <w:rFonts w:ascii="arial" w:eastAsia="arial" w:hAnsi="arial" w:cs="arial"/>
          <w:color w:val="000000"/>
          <w:sz w:val="20"/>
          <w:lang w:val="en-US" w:eastAsia="en-US" w:bidi="ar-SA"/>
        </w:rPr>
        <w:t xml:space="preserve">, </w:t>
      </w:r>
      <w:hyperlink r:id="rId233" w:history="1">
        <w:r>
          <w:rPr>
            <w:rFonts w:ascii="arial" w:eastAsia="arial" w:hAnsi="arial" w:cs="arial"/>
            <w:i/>
            <w:color w:val="0077CC"/>
            <w:sz w:val="20"/>
            <w:u w:val="single"/>
            <w:shd w:val="clear" w:color="auto" w:fill="FFFFFF"/>
            <w:lang w:val="en-US" w:eastAsia="en-US" w:bidi="ar-SA"/>
          </w:rPr>
          <w:t>2003 BCSC 1265</w:t>
        </w:r>
      </w:hyperlink>
      <w:r>
        <w:rPr>
          <w:rFonts w:ascii="arial" w:eastAsia="arial" w:hAnsi="arial" w:cs="arial"/>
          <w:color w:val="000000"/>
          <w:sz w:val="20"/>
          <w:lang w:val="en-US" w:eastAsia="en-US" w:bidi="ar-SA"/>
        </w:rPr>
        <w:t xml:space="preserve"> at para. 166). The first was identified in </w:t>
      </w:r>
      <w:r>
        <w:rPr>
          <w:rFonts w:ascii="arial" w:eastAsia="arial" w:hAnsi="arial" w:cs="arial"/>
          <w:i/>
          <w:color w:val="000000"/>
          <w:sz w:val="20"/>
          <w:lang w:val="en-US" w:eastAsia="en-US" w:bidi="ar-SA"/>
        </w:rPr>
        <w:t>Verleg v. Angeloni</w:t>
      </w:r>
      <w:r>
        <w:rPr>
          <w:rFonts w:ascii="arial" w:eastAsia="arial" w:hAnsi="arial" w:cs="arial"/>
          <w:color w:val="000000"/>
          <w:sz w:val="20"/>
          <w:lang w:val="en-US" w:eastAsia="en-US" w:bidi="ar-SA"/>
        </w:rPr>
        <w:t xml:space="preserve"> </w:t>
      </w:r>
      <w:hyperlink r:id="rId234" w:history="1">
        <w:r>
          <w:rPr>
            <w:rFonts w:ascii="arial" w:eastAsia="arial" w:hAnsi="arial" w:cs="arial"/>
            <w:i/>
            <w:color w:val="0077CC"/>
            <w:sz w:val="20"/>
            <w:u w:val="single"/>
            <w:shd w:val="clear" w:color="auto" w:fill="FFFFFF"/>
            <w:lang w:val="en-US" w:eastAsia="en-US" w:bidi="ar-SA"/>
          </w:rPr>
          <w:t>(1993), 20 C.P.C. (3d) 132</w:t>
        </w:r>
      </w:hyperlink>
      <w:r>
        <w:rPr>
          <w:rFonts w:ascii="arial" w:eastAsia="arial" w:hAnsi="arial" w:cs="arial"/>
          <w:color w:val="000000"/>
          <w:sz w:val="20"/>
          <w:lang w:val="en-US" w:eastAsia="en-US" w:bidi="ar-SA"/>
        </w:rPr>
        <w:t xml:space="preserve"> (B.C.S.C.), where the court said that one exception involved misconduct giving rise to litigation in the nature of fraud or unconscionability (at para. 10). That is the exception relied on in </w:t>
      </w:r>
      <w:r>
        <w:rPr>
          <w:rFonts w:ascii="arial" w:eastAsia="arial" w:hAnsi="arial" w:cs="arial"/>
          <w:i/>
          <w:color w:val="000000"/>
          <w:sz w:val="20"/>
          <w:lang w:val="en-US" w:eastAsia="en-US" w:bidi="ar-SA"/>
        </w:rPr>
        <w:t>Wiebe</w:t>
      </w:r>
      <w:r>
        <w:rPr>
          <w:rFonts w:ascii="arial" w:eastAsia="arial" w:hAnsi="arial" w:cs="arial"/>
          <w:color w:val="000000"/>
          <w:sz w:val="20"/>
          <w:lang w:val="en-US" w:eastAsia="en-US" w:bidi="ar-SA"/>
        </w:rPr>
        <w:t>. It is not applicable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xml:space="preserve">  The second exception is identified in </w:t>
      </w:r>
      <w:r>
        <w:rPr>
          <w:rFonts w:ascii="arial" w:eastAsia="arial" w:hAnsi="arial" w:cs="arial"/>
          <w:i/>
          <w:color w:val="000000"/>
          <w:sz w:val="20"/>
          <w:lang w:val="en-US" w:eastAsia="en-US" w:bidi="ar-SA"/>
        </w:rPr>
        <w:t>Sun Life Assurance Co. v. Ritchie</w:t>
      </w:r>
      <w:r>
        <w:rPr>
          <w:rFonts w:ascii="arial" w:eastAsia="arial" w:hAnsi="arial" w:cs="arial"/>
          <w:color w:val="000000"/>
          <w:sz w:val="20"/>
          <w:lang w:val="en-US" w:eastAsia="en-US" w:bidi="ar-SA"/>
        </w:rPr>
        <w:t xml:space="preserve">, </w:t>
      </w:r>
      <w:hyperlink r:id="rId235" w:history="1">
        <w:r>
          <w:rPr>
            <w:rFonts w:ascii="arial" w:eastAsia="arial" w:hAnsi="arial" w:cs="arial"/>
            <w:i/>
            <w:color w:val="0077CC"/>
            <w:sz w:val="20"/>
            <w:u w:val="single"/>
            <w:shd w:val="clear" w:color="auto" w:fill="FFFFFF"/>
            <w:lang w:val="en-US" w:eastAsia="en-US" w:bidi="ar-SA"/>
          </w:rPr>
          <w:t>2000 BCCA 231</w:t>
        </w:r>
      </w:hyperlink>
      <w:r>
        <w:rPr>
          <w:rFonts w:ascii="arial" w:eastAsia="arial" w:hAnsi="arial" w:cs="arial"/>
          <w:color w:val="000000"/>
          <w:sz w:val="20"/>
          <w:lang w:val="en-US" w:eastAsia="en-US" w:bidi="ar-SA"/>
        </w:rPr>
        <w:t xml:space="preserve"> at para. 54: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[54] ... However, there may arise circumstances where special costs may be awarded because of the reprehensible conduct giving rise to the litigation, </w:t>
      </w:r>
      <w:r>
        <w:rPr>
          <w:rFonts w:ascii="arial" w:eastAsia="arial" w:hAnsi="arial" w:cs="arial"/>
          <w:color w:val="000000"/>
          <w:sz w:val="20"/>
          <w:u w:val="single"/>
          <w:lang w:val="en-US" w:eastAsia="en-US" w:bidi="ar-SA"/>
        </w:rPr>
        <w:t>particularly where the fruits of the litigation do not provide any appropriate compensation in relation to the reprehensible conduct</w:t>
      </w:r>
      <w:r>
        <w:rPr>
          <w:rFonts w:ascii="arial" w:eastAsia="arial" w:hAnsi="arial" w:cs="arial"/>
          <w:color w:val="000000"/>
          <w:sz w:val="20"/>
          <w:lang w:val="en-US" w:eastAsia="en-US" w:bidi="ar-SA"/>
        </w:rPr>
        <w:t>. ...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xml:space="preserve">  A number of cases have commented on the </w:t>
      </w:r>
      <w:r>
        <w:rPr>
          <w:rFonts w:ascii="arial" w:eastAsia="arial" w:hAnsi="arial" w:cs="arial"/>
          <w:i/>
          <w:color w:val="000000"/>
          <w:sz w:val="20"/>
          <w:lang w:val="en-US" w:eastAsia="en-US" w:bidi="ar-SA"/>
        </w:rPr>
        <w:t>Sun Life</w:t>
      </w:r>
      <w:r>
        <w:rPr>
          <w:rFonts w:ascii="arial" w:eastAsia="arial" w:hAnsi="arial" w:cs="arial"/>
          <w:color w:val="000000"/>
          <w:sz w:val="20"/>
          <w:lang w:val="en-US" w:eastAsia="en-US" w:bidi="ar-SA"/>
        </w:rPr>
        <w:t xml:space="preserve"> exception. In </w:t>
      </w:r>
      <w:r>
        <w:rPr>
          <w:rFonts w:ascii="arial" w:eastAsia="arial" w:hAnsi="arial" w:cs="arial"/>
          <w:i/>
          <w:color w:val="000000"/>
          <w:sz w:val="20"/>
          <w:lang w:val="en-US" w:eastAsia="en-US" w:bidi="ar-SA"/>
        </w:rPr>
        <w:t>Golden Capital</w:t>
      </w:r>
      <w:r>
        <w:rPr>
          <w:rFonts w:ascii="arial" w:eastAsia="arial" w:hAnsi="arial" w:cs="arial"/>
          <w:color w:val="000000"/>
          <w:sz w:val="20"/>
          <w:lang w:val="en-US" w:eastAsia="en-US" w:bidi="ar-SA"/>
        </w:rPr>
        <w:t xml:space="preserve"> the court said that the special costs were suitable where such an order would be "the only method in which the court can demonstrate its disapproval for the misconduct" (para. 167).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xml:space="preserve">  In most cases, reprehensible conduct giving rise to the cause of action can be addressed by an award of punitive damages, rather than special costs: </w:t>
      </w:r>
      <w:r>
        <w:rPr>
          <w:rFonts w:ascii="arial" w:eastAsia="arial" w:hAnsi="arial" w:cs="arial"/>
          <w:i/>
          <w:color w:val="000000"/>
          <w:sz w:val="20"/>
          <w:lang w:val="en-US" w:eastAsia="en-US" w:bidi="ar-SA"/>
        </w:rPr>
        <w:t>D.H. v. L.J.H.</w:t>
      </w:r>
      <w:r>
        <w:rPr>
          <w:rFonts w:ascii="arial" w:eastAsia="arial" w:hAnsi="arial" w:cs="arial"/>
          <w:color w:val="000000"/>
          <w:sz w:val="20"/>
          <w:lang w:val="en-US" w:eastAsia="en-US" w:bidi="ar-SA"/>
        </w:rPr>
        <w:t xml:space="preserve">, </w:t>
      </w:r>
      <w:hyperlink r:id="rId236" w:history="1">
        <w:r>
          <w:rPr>
            <w:rFonts w:ascii="arial" w:eastAsia="arial" w:hAnsi="arial" w:cs="arial"/>
            <w:i/>
            <w:color w:val="0077CC"/>
            <w:sz w:val="20"/>
            <w:u w:val="single"/>
            <w:shd w:val="clear" w:color="auto" w:fill="FFFFFF"/>
            <w:lang w:val="en-US" w:eastAsia="en-US" w:bidi="ar-SA"/>
          </w:rPr>
          <w:t>[1997] B.C.J. No. 2724</w:t>
        </w:r>
      </w:hyperlink>
      <w:r>
        <w:rPr>
          <w:rFonts w:ascii="arial" w:eastAsia="arial" w:hAnsi="arial" w:cs="arial"/>
          <w:color w:val="000000"/>
          <w:sz w:val="20"/>
          <w:lang w:val="en-US" w:eastAsia="en-US" w:bidi="ar-SA"/>
        </w:rPr>
        <w:t xml:space="preserve"> at para. 26 (S.C.). Where the plaintiff receives punitive damages, the fruits of the litigation clearly provide compensation for the reprehensible conduct, and special costs should not be awarded. Awarding both for the same conduct would comprise double compensation: </w:t>
      </w:r>
      <w:r>
        <w:rPr>
          <w:rFonts w:ascii="arial" w:eastAsia="arial" w:hAnsi="arial" w:cs="arial"/>
          <w:i/>
          <w:color w:val="000000"/>
          <w:sz w:val="20"/>
          <w:lang w:val="en-US" w:eastAsia="en-US" w:bidi="ar-SA"/>
        </w:rPr>
        <w:t>McPhillips v. British Columbia Ferry Corp.</w:t>
      </w:r>
      <w:r>
        <w:rPr>
          <w:rFonts w:ascii="arial" w:eastAsia="arial" w:hAnsi="arial" w:cs="arial"/>
          <w:color w:val="000000"/>
          <w:sz w:val="20"/>
          <w:lang w:val="en-US" w:eastAsia="en-US" w:bidi="ar-SA"/>
        </w:rPr>
        <w:t xml:space="preserve"> (1993), 16 C.P.C. (3d) 284 at para. 18 (B.C.S.C.). In a number of decisions the court has refused to award special costs on the basis that punitive damages have already fulfilled that function: see </w:t>
      </w:r>
      <w:r>
        <w:rPr>
          <w:rFonts w:ascii="arial" w:eastAsia="arial" w:hAnsi="arial" w:cs="arial"/>
          <w:i/>
          <w:color w:val="000000"/>
          <w:sz w:val="20"/>
          <w:lang w:val="en-US" w:eastAsia="en-US" w:bidi="ar-SA"/>
        </w:rPr>
        <w:t>P.B. v. R.V.E.</w:t>
      </w:r>
      <w:r>
        <w:rPr>
          <w:rFonts w:ascii="arial" w:eastAsia="arial" w:hAnsi="arial" w:cs="arial"/>
          <w:color w:val="000000"/>
          <w:sz w:val="20"/>
          <w:lang w:val="en-US" w:eastAsia="en-US" w:bidi="ar-SA"/>
        </w:rPr>
        <w:t xml:space="preserve">, </w:t>
      </w:r>
      <w:hyperlink r:id="rId237" w:history="1">
        <w:r>
          <w:rPr>
            <w:rFonts w:ascii="arial" w:eastAsia="arial" w:hAnsi="arial" w:cs="arial"/>
            <w:i/>
            <w:color w:val="0077CC"/>
            <w:sz w:val="20"/>
            <w:u w:val="single"/>
            <w:shd w:val="clear" w:color="auto" w:fill="FFFFFF"/>
            <w:lang w:val="en-US" w:eastAsia="en-US" w:bidi="ar-SA"/>
          </w:rPr>
          <w:t>2008 BCSC 613</w:t>
        </w:r>
      </w:hyperlink>
      <w:r>
        <w:rPr>
          <w:rFonts w:ascii="arial" w:eastAsia="arial" w:hAnsi="arial" w:cs="arial"/>
          <w:color w:val="000000"/>
          <w:sz w:val="20"/>
          <w:lang w:val="en-US" w:eastAsia="en-US" w:bidi="ar-SA"/>
        </w:rPr>
        <w:t xml:space="preserve"> at para. 27; and </w:t>
      </w:r>
      <w:r>
        <w:rPr>
          <w:rFonts w:ascii="arial" w:eastAsia="arial" w:hAnsi="arial" w:cs="arial"/>
          <w:i/>
          <w:color w:val="000000"/>
          <w:sz w:val="20"/>
          <w:lang w:val="en-US" w:eastAsia="en-US" w:bidi="ar-SA"/>
        </w:rPr>
        <w:t>Manavi v. McDonald</w:t>
      </w:r>
      <w:r>
        <w:rPr>
          <w:rFonts w:ascii="arial" w:eastAsia="arial" w:hAnsi="arial" w:cs="arial"/>
          <w:color w:val="000000"/>
          <w:sz w:val="20"/>
          <w:lang w:val="en-US" w:eastAsia="en-US" w:bidi="ar-SA"/>
        </w:rPr>
        <w:t xml:space="preserve">, </w:t>
      </w:r>
      <w:hyperlink r:id="rId238" w:history="1">
        <w:r>
          <w:rPr>
            <w:rFonts w:ascii="arial" w:eastAsia="arial" w:hAnsi="arial" w:cs="arial"/>
            <w:i/>
            <w:color w:val="0077CC"/>
            <w:sz w:val="20"/>
            <w:u w:val="single"/>
            <w:shd w:val="clear" w:color="auto" w:fill="FFFFFF"/>
            <w:lang w:val="en-US" w:eastAsia="en-US" w:bidi="ar-SA"/>
          </w:rPr>
          <w:t>[1993] B.C.J. No. 463</w:t>
        </w:r>
      </w:hyperlink>
      <w:r>
        <w:rPr>
          <w:rFonts w:ascii="arial" w:eastAsia="arial" w:hAnsi="arial" w:cs="arial"/>
          <w:color w:val="000000"/>
          <w:sz w:val="20"/>
          <w:lang w:val="en-US" w:eastAsia="en-US" w:bidi="ar-SA"/>
        </w:rPr>
        <w:t xml:space="preserve"> (S.C.) at para. 23.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xml:space="preserve">  There are others where the court has found that the fruits of the litigation are sufficient even absent a punitive damages award. In </w:t>
      </w:r>
      <w:r>
        <w:rPr>
          <w:rFonts w:ascii="arial" w:eastAsia="arial" w:hAnsi="arial" w:cs="arial"/>
          <w:i/>
          <w:color w:val="000000"/>
          <w:sz w:val="20"/>
          <w:lang w:val="en-US" w:eastAsia="en-US" w:bidi="ar-SA"/>
        </w:rPr>
        <w:t>Owners, Strata Plan KAS 3267 v. Smith</w:t>
      </w:r>
      <w:r>
        <w:rPr>
          <w:rFonts w:ascii="arial" w:eastAsia="arial" w:hAnsi="arial" w:cs="arial"/>
          <w:color w:val="000000"/>
          <w:sz w:val="20"/>
          <w:lang w:val="en-US" w:eastAsia="en-US" w:bidi="ar-SA"/>
        </w:rPr>
        <w:t xml:space="preserve">, </w:t>
      </w:r>
      <w:hyperlink r:id="rId239" w:history="1">
        <w:r>
          <w:rPr>
            <w:rFonts w:ascii="arial" w:eastAsia="arial" w:hAnsi="arial" w:cs="arial"/>
            <w:i/>
            <w:color w:val="0077CC"/>
            <w:sz w:val="20"/>
            <w:u w:val="single"/>
            <w:shd w:val="clear" w:color="auto" w:fill="FFFFFF"/>
            <w:lang w:val="en-US" w:eastAsia="en-US" w:bidi="ar-SA"/>
          </w:rPr>
          <w:t>2011 BCSC 387</w:t>
        </w:r>
      </w:hyperlink>
      <w:r>
        <w:rPr>
          <w:rFonts w:ascii="arial" w:eastAsia="arial" w:hAnsi="arial" w:cs="arial"/>
          <w:color w:val="000000"/>
          <w:sz w:val="20"/>
          <w:lang w:val="en-US" w:eastAsia="en-US" w:bidi="ar-SA"/>
        </w:rPr>
        <w:t xml:space="preserve"> at para. 27, the court noted that the defendant's pre-litigation conduct was reprehensible, but pointed out that it gave rise to the (successful) claim for a damages award: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[27] ... In my view, the fruits of this litigation, being judgment for money owing, will provide full compensation of the corporation's loss. This is not one of those unusual circumstances were reprehensible pre-litigation conduct gives rise to a need to add special costs to the claimant's recovery in order to redress something lacking in the main award.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Elsen</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Adtronics Signs Ltd. et al. v. Sicon Group Inc., et al. (re costs),</w:t>
      </w:r>
      <w:r>
        <w:rPr>
          <w:rFonts w:ascii="arial" w:eastAsia="arial" w:hAnsi="arial" w:cs="arial"/>
          <w:color w:val="000000"/>
          <w:sz w:val="20"/>
          <w:lang w:val="en-US" w:eastAsia="en-US" w:bidi="ar-SA"/>
        </w:rPr>
        <w:t xml:space="preserve"> </w:t>
      </w:r>
      <w:hyperlink r:id="rId240" w:history="1">
        <w:r>
          <w:rPr>
            <w:rFonts w:ascii="arial" w:eastAsia="arial" w:hAnsi="arial" w:cs="arial"/>
            <w:i/>
            <w:color w:val="0077CC"/>
            <w:sz w:val="20"/>
            <w:u w:val="single"/>
            <w:shd w:val="clear" w:color="auto" w:fill="FFFFFF"/>
            <w:lang w:val="en-US" w:eastAsia="en-US" w:bidi="ar-SA"/>
          </w:rPr>
          <w:t>2005 BCSC 440</w:t>
        </w:r>
      </w:hyperlink>
      <w:r>
        <w:rPr>
          <w:rFonts w:ascii="arial" w:eastAsia="arial" w:hAnsi="arial" w:cs="arial"/>
          <w:color w:val="000000"/>
          <w:sz w:val="20"/>
          <w:lang w:val="en-US" w:eastAsia="en-US" w:bidi="ar-SA"/>
        </w:rPr>
        <w:t xml:space="preserve"> at para. 23, the misconduct complained of had given rise to the cause of action and the resultant award of damages and had therefore been adequately addressed.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xml:space="preserve">  One of the difficulties in this case is that punitive damages are not available in a claim under the </w:t>
      </w:r>
      <w:r>
        <w:rPr>
          <w:rFonts w:ascii="arial" w:eastAsia="arial" w:hAnsi="arial" w:cs="arial"/>
          <w:i/>
          <w:color w:val="000000"/>
          <w:sz w:val="20"/>
          <w:lang w:val="en-US" w:eastAsia="en-US" w:bidi="ar-SA"/>
        </w:rPr>
        <w:t>FCA</w:t>
      </w:r>
      <w:r>
        <w:rPr>
          <w:rFonts w:ascii="arial" w:eastAsia="arial" w:hAnsi="arial" w:cs="arial"/>
          <w:color w:val="000000"/>
          <w:sz w:val="20"/>
          <w:lang w:val="en-US" w:eastAsia="en-US" w:bidi="ar-SA"/>
        </w:rPr>
        <w:t xml:space="preserve">: see </w:t>
      </w:r>
      <w:r>
        <w:rPr>
          <w:rFonts w:ascii="arial" w:eastAsia="arial" w:hAnsi="arial" w:cs="arial"/>
          <w:i/>
          <w:color w:val="000000"/>
          <w:sz w:val="20"/>
          <w:lang w:val="en-US" w:eastAsia="en-US" w:bidi="ar-SA"/>
        </w:rPr>
        <w:t>Allan Estate v. Co-operators Life Insurance Co.</w:t>
      </w:r>
      <w:r>
        <w:rPr>
          <w:rFonts w:ascii="arial" w:eastAsia="arial" w:hAnsi="arial" w:cs="arial"/>
          <w:color w:val="000000"/>
          <w:sz w:val="20"/>
          <w:lang w:val="en-US" w:eastAsia="en-US" w:bidi="ar-SA"/>
        </w:rPr>
        <w:t xml:space="preserve">, </w:t>
      </w:r>
      <w:hyperlink r:id="rId241" w:history="1">
        <w:r>
          <w:rPr>
            <w:rFonts w:ascii="arial" w:eastAsia="arial" w:hAnsi="arial" w:cs="arial"/>
            <w:i/>
            <w:color w:val="0077CC"/>
            <w:sz w:val="20"/>
            <w:u w:val="single"/>
            <w:shd w:val="clear" w:color="auto" w:fill="FFFFFF"/>
            <w:lang w:val="en-US" w:eastAsia="en-US" w:bidi="ar-SA"/>
          </w:rPr>
          <w:t>1999 BCCA 35</w:t>
        </w:r>
      </w:hyperlink>
      <w:r>
        <w:rPr>
          <w:rFonts w:ascii="arial" w:eastAsia="arial" w:hAnsi="arial" w:cs="arial"/>
          <w:color w:val="000000"/>
          <w:sz w:val="20"/>
          <w:lang w:val="en-US" w:eastAsia="en-US" w:bidi="ar-SA"/>
        </w:rPr>
        <w:t xml:space="preserve"> at para. 71. The </w:t>
      </w:r>
      <w:r>
        <w:rPr>
          <w:rFonts w:ascii="arial" w:eastAsia="arial" w:hAnsi="arial" w:cs="arial"/>
          <w:i/>
          <w:color w:val="000000"/>
          <w:sz w:val="20"/>
          <w:lang w:val="en-US" w:eastAsia="en-US" w:bidi="ar-SA"/>
        </w:rPr>
        <w:t>FCA</w:t>
      </w:r>
      <w:r>
        <w:rPr>
          <w:rFonts w:ascii="arial" w:eastAsia="arial" w:hAnsi="arial" w:cs="arial"/>
          <w:color w:val="000000"/>
          <w:sz w:val="20"/>
          <w:lang w:val="en-US" w:eastAsia="en-US" w:bidi="ar-SA"/>
        </w:rPr>
        <w:t xml:space="preserve"> is not punitive in nature (see </w:t>
      </w:r>
      <w:r>
        <w:rPr>
          <w:rFonts w:ascii="arial" w:eastAsia="arial" w:hAnsi="arial" w:cs="arial"/>
          <w:i/>
          <w:color w:val="000000"/>
          <w:sz w:val="20"/>
          <w:lang w:val="en-US" w:eastAsia="en-US" w:bidi="ar-SA"/>
        </w:rPr>
        <w:t>Duncan,</w:t>
      </w:r>
      <w:r>
        <w:rPr>
          <w:rFonts w:ascii="arial" w:eastAsia="arial" w:hAnsi="arial" w:cs="arial"/>
          <w:color w:val="000000"/>
          <w:sz w:val="20"/>
          <w:lang w:val="en-US" w:eastAsia="en-US" w:bidi="ar-SA"/>
        </w:rPr>
        <w:t xml:space="preserve"> para. 48). It is only meant to provide financial recompense for pecuniary losses flowing from the death itself, rather than providing a sanction for the wrongdoer's role in the death.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I agree with the plaintiffs that Mr. Panghali's conduct was reprehensible. Indeed it is difficult to envision more reprehensible conduct than that of the defendant in murdering his wife and their child's mother and burning her body in an effort to escape detection. However, in the circumstances I do not think that this is a proper basis for an award of special costs. First, the court has already demonstrated its disapproval of that misconduct in the criminal proceedings. Mr. Panghali is serving a life sentence for the murder. Second, I have some concerns about awarding special costs with the goal of punishing the conduct giving rise to the cause of action when the statutory basis for the cause does not permit an award of punitive damages. If special costs were claimed for misconduct in the course of the litigation itself the situation would be different; but in these circumstances such an award would essentially do indirectly what the court cannot do directly.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xml:space="preserve">  Finally, following </w:t>
      </w:r>
      <w:r>
        <w:rPr>
          <w:rFonts w:ascii="arial" w:eastAsia="arial" w:hAnsi="arial" w:cs="arial"/>
          <w:i/>
          <w:color w:val="000000"/>
          <w:sz w:val="20"/>
          <w:lang w:val="en-US" w:eastAsia="en-US" w:bidi="ar-SA"/>
        </w:rPr>
        <w:t>Adtronics</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Strata Plan KAS</w:t>
      </w:r>
      <w:r>
        <w:rPr>
          <w:rFonts w:ascii="arial" w:eastAsia="arial" w:hAnsi="arial" w:cs="arial"/>
          <w:color w:val="000000"/>
          <w:sz w:val="20"/>
          <w:lang w:val="en-US" w:eastAsia="en-US" w:bidi="ar-SA"/>
        </w:rPr>
        <w:t>, I find that the award of damages in this matter, which flows directly from the conduct complained of, provides full compensation for the pecuniary loss. As a result I decline to award special costs. The plaintiffs have otherwise been successful and will receive costs at Scale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The plaintiff shall have judgment against the defendant as follows:</w:t>
      </w:r>
      <w:r>
        <w:rPr>
          <w:rFonts w:ascii="arial" w:eastAsia="arial" w:hAnsi="arial" w:cs="arial"/>
          <w:sz w:val="20"/>
          <w:lang w:val="en-US" w:eastAsia="en-US" w:bidi="ar-SA"/>
        </w:rPr>
        <w:cr/>
      </w:r>
    </w:p>
    <w:p>
      <w:pPr>
        <w:numPr>
          <w:numId w:val="2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Past Loss of Dependency: $54,700</w:t>
      </w:r>
    </w:p>
    <w:p>
      <w:pPr>
        <w:numPr>
          <w:numId w:val="2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Future Loss of Dependency: $165,000</w:t>
      </w:r>
    </w:p>
    <w:p>
      <w:pPr>
        <w:numPr>
          <w:numId w:val="2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Past Loss of Household Assistance and Childcare: $129,000</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Future Loss of Household Assistance and Childcare: $172,000</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Guidance: $35,000</w:t>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Public Guardian and Trustee fees of $58,600</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Tax Gross-up to be resolved by counsel; failing agreement, liberty to apply is granted.</w:t>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Court ordered interest as ordered.</w:t>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Costs to the plaintiffs at Scale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R.D. PUNNETT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pPr>
      <w:r>
        <w:rPr>
          <w:rFonts w:ascii="arial" w:eastAsia="arial" w:hAnsi="arial" w:cs="arial"/>
          <w:sz w:val="20"/>
          <w:lang w:val="en-US" w:eastAsia="en-US" w:bidi="ar-SA"/>
        </w:rPr>
        <w:br/>
      </w:r>
      <w:r>
        <w:pict>
          <v:line id="_x0000_s1073" style="position:absolute;z-index:251707392" from="0,10pt" to="512pt,10pt" strokecolor="black" strokeweight="1pt">
            <v:stroke linestyle="single"/>
          </v:line>
        </w:pict>
      </w:r>
      <w:r>
        <w:rPr>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R.G. v. Vancouver (City) Police Board, [2012] B.C.J. No. 62</w:t>
          </w:r>
        </w:p>
      </w:tc>
    </w:tr>
  </w:tbl>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Robinson v. 1390709 Alberta Ltd. (c.o.b. Chopped Leaf), [2016] B.C.J. No. 2770</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 v. Jakovljevic, [2006] B.C.J. No. 2688</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S.A.D. v. E.E.P. Estate, [2003] B.C.J. No. 2337</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Simon v. Canada (Attorney General), [2017] B.C.J. No. 1925</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Soglo v. Spotline Custom Collision (1987) Ltd., [2000] B.C.J. No. 1914</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Strata Plan LMS 3851 v. Homer Street Development Limited Partnership, [2015] B.C.J. No. 1873</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Savings Credit Union v. 631252 B.C. Ltd., [2002] B.C.J. No. 2724</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Wright v. Becker, [2018] B.C.J. No. 515</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Panghali v. Panghali, [2014] B.C.J. No. 673</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lowerLetter"/>
      <w:lvlText w:val="(%1)"/>
      <w:lvlJc w:val="left"/>
      <w:pPr>
        <w:tabs>
          <w:tab w:val="num" w:pos="1120"/>
        </w:tabs>
        <w:ind w:left="1120" w:hanging="400"/>
      </w:pPr>
      <w:rPr>
        <w:b/>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lowerLetter"/>
      <w:lvlText w:val="(%1)"/>
      <w:lvlJc w:val="left"/>
      <w:pPr>
        <w:tabs>
          <w:tab w:val="num" w:pos="2200"/>
        </w:tabs>
        <w:ind w:left="220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2"/>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3"/>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4"/>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5"/>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6"/>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000000B"/>
    <w:multiLevelType w:val="multilevel"/>
    <w:tmpl w:val="0000000B"/>
    <w:lvl w:ilvl="0">
      <w:start w:val="1"/>
      <w:numFmt w:val="decimal"/>
      <w:lvlText w:val="10."/>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0000000C"/>
    <w:multiLevelType w:val="multilevel"/>
    <w:tmpl w:val="0000000C"/>
    <w:lvl w:ilvl="0">
      <w:start w:val="1"/>
      <w:numFmt w:val="decimal"/>
      <w:lvlText w:val="12."/>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0000000D"/>
    <w:multiLevelType w:val="multilevel"/>
    <w:tmpl w:val="0000000D"/>
    <w:lvl w:ilvl="0">
      <w:start w:val="1"/>
      <w:numFmt w:val="decimal"/>
      <w:lvlText w:val="13."/>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0000000E"/>
    <w:multiLevelType w:val="multilevel"/>
    <w:tmpl w:val="0000000E"/>
    <w:lvl w:ilvl="0">
      <w:start w:val="7"/>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0000000F"/>
    <w:multiLevelType w:val="multilevel"/>
    <w:tmpl w:val="0000000F"/>
    <w:lvl w:ilvl="0">
      <w:start w:val="1"/>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nsid w:val="00000010"/>
    <w:multiLevelType w:val="multilevel"/>
    <w:tmpl w:val="00000010"/>
    <w:lvl w:ilvl="0">
      <w:start w:val="2"/>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nsid w:val="00000011"/>
    <w:multiLevelType w:val="multilevel"/>
    <w:tmpl w:val="00000011"/>
    <w:lvl w:ilvl="0">
      <w:start w:val="4"/>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nsid w:val="00000012"/>
    <w:multiLevelType w:val="multilevel"/>
    <w:tmpl w:val="00000012"/>
    <w:lvl w:ilvl="0">
      <w:start w:val="3"/>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nsid w:val="00000013"/>
    <w:multiLevelType w:val="multilevel"/>
    <w:tmpl w:val="00000013"/>
    <w:lvl w:ilvl="0">
      <w:start w:val="4"/>
      <w:numFmt w:val="decimal"/>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nsid w:val="00000014"/>
    <w:multiLevelType w:val="multilevel"/>
    <w:tmpl w:val="00000014"/>
    <w:lvl w:ilvl="0">
      <w:start w:val="5"/>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nsid w:val="00000015"/>
    <w:multiLevelType w:val="multilevel"/>
    <w:tmpl w:val="00000015"/>
    <w:lvl w:ilvl="0">
      <w:start w:val="1"/>
      <w:numFmt w:val="decimal"/>
      <w:lvlText w:val="86."/>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nsid w:val="00000016"/>
    <w:multiLevelType w:val="multilevel"/>
    <w:tmpl w:val="00000016"/>
    <w:lvl w:ilvl="0">
      <w:start w:val="1"/>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nsid w:val="00000017"/>
    <w:multiLevelType w:val="multilevel"/>
    <w:tmpl w:val="00000017"/>
    <w:lvl w:ilvl="0">
      <w:start w:val="2"/>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nsid w:val="00000018"/>
    <w:multiLevelType w:val="multilevel"/>
    <w:tmpl w:val="00000018"/>
    <w:lvl w:ilvl="0">
      <w:start w:val="3"/>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nsid w:val="00000019"/>
    <w:multiLevelType w:val="multilevel"/>
    <w:tmpl w:val="00000019"/>
    <w:lvl w:ilvl="0">
      <w:start w:val="4"/>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nsid w:val="0000001A"/>
    <w:multiLevelType w:val="multilevel"/>
    <w:tmpl w:val="0000001A"/>
    <w:lvl w:ilvl="0">
      <w:start w:val="5"/>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nsid w:val="0000001B"/>
    <w:multiLevelType w:val="multilevel"/>
    <w:tmpl w:val="0000001B"/>
    <w:lvl w:ilvl="0">
      <w:start w:val="6"/>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
    <w:nsid w:val="0000001C"/>
    <w:multiLevelType w:val="multilevel"/>
    <w:tmpl w:val="0000001C"/>
    <w:lvl w:ilvl="0">
      <w:start w:val="7"/>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
    <w:nsid w:val="0000001D"/>
    <w:multiLevelType w:val="multilevel"/>
    <w:tmpl w:val="0000001D"/>
    <w:lvl w:ilvl="0">
      <w:start w:val="8"/>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
    <w:nsid w:val="0000001E"/>
    <w:multiLevelType w:val="multilevel"/>
    <w:tmpl w:val="0000001E"/>
    <w:lvl w:ilvl="0">
      <w:start w:val="1"/>
      <w:numFmt w:val="lowerRoman"/>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
    <w:nsid w:val="0000001F"/>
    <w:multiLevelType w:val="multilevel"/>
    <w:tmpl w:val="0000001F"/>
    <w:lvl w:ilvl="0">
      <w:start w:val="10"/>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
    <w:nsid w:val="00000020"/>
    <w:multiLevelType w:val="multilevel"/>
    <w:tmpl w:val="00000020"/>
    <w:lvl w:ilvl="0">
      <w:start w:val="11"/>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
    <w:nsid w:val="00000021"/>
    <w:multiLevelType w:val="multilevel"/>
    <w:tmpl w:val="00000021"/>
    <w:lvl w:ilvl="0">
      <w:start w:val="12"/>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
    <w:nsid w:val="00000022"/>
    <w:multiLevelType w:val="multilevel"/>
    <w:tmpl w:val="00000022"/>
    <w:lvl w:ilvl="0">
      <w:start w:val="13"/>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
    <w:nsid w:val="00000023"/>
    <w:multiLevelType w:val="multilevel"/>
    <w:tmpl w:val="00000023"/>
    <w:lvl w:ilvl="0">
      <w:start w:val="14"/>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
    <w:nsid w:val="00000024"/>
    <w:multiLevelType w:val="multilevel"/>
    <w:tmpl w:val="00000024"/>
    <w:lvl w:ilvl="0">
      <w:start w:val="1"/>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6">
    <w:nsid w:val="00000025"/>
    <w:multiLevelType w:val="multilevel"/>
    <w:tmpl w:val="00000025"/>
    <w:lvl w:ilvl="0">
      <w:start w:val="1"/>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7">
    <w:nsid w:val="00000026"/>
    <w:multiLevelType w:val="multilevel"/>
    <w:tmpl w:val="00000026"/>
    <w:lvl w:ilvl="0">
      <w:start w:val="2"/>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8">
    <w:nsid w:val="00000027"/>
    <w:multiLevelType w:val="multilevel"/>
    <w:tmpl w:val="00000027"/>
    <w:lvl w:ilvl="0">
      <w:start w:val="3"/>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9">
    <w:nsid w:val="00000028"/>
    <w:multiLevelType w:val="multilevel"/>
    <w:tmpl w:val="00000028"/>
    <w:lvl w:ilvl="0">
      <w:start w:val="4"/>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0">
    <w:nsid w:val="00000029"/>
    <w:multiLevelType w:val="multilevel"/>
    <w:tmpl w:val="00000029"/>
    <w:lvl w:ilvl="0">
      <w:start w:val="1"/>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1">
    <w:nsid w:val="0000002A"/>
    <w:multiLevelType w:val="multilevel"/>
    <w:tmpl w:val="0000002A"/>
    <w:lvl w:ilvl="0">
      <w:start w:val="2"/>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2">
    <w:nsid w:val="0000002B"/>
    <w:multiLevelType w:val="multilevel"/>
    <w:tmpl w:val="0000002B"/>
    <w:lvl w:ilvl="0">
      <w:start w:val="3"/>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3">
    <w:nsid w:val="0000002C"/>
    <w:multiLevelType w:val="multilevel"/>
    <w:tmpl w:val="0000002C"/>
    <w:lvl w:ilvl="0">
      <w:start w:val="4"/>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4">
    <w:nsid w:val="0000002D"/>
    <w:multiLevelType w:val="multilevel"/>
    <w:tmpl w:val="0000002D"/>
    <w:lvl w:ilvl="0">
      <w:start w:val="5"/>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5">
    <w:nsid w:val="0000002E"/>
    <w:multiLevelType w:val="multilevel"/>
    <w:tmpl w:val="0000002E"/>
    <w:lvl w:ilvl="0">
      <w:start w:val="6"/>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6">
    <w:nsid w:val="0000002F"/>
    <w:multiLevelType w:val="multilevel"/>
    <w:tmpl w:val="0000002F"/>
    <w:lvl w:ilvl="0">
      <w:start w:val="7"/>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7">
    <w:nsid w:val="00000030"/>
    <w:multiLevelType w:val="multilevel"/>
    <w:tmpl w:val="00000030"/>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8">
    <w:nsid w:val="00000031"/>
    <w:multiLevelType w:val="multilevel"/>
    <w:tmpl w:val="00000031"/>
    <w:lvl w:ilvl="0">
      <w:start w:val="2"/>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9">
    <w:nsid w:val="00000032"/>
    <w:multiLevelType w:val="multilevel"/>
    <w:tmpl w:val="00000032"/>
    <w:lvl w:ilvl="0">
      <w:start w:val="3"/>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0">
    <w:nsid w:val="00000033"/>
    <w:multiLevelType w:val="multilevel"/>
    <w:tmpl w:val="00000033"/>
    <w:lvl w:ilvl="0">
      <w:start w:val="4"/>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1">
    <w:nsid w:val="00000034"/>
    <w:multiLevelType w:val="multilevel"/>
    <w:tmpl w:val="00000034"/>
    <w:lvl w:ilvl="0">
      <w:start w:val="5"/>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2">
    <w:nsid w:val="00000035"/>
    <w:multiLevelType w:val="multilevel"/>
    <w:tmpl w:val="00000035"/>
    <w:lvl w:ilvl="0">
      <w:start w:val="6"/>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3">
    <w:nsid w:val="00000036"/>
    <w:multiLevelType w:val="multilevel"/>
    <w:tmpl w:val="00000036"/>
    <w:lvl w:ilvl="0">
      <w:start w:val="7"/>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4">
    <w:nsid w:val="01DBF96D"/>
    <w:multiLevelType w:val="multilevel"/>
    <w:tmpl w:val="00000001"/>
    <w:lvl w:ilvl="0">
      <w:start w:val="3"/>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5">
    <w:nsid w:val="243777B4"/>
    <w:multiLevelType w:val="multilevel"/>
    <w:tmpl w:val="00000001"/>
    <w:lvl w:ilvl="0">
      <w:start w:val="1"/>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6">
    <w:nsid w:val="36296CDA"/>
    <w:multiLevelType w:val="multilevel"/>
    <w:tmpl w:val="00000001"/>
    <w:lvl w:ilvl="0">
      <w:start w:val="1"/>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7">
    <w:nsid w:val="40509DD3"/>
    <w:multiLevelType w:val="multilevel"/>
    <w:tmpl w:val="00000001"/>
    <w:lvl w:ilvl="0">
      <w:start w:val="1"/>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8">
    <w:nsid w:val="4D38FB06"/>
    <w:multiLevelType w:val="multilevel"/>
    <w:tmpl w:val="00000001"/>
    <w:lvl w:ilvl="0">
      <w:start w:val="1"/>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9">
    <w:nsid w:val="50B304A5"/>
    <w:multiLevelType w:val="multilevel"/>
    <w:tmpl w:val="00000001"/>
    <w:lvl w:ilvl="0">
      <w:start w:val="1"/>
      <w:numFmt w:val="decimal"/>
      <w:lvlText w:val="6 (3)"/>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0">
    <w:nsid w:val="5700BCFC"/>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57"/>
  </w:num>
  <w:num w:numId="19">
    <w:abstractNumId w:val="59"/>
  </w:num>
  <w:num w:numId="20">
    <w:abstractNumId w:val="55"/>
  </w:num>
  <w:num w:numId="21">
    <w:abstractNumId w:val="17"/>
  </w:num>
  <w:num w:numId="22">
    <w:abstractNumId w:val="18"/>
  </w:num>
  <w:num w:numId="23">
    <w:abstractNumId w:val="19"/>
  </w:num>
  <w:num w:numId="24">
    <w:abstractNumId w:val="20"/>
  </w:num>
  <w:num w:numId="25">
    <w:abstractNumId w:val="21"/>
  </w:num>
  <w:num w:numId="26">
    <w:abstractNumId w:val="22"/>
  </w:num>
  <w:num w:numId="27">
    <w:abstractNumId w:val="23"/>
  </w:num>
  <w:num w:numId="28">
    <w:abstractNumId w:val="24"/>
  </w:num>
  <w:num w:numId="29">
    <w:abstractNumId w:val="25"/>
  </w:num>
  <w:num w:numId="30">
    <w:abstractNumId w:val="26"/>
  </w:num>
  <w:num w:numId="31">
    <w:abstractNumId w:val="27"/>
  </w:num>
  <w:num w:numId="32">
    <w:abstractNumId w:val="28"/>
  </w:num>
  <w:num w:numId="33">
    <w:abstractNumId w:val="29"/>
  </w:num>
  <w:num w:numId="34">
    <w:abstractNumId w:val="30"/>
  </w:num>
  <w:num w:numId="35">
    <w:abstractNumId w:val="31"/>
  </w:num>
  <w:num w:numId="36">
    <w:abstractNumId w:val="32"/>
  </w:num>
  <w:num w:numId="37">
    <w:abstractNumId w:val="33"/>
  </w:num>
  <w:num w:numId="38">
    <w:abstractNumId w:val="34"/>
  </w:num>
  <w:num w:numId="39">
    <w:abstractNumId w:val="35"/>
  </w:num>
  <w:num w:numId="40">
    <w:abstractNumId w:val="36"/>
  </w:num>
  <w:num w:numId="41">
    <w:abstractNumId w:val="37"/>
  </w:num>
  <w:num w:numId="42">
    <w:abstractNumId w:val="38"/>
  </w:num>
  <w:num w:numId="43">
    <w:abstractNumId w:val="39"/>
  </w:num>
  <w:num w:numId="44">
    <w:abstractNumId w:val="40"/>
  </w:num>
  <w:num w:numId="45">
    <w:abstractNumId w:val="41"/>
  </w:num>
  <w:num w:numId="46">
    <w:abstractNumId w:val="42"/>
  </w:num>
  <w:num w:numId="47">
    <w:abstractNumId w:val="43"/>
  </w:num>
  <w:num w:numId="48">
    <w:abstractNumId w:val="44"/>
  </w:num>
  <w:num w:numId="49">
    <w:abstractNumId w:val="45"/>
  </w:num>
  <w:num w:numId="50">
    <w:abstractNumId w:val="46"/>
  </w:num>
  <w:num w:numId="51">
    <w:abstractNumId w:val="47"/>
  </w:num>
  <w:num w:numId="52">
    <w:abstractNumId w:val="48"/>
  </w:num>
  <w:num w:numId="53">
    <w:abstractNumId w:val="49"/>
  </w:num>
  <w:num w:numId="54">
    <w:abstractNumId w:val="50"/>
  </w:num>
  <w:num w:numId="55">
    <w:abstractNumId w:val="51"/>
  </w:num>
  <w:num w:numId="56">
    <w:abstractNumId w:val="52"/>
  </w:num>
  <w:num w:numId="57">
    <w:abstractNumId w:val="53"/>
  </w:num>
  <w:num w:numId="58">
    <w:abstractNumId w:val="58"/>
  </w:num>
  <w:num w:numId="59">
    <w:abstractNumId w:val="60"/>
  </w:num>
  <w:num w:numId="60">
    <w:abstractNumId w:val="54"/>
  </w:num>
  <w:num w:numId="61">
    <w:abstractNumId w:val="5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eastAsia="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collection=cases-ca&amp;id=urn:contentItem:5F7T-S7M1-JCRC-B1H2-00000-00&amp;context=" TargetMode="External" /><Relationship Id="rId100" Type="http://schemas.openxmlformats.org/officeDocument/2006/relationships/footer" Target="footer15.xml" /><Relationship Id="rId101" Type="http://schemas.openxmlformats.org/officeDocument/2006/relationships/hyperlink" Target="https://advance.lexis.com/api/document?collection=cases-ca&amp;id=urn:contentItem:5PB2-D101-F956-S4B0-00000-00&amp;context=" TargetMode="External" /><Relationship Id="rId102" Type="http://schemas.openxmlformats.org/officeDocument/2006/relationships/hyperlink" Target="https://advance.lexis.com/api/document?collection=legislation-ca&amp;id=urn:contentItem:5F41-1FK1-JGBH-B10R-00000-00&amp;context=" TargetMode="External" /><Relationship Id="rId103" Type="http://schemas.openxmlformats.org/officeDocument/2006/relationships/hyperlink" Target="https://advance.lexis.com/api/document?collection=cases-ca&amp;id=urn:contentItem:5F8T-N3V1-FH4C-X1XK-00000-00&amp;context=" TargetMode="External" /><Relationship Id="rId104" Type="http://schemas.openxmlformats.org/officeDocument/2006/relationships/hyperlink" Target="https://advance.lexis.com/api/document?collection=cases-ca&amp;id=urn:contentItem:5F7T-S7M1-F4W2-629C-00000-00&amp;context=" TargetMode="External" /><Relationship Id="rId105" Type="http://schemas.openxmlformats.org/officeDocument/2006/relationships/hyperlink" Target="https://advance.lexis.com/api/document?collection=cases-ca&amp;id=urn:contentItem:5F7T-S7D1-JS5Y-B294-00000-00&amp;context=" TargetMode="External" /><Relationship Id="rId106" Type="http://schemas.openxmlformats.org/officeDocument/2006/relationships/hyperlink" Target="https://advance.lexis.com/api/document?collection=cases-ca&amp;id=urn:contentItem:5J6B-TC91-JT99-248N-00000-00&amp;context=" TargetMode="External" /><Relationship Id="rId107" Type="http://schemas.openxmlformats.org/officeDocument/2006/relationships/hyperlink" Target="https://advance.lexis.com/api/document?collection=cases-ca&amp;id=urn:contentItem:5G74-D9V1-F2TK-22FC-00000-00&amp;context=" TargetMode="External" /><Relationship Id="rId108" Type="http://schemas.openxmlformats.org/officeDocument/2006/relationships/hyperlink" Target="https://advance.lexis.com/api/document?collection=cases-ca&amp;id=urn:contentItem:5F8T-N3T1-JGHR-M1TK-00000-00&amp;context=" TargetMode="External" /><Relationship Id="rId109" Type="http://schemas.openxmlformats.org/officeDocument/2006/relationships/hyperlink" Target="https://advance.lexis.com/api/document?collection=cases-ca&amp;id=urn:contentItem:5GGK-45G1-F7VM-S3BC-00000-00&amp;context=" TargetMode="External" /><Relationship Id="rId11" Type="http://schemas.openxmlformats.org/officeDocument/2006/relationships/hyperlink" Target="https://advance.lexis.com/api/document?collection=cases-ca&amp;id=urn:contentItem:5F8N-K701-JWR6-S29N-00000-00&amp;context=" TargetMode="External" /><Relationship Id="rId110" Type="http://schemas.openxmlformats.org/officeDocument/2006/relationships/hyperlink" Target="https://advance.lexis.com/api/document?collection=cases-ca&amp;id=urn:contentItem:5F8T-N3V1-JTGH-B0YX-00000-00&amp;context=" TargetMode="External" /><Relationship Id="rId111" Type="http://schemas.openxmlformats.org/officeDocument/2006/relationships/hyperlink" Target="https://advance.lexis.com/api/document?collection=cases-ca&amp;id=urn:contentItem:5F8T-N3T1-JGHR-M1XV-00000-00&amp;context=" TargetMode="External" /><Relationship Id="rId112" Type="http://schemas.openxmlformats.org/officeDocument/2006/relationships/hyperlink" Target="https://advance.lexis.com/api/document?collection=cases-ca&amp;id=urn:contentItem:5F8T-N3V1-JTGH-B19J-00000-00&amp;context=" TargetMode="External" /><Relationship Id="rId113" Type="http://schemas.openxmlformats.org/officeDocument/2006/relationships/hyperlink" Target="https://advance.lexis.com/api/document?collection=cases-ca&amp;id=urn:contentItem:5F7T-S7D1-FC6N-X0FW-00000-00&amp;context=" TargetMode="External" /><Relationship Id="rId114" Type="http://schemas.openxmlformats.org/officeDocument/2006/relationships/hyperlink" Target="https://advance.lexis.com/api/document?collection=cases-ca&amp;id=urn:contentItem:5F7T-S7B1-JSRM-60KR-00000-00&amp;context=" TargetMode="External" /><Relationship Id="rId115" Type="http://schemas.openxmlformats.org/officeDocument/2006/relationships/hyperlink" Target="https://advance.lexis.com/api/document?collection=cases-ca&amp;id=urn:contentItem:5F7T-S771-F361-M1HH-00000-00&amp;context=" TargetMode="External" /><Relationship Id="rId116" Type="http://schemas.openxmlformats.org/officeDocument/2006/relationships/hyperlink" Target="https://advance.lexis.com/api/document?collection=cases-ca&amp;id=urn:contentItem:5F7T-S7G1-JPP5-222K-00000-00&amp;context=" TargetMode="External" /><Relationship Id="rId117" Type="http://schemas.openxmlformats.org/officeDocument/2006/relationships/hyperlink" Target="https://advance.lexis.com/api/document?collection=cases-ca&amp;id=urn:contentItem:5F7T-S7F1-F7VM-S4BC-00000-00&amp;context=" TargetMode="External" /><Relationship Id="rId118" Type="http://schemas.openxmlformats.org/officeDocument/2006/relationships/hyperlink" Target="https://advance.lexis.com/api/document?collection=cases-ca&amp;id=urn:contentItem:5F81-VJW1-JF75-M1FG-00000-00&amp;context=" TargetMode="External" /><Relationship Id="rId119" Type="http://schemas.openxmlformats.org/officeDocument/2006/relationships/hyperlink" Target="https://advance.lexis.com/api/document?collection=cases-ca&amp;id=urn:contentItem:5F81-VJV1-JG59-22FP-00000-00&amp;context=" TargetMode="External" /><Relationship Id="rId12" Type="http://schemas.openxmlformats.org/officeDocument/2006/relationships/hyperlink" Target="https://advance.lexis.com/api/document?collection=cases-ca&amp;id=urn:contentItem:5F8N-K711-JB7K-204X-00000-00&amp;context=" TargetMode="External" /><Relationship Id="rId120" Type="http://schemas.openxmlformats.org/officeDocument/2006/relationships/hyperlink" Target="https://advance.lexis.com/api/document?collection=cases-ca&amp;id=urn:contentItem:5F81-VJW1-FGY5-M2YH-00000-00&amp;context=" TargetMode="External" /><Relationship Id="rId121" Type="http://schemas.openxmlformats.org/officeDocument/2006/relationships/hyperlink" Target="https://advance.lexis.com/api/document?collection=cases-ca&amp;id=urn:contentItem:5F8P-SCJ1-JJYN-B280-00000-00&amp;context=" TargetMode="External" /><Relationship Id="rId122" Type="http://schemas.openxmlformats.org/officeDocument/2006/relationships/hyperlink" Target="https://advance.lexis.com/api/document?collection=cases-ca&amp;id=urn:contentItem:5F7T-S711-F4W2-61FJ-00000-00&amp;context=" TargetMode="External" /><Relationship Id="rId123" Type="http://schemas.openxmlformats.org/officeDocument/2006/relationships/hyperlink" Target="https://advance.lexis.com/api/document?collection=cases-ca&amp;id=urn:contentItem:5F7T-S6T1-K054-G10J-00000-00&amp;context=" TargetMode="External" /><Relationship Id="rId124" Type="http://schemas.openxmlformats.org/officeDocument/2006/relationships/hyperlink" Target="https://advance.lexis.com/api/document?collection=cases-ca&amp;id=urn:contentItem:5F7T-S6T1-F528-G0XR-00000-00&amp;context=" TargetMode="External" /><Relationship Id="rId125" Type="http://schemas.openxmlformats.org/officeDocument/2006/relationships/hyperlink" Target="https://advance.lexis.com/api/document?collection=cases-ca&amp;id=urn:contentItem:5F7T-S7J1-JYYX-62D7-00000-00&amp;context=" TargetMode="External" /><Relationship Id="rId126" Type="http://schemas.openxmlformats.org/officeDocument/2006/relationships/hyperlink" Target="https://advance.lexis.com/api/document?collection=cases-ca&amp;id=urn:contentItem:5F7T-S761-FGJR-22G6-00000-00&amp;context=" TargetMode="External" /><Relationship Id="rId127" Type="http://schemas.openxmlformats.org/officeDocument/2006/relationships/hyperlink" Target="https://advance.lexis.com/api/document?collection=cases-ca&amp;id=urn:contentItem:5F7T-S7N1-JW09-M0YW-00000-00&amp;context=" TargetMode="External" /><Relationship Id="rId128" Type="http://schemas.openxmlformats.org/officeDocument/2006/relationships/hyperlink" Target="https://advance.lexis.com/api/document?collection=cases-ca&amp;id=urn:contentItem:5G53-RJN1-FBFS-S4V5-00000-00&amp;context=" TargetMode="External" /><Relationship Id="rId129" Type="http://schemas.openxmlformats.org/officeDocument/2006/relationships/hyperlink" Target="https://advance.lexis.com/api/document?collection=cases-ca&amp;id=urn:contentItem:5N4F-TFM1-JGBH-B295-00000-00&amp;context=" TargetMode="External" /><Relationship Id="rId13" Type="http://schemas.openxmlformats.org/officeDocument/2006/relationships/hyperlink" Target="https://advance.lexis.com/api/document?collection=cases-ca&amp;id=urn:contentItem:5F8T-N3V1-JTGH-B13W-00000-00&amp;context=" TargetMode="External" /><Relationship Id="rId130" Type="http://schemas.openxmlformats.org/officeDocument/2006/relationships/hyperlink" Target="https://advance.lexis.com/api/document?collection=cases-ca&amp;id=urn:contentItem:5MNN-2FJ1-DYV0-G13F-00000-00&amp;context=" TargetMode="External" /><Relationship Id="rId131" Type="http://schemas.openxmlformats.org/officeDocument/2006/relationships/hyperlink" Target="https://advance.lexis.com/api/document?collection=cases-ca&amp;id=urn:contentItem:5F7T-S761-JX8W-M2N9-00000-00&amp;context=" TargetMode="External" /><Relationship Id="rId132" Type="http://schemas.openxmlformats.org/officeDocument/2006/relationships/hyperlink" Target="https://advance.lexis.com/api/document?collection=cases-ca&amp;id=urn:contentItem:5GCC-XVC1-JSRM-60WV-00000-00&amp;context=" TargetMode="External" /><Relationship Id="rId133" Type="http://schemas.openxmlformats.org/officeDocument/2006/relationships/hyperlink" Target="https://advance.lexis.com/api/document?collection=cases-ca&amp;id=urn:contentItem:5F7T-S7D1-JG02-S2P3-00000-00&amp;context=" TargetMode="External" /><Relationship Id="rId134" Type="http://schemas.openxmlformats.org/officeDocument/2006/relationships/hyperlink" Target="https://advance.lexis.com/api/document?collection=cases-ca&amp;id=urn:contentItem:5F7T-S711-F5KY-B0Y6-00000-00&amp;context=" TargetMode="External" /><Relationship Id="rId135" Type="http://schemas.openxmlformats.org/officeDocument/2006/relationships/header" Target="header16.xml" /><Relationship Id="rId136" Type="http://schemas.openxmlformats.org/officeDocument/2006/relationships/header" Target="header17.xml" /><Relationship Id="rId137" Type="http://schemas.openxmlformats.org/officeDocument/2006/relationships/footer" Target="footer16.xml" /><Relationship Id="rId138" Type="http://schemas.openxmlformats.org/officeDocument/2006/relationships/footer" Target="footer17.xml" /><Relationship Id="rId139" Type="http://schemas.openxmlformats.org/officeDocument/2006/relationships/header" Target="header18.xml" /><Relationship Id="rId14" Type="http://schemas.openxmlformats.org/officeDocument/2006/relationships/hyperlink" Target="https://advance.lexis.com/api/document?collection=cases-ca&amp;id=urn:contentItem:5F8T-N3V1-FC1F-M42M-00000-00&amp;context=" TargetMode="External" /><Relationship Id="rId140" Type="http://schemas.openxmlformats.org/officeDocument/2006/relationships/footer" Target="footer18.xml" /><Relationship Id="rId141" Type="http://schemas.openxmlformats.org/officeDocument/2006/relationships/hyperlink" Target="https://advance.lexis.com/api/document?collection=cases-ca&amp;id=urn:contentItem:5F7T-S771-JTGH-B16N-00000-00&amp;context=" TargetMode="External" /><Relationship Id="rId142" Type="http://schemas.openxmlformats.org/officeDocument/2006/relationships/header" Target="header19.xml" /><Relationship Id="rId143" Type="http://schemas.openxmlformats.org/officeDocument/2006/relationships/header" Target="header20.xml" /><Relationship Id="rId144" Type="http://schemas.openxmlformats.org/officeDocument/2006/relationships/footer" Target="footer19.xml" /><Relationship Id="rId145" Type="http://schemas.openxmlformats.org/officeDocument/2006/relationships/footer" Target="footer20.xml" /><Relationship Id="rId146" Type="http://schemas.openxmlformats.org/officeDocument/2006/relationships/header" Target="header21.xml" /><Relationship Id="rId147" Type="http://schemas.openxmlformats.org/officeDocument/2006/relationships/footer" Target="footer21.xml" /><Relationship Id="rId148" Type="http://schemas.openxmlformats.org/officeDocument/2006/relationships/hyperlink" Target="https://advance.lexis.com/api/document?collection=cases-ca&amp;id=urn:contentItem:5GXH-CVG1-F2F4-G0MS-00000-00&amp;context=" TargetMode="External" /><Relationship Id="rId149" Type="http://schemas.openxmlformats.org/officeDocument/2006/relationships/hyperlink" Target="https://advance.lexis.com/api/document?collection=cases-ca&amp;id=urn:contentItem:5K6Y-81T1-JYYX-61WV-00000-00&amp;context=" TargetMode="External" /><Relationship Id="rId15" Type="http://schemas.openxmlformats.org/officeDocument/2006/relationships/hyperlink" Target="https://advance.lexis.com/api/document?collection=cases-ca&amp;id=urn:contentItem:5F8T-N3P1-JYYX-60K8-00000-00&amp;context=" TargetMode="External" /><Relationship Id="rId150" Type="http://schemas.openxmlformats.org/officeDocument/2006/relationships/hyperlink" Target="https://advance.lexis.com/api/document?collection=cases-ca&amp;id=urn:contentItem:5F7T-S7H1-F4GK-M38G-00000-00&amp;context=" TargetMode="External" /><Relationship Id="rId151" Type="http://schemas.openxmlformats.org/officeDocument/2006/relationships/hyperlink" Target="https://advance.lexis.com/api/document?collection=cases-ca&amp;id=urn:contentItem:5F7T-S7J1-JYYX-62F8-00000-00&amp;context=" TargetMode="External" /><Relationship Id="rId152" Type="http://schemas.openxmlformats.org/officeDocument/2006/relationships/hyperlink" Target="https://advance.lexis.com/api/document?collection=legislation-ca&amp;id=urn:contentItem:5F41-1FJ1-F5DR-206Y-00000-00&amp;context=" TargetMode="External" /><Relationship Id="rId153" Type="http://schemas.openxmlformats.org/officeDocument/2006/relationships/hyperlink" Target="https://advance.lexis.com/api/document?collection=cases-ca&amp;id=urn:contentItem:5F7T-S7N1-JC5P-G20S-00000-00&amp;context=" TargetMode="External" /><Relationship Id="rId154" Type="http://schemas.openxmlformats.org/officeDocument/2006/relationships/hyperlink" Target="https://advance.lexis.com/api/document?collection=cases-ca&amp;id=urn:contentItem:5F7T-S7P1-JG02-S4CD-00000-00&amp;context=" TargetMode="External" /><Relationship Id="rId155" Type="http://schemas.openxmlformats.org/officeDocument/2006/relationships/hyperlink" Target="https://advance.lexis.com/api/document?collection=cases-ca&amp;id=urn:contentItem:5F7T-S7J1-JNS1-M2DT-00000-00&amp;context=" TargetMode="External" /><Relationship Id="rId156" Type="http://schemas.openxmlformats.org/officeDocument/2006/relationships/hyperlink" Target="https://advance.lexis.com/api/document?collection=cases-ca&amp;id=urn:contentItem:5F8T-N3V1-FH4C-X1WX-00000-00&amp;context=" TargetMode="External" /><Relationship Id="rId157" Type="http://schemas.openxmlformats.org/officeDocument/2006/relationships/hyperlink" Target="https://advance.lexis.com/api/document?collection=cases-ca&amp;id=urn:contentItem:5F7T-S7N1-F06F-24PX-00000-00&amp;context=" TargetMode="External" /><Relationship Id="rId158" Type="http://schemas.openxmlformats.org/officeDocument/2006/relationships/hyperlink" Target="https://advance.lexis.com/api/document?collection=cases-ca&amp;id=urn:contentItem:5F7T-S7C1-FGRY-B0MG-00000-00&amp;context=" TargetMode="External" /><Relationship Id="rId159" Type="http://schemas.openxmlformats.org/officeDocument/2006/relationships/hyperlink" Target="https://advance.lexis.com/api/document?collection=cases-ca&amp;id=urn:contentItem:5F7T-S6S1-JX8W-M28S-00000-00&amp;context=" TargetMode="External" /><Relationship Id="rId16" Type="http://schemas.openxmlformats.org/officeDocument/2006/relationships/hyperlink" Target="https://advance.lexis.com/api/document?collection=cases-ca&amp;id=urn:contentItem:5F81-VJS1-JN6B-S3PF-00000-00&amp;context=" TargetMode="External" /><Relationship Id="rId160" Type="http://schemas.openxmlformats.org/officeDocument/2006/relationships/hyperlink" Target="https://advance.lexis.com/api/document?collection=cases-ca&amp;id=urn:contentItem:5F8T-N3R1-JNS1-M13J-00000-00&amp;context=" TargetMode="External" /><Relationship Id="rId161" Type="http://schemas.openxmlformats.org/officeDocument/2006/relationships/hyperlink" Target="https://advance.lexis.com/api/document?collection=legislation-ca&amp;id=urn:contentItem:5W00-SYR1-JX8W-M4S2-00000-00&amp;context=" TargetMode="External" /><Relationship Id="rId162" Type="http://schemas.openxmlformats.org/officeDocument/2006/relationships/header" Target="header22.xml" /><Relationship Id="rId163" Type="http://schemas.openxmlformats.org/officeDocument/2006/relationships/header" Target="header23.xml" /><Relationship Id="rId164" Type="http://schemas.openxmlformats.org/officeDocument/2006/relationships/footer" Target="footer22.xml" /><Relationship Id="rId165" Type="http://schemas.openxmlformats.org/officeDocument/2006/relationships/footer" Target="footer23.xml" /><Relationship Id="rId166" Type="http://schemas.openxmlformats.org/officeDocument/2006/relationships/header" Target="header24.xml" /><Relationship Id="rId167" Type="http://schemas.openxmlformats.org/officeDocument/2006/relationships/footer" Target="footer24.xml" /><Relationship Id="rId168" Type="http://schemas.openxmlformats.org/officeDocument/2006/relationships/hyperlink" Target="https://advance.lexis.com/api/document?collection=cases-ca&amp;id=urn:contentItem:5F7T-S7B1-FH4C-X3H8-00000-00&amp;context=" TargetMode="External" /><Relationship Id="rId169" Type="http://schemas.openxmlformats.org/officeDocument/2006/relationships/hyperlink" Target="https://advance.lexis.com/api/document?collection=cases-ca&amp;id=urn:contentItem:5F7T-S751-F361-M101-00000-00&amp;context=" TargetMode="External" /><Relationship Id="rId17" Type="http://schemas.openxmlformats.org/officeDocument/2006/relationships/hyperlink" Target="https://advance.lexis.com/api/document?collection=cases-ca&amp;id=urn:contentItem:5F7T-S7F1-FJTD-G3DW-00000-00&amp;context=" TargetMode="External" /><Relationship Id="rId170" Type="http://schemas.openxmlformats.org/officeDocument/2006/relationships/hyperlink" Target="https://advance.lexis.com/api/document?collection=cases-ca&amp;id=urn:contentItem:5F82-1SD1-FC1F-M2X8-00000-00&amp;context=" TargetMode="External" /><Relationship Id="rId171" Type="http://schemas.openxmlformats.org/officeDocument/2006/relationships/hyperlink" Target="https://advance.lexis.com/api/document?collection=cases-ca&amp;id=urn:contentItem:5F7T-S6W1-F528-G1RK-00000-00&amp;context=" TargetMode="External" /><Relationship Id="rId172" Type="http://schemas.openxmlformats.org/officeDocument/2006/relationships/hyperlink" Target="https://advance.lexis.com/api/document?collection=cases-ca&amp;id=urn:contentItem:5F7T-S6X1-FBN1-20VS-00000-00&amp;context=" TargetMode="External" /><Relationship Id="rId173" Type="http://schemas.openxmlformats.org/officeDocument/2006/relationships/hyperlink" Target="https://advance.lexis.com/api/document?collection=cases-ca&amp;id=urn:contentItem:5F8T-N3T1-JGHR-M26G-00000-00&amp;context=" TargetMode="External" /><Relationship Id="rId174" Type="http://schemas.openxmlformats.org/officeDocument/2006/relationships/hyperlink" Target="https://advance.lexis.com/api/document?collection=cases-ca&amp;id=urn:contentItem:5F8T-N3R1-JNS1-M12W-00000-00&amp;context=" TargetMode="External" /><Relationship Id="rId175" Type="http://schemas.openxmlformats.org/officeDocument/2006/relationships/hyperlink" Target="https://advance.lexis.com/api/document?collection=cases-ca&amp;id=urn:contentItem:5F7T-S6V1-JFKM-60TN-00000-00&amp;context=" TargetMode="External" /><Relationship Id="rId176" Type="http://schemas.openxmlformats.org/officeDocument/2006/relationships/hyperlink" Target="https://advance.lexis.com/api/document?collection=cases-ca&amp;id=urn:contentItem:5F7T-S6S1-FFTT-X05C-00000-00&amp;context=" TargetMode="External" /><Relationship Id="rId177" Type="http://schemas.openxmlformats.org/officeDocument/2006/relationships/hyperlink" Target="https://advance.lexis.com/api/document?collection=cases-ca&amp;id=urn:contentItem:5F7T-S6W1-F7ND-G2KP-00000-00&amp;context=" TargetMode="External" /><Relationship Id="rId178" Type="http://schemas.openxmlformats.org/officeDocument/2006/relationships/header" Target="header25.xml" /><Relationship Id="rId179" Type="http://schemas.openxmlformats.org/officeDocument/2006/relationships/header" Target="header26.xml" /><Relationship Id="rId18" Type="http://schemas.openxmlformats.org/officeDocument/2006/relationships/hyperlink" Target="https://advance.lexis.com/api/document?collection=cases-ca&amp;id=urn:contentItem:5F7T-S7D1-DY89-M486-00000-00&amp;context=" TargetMode="External" /><Relationship Id="rId180" Type="http://schemas.openxmlformats.org/officeDocument/2006/relationships/footer" Target="footer25.xml" /><Relationship Id="rId181" Type="http://schemas.openxmlformats.org/officeDocument/2006/relationships/footer" Target="footer26.xml" /><Relationship Id="rId182" Type="http://schemas.openxmlformats.org/officeDocument/2006/relationships/header" Target="header27.xml" /><Relationship Id="rId183" Type="http://schemas.openxmlformats.org/officeDocument/2006/relationships/footer" Target="footer27.xml" /><Relationship Id="rId184" Type="http://schemas.openxmlformats.org/officeDocument/2006/relationships/hyperlink" Target="https://advance.lexis.com/api/document?collection=cases-ca&amp;id=urn:contentItem:5S18-5CC1-JJ1H-X024-00000-00&amp;context=" TargetMode="External" /><Relationship Id="rId185" Type="http://schemas.openxmlformats.org/officeDocument/2006/relationships/hyperlink" Target="https://advance.lexis.com/api/document?collection=cases-ca&amp;id=urn:contentItem:5PDG-D481-FJDY-X209-00000-00&amp;context=" TargetMode="External" /><Relationship Id="rId186" Type="http://schemas.openxmlformats.org/officeDocument/2006/relationships/hyperlink" Target="https://advance.lexis.com/api/document?collection=cases-ca&amp;id=urn:contentItem:5F8T-N3V1-JF75-M3TF-00000-00&amp;context=" TargetMode="External" /><Relationship Id="rId187" Type="http://schemas.openxmlformats.org/officeDocument/2006/relationships/hyperlink" Target="https://advance.lexis.com/api/document?collection=cases-ca&amp;id=urn:contentItem:5F8T-N3S1-JBDT-B0FP-00000-00&amp;context=" TargetMode="External" /><Relationship Id="rId188" Type="http://schemas.openxmlformats.org/officeDocument/2006/relationships/hyperlink" Target="https://advance.lexis.com/api/document?collection=cases-ca&amp;id=urn:contentItem:5F8T-N3T1-JJSF-23CG-00000-00&amp;context=" TargetMode="External" /><Relationship Id="rId189" Type="http://schemas.openxmlformats.org/officeDocument/2006/relationships/hyperlink" Target="https://advance.lexis.com/api/document?collection=cases-ca&amp;id=urn:contentItem:5F8T-N3V1-JF75-M3GD-00000-00&amp;context=" TargetMode="External" /><Relationship Id="rId19" Type="http://schemas.openxmlformats.org/officeDocument/2006/relationships/hyperlink" Target="https://advance.lexis.com/api/document?collection=cases-ca&amp;id=urn:contentItem:5F7V-3DM1-JKPJ-G0VP-00000-00&amp;context=" TargetMode="External" /><Relationship Id="rId190" Type="http://schemas.openxmlformats.org/officeDocument/2006/relationships/hyperlink" Target="https://advance.lexis.com/api/document?collection=cases-ca&amp;id=urn:contentItem:5F8T-N3V1-FC1F-M43S-00000-00&amp;context=" TargetMode="External" /><Relationship Id="rId191" Type="http://schemas.openxmlformats.org/officeDocument/2006/relationships/hyperlink" Target="https://advance.lexis.com/api/document?collection=cases-ca&amp;id=urn:contentItem:5F7T-S7D1-JN6B-S0SN-00000-00&amp;context=" TargetMode="External" /><Relationship Id="rId192" Type="http://schemas.openxmlformats.org/officeDocument/2006/relationships/hyperlink" Target="https://advance.lexis.com/api/document?collection=cases-ca&amp;id=urn:contentItem:5F7T-S6X1-K0BB-S058-00000-00&amp;context=" TargetMode="External" /><Relationship Id="rId193" Type="http://schemas.openxmlformats.org/officeDocument/2006/relationships/header" Target="header28.xml" /><Relationship Id="rId194" Type="http://schemas.openxmlformats.org/officeDocument/2006/relationships/header" Target="header29.xml" /><Relationship Id="rId195" Type="http://schemas.openxmlformats.org/officeDocument/2006/relationships/footer" Target="footer28.xml" /><Relationship Id="rId196" Type="http://schemas.openxmlformats.org/officeDocument/2006/relationships/footer" Target="footer29.xml" /><Relationship Id="rId197" Type="http://schemas.openxmlformats.org/officeDocument/2006/relationships/header" Target="header30.xml" /><Relationship Id="rId198" Type="http://schemas.openxmlformats.org/officeDocument/2006/relationships/footer" Target="footer30.xml" /><Relationship Id="rId199" Type="http://schemas.openxmlformats.org/officeDocument/2006/relationships/hyperlink" Target="https://advance.lexis.com/api/document?collection=cases-ca&amp;id=urn:contentItem:5F7T-S7P1-JP4G-6248-00000-00&amp;context=" TargetMode="External" /><Relationship Id="rId2" Type="http://schemas.openxmlformats.org/officeDocument/2006/relationships/webSettings" Target="webSettings.xml" /><Relationship Id="rId20" Type="http://schemas.openxmlformats.org/officeDocument/2006/relationships/hyperlink" Target="https://advance.lexis.com/api/document?collection=cases-ca&amp;id=urn:contentItem:5F7T-S7G1-JBT7-X420-00000-00&amp;context=" TargetMode="External" /><Relationship Id="rId200" Type="http://schemas.openxmlformats.org/officeDocument/2006/relationships/hyperlink" Target="https://advance.lexis.com/api/document?collection=legislation-ca&amp;id=urn:contentItem:5F41-1FM1-JCBX-S1FM-00000-00&amp;context=" TargetMode="External" /><Relationship Id="rId201" Type="http://schemas.openxmlformats.org/officeDocument/2006/relationships/hyperlink" Target="https://advance.lexis.com/api/document?collection=legislation-ca&amp;id=urn:contentItem:5F41-1FM1-FCK4-G051-00000-00&amp;context=" TargetMode="External" /><Relationship Id="rId202" Type="http://schemas.openxmlformats.org/officeDocument/2006/relationships/hyperlink" Target="https://advance.lexis.com/api/document?collection=legislation-ca&amp;id=urn:contentItem:5F41-1FG1-F4NT-X0BX-00000-00&amp;context=" TargetMode="External" /><Relationship Id="rId203" Type="http://schemas.openxmlformats.org/officeDocument/2006/relationships/hyperlink" Target="https://advance.lexis.com/api/document?collection=cases-ca&amp;id=urn:contentItem:5F7T-S711-F4GK-M2D2-00000-00&amp;context=" TargetMode="External" /><Relationship Id="rId204" Type="http://schemas.openxmlformats.org/officeDocument/2006/relationships/hyperlink" Target="https://advance.lexis.com/api/document?collection=cases-ca&amp;id=urn:contentItem:5F7T-S721-F57G-S1CT-00000-00&amp;context=" TargetMode="External" /><Relationship Id="rId205" Type="http://schemas.openxmlformats.org/officeDocument/2006/relationships/hyperlink" Target="https://advance.lexis.com/api/document?collection=cases-ca&amp;id=urn:contentItem:5F8T-N3S1-JT99-2510-00000-00&amp;context=" TargetMode="External" /><Relationship Id="rId206" Type="http://schemas.openxmlformats.org/officeDocument/2006/relationships/hyperlink" Target="https://advance.lexis.com/api/document?collection=cases-ca&amp;id=urn:contentItem:5F7T-S6S1-FFTT-X0G3-00000-00&amp;context=" TargetMode="External" /><Relationship Id="rId207" Type="http://schemas.openxmlformats.org/officeDocument/2006/relationships/hyperlink" Target="https://advance.lexis.com/api/document?collection=cases-ca&amp;id=urn:contentItem:5F7T-S751-JBM1-M21M-00000-00&amp;context=" TargetMode="External" /><Relationship Id="rId208" Type="http://schemas.openxmlformats.org/officeDocument/2006/relationships/hyperlink" Target="https://advance.lexis.com/api/document?collection=cases-ca&amp;id=urn:contentItem:5F8P-SCY1-FJTD-G4JS-00000-00&amp;context=" TargetMode="External" /><Relationship Id="rId209" Type="http://schemas.openxmlformats.org/officeDocument/2006/relationships/hyperlink" Target="https://advance.lexis.com/api/document?collection=cases-ca&amp;id=urn:contentItem:5F7T-S741-F528-G22N-00000-00&amp;context=" TargetMode="External" /><Relationship Id="rId21" Type="http://schemas.openxmlformats.org/officeDocument/2006/relationships/hyperlink" Target="https://advance.lexis.com/api/document?collection=cases-ca&amp;id=urn:contentItem:5F8T-N3P1-FBV7-B54B-00000-00&amp;context=" TargetMode="External" /><Relationship Id="rId210" Type="http://schemas.openxmlformats.org/officeDocument/2006/relationships/hyperlink" Target="https://advance.lexis.com/api/document?collection=cases-ca&amp;id=urn:contentItem:5F7T-S771-JN14-G2PR-00000-00&amp;context=" TargetMode="External" /><Relationship Id="rId211" Type="http://schemas.openxmlformats.org/officeDocument/2006/relationships/hyperlink" Target="https://advance.lexis.com/api/document?collection=cases-ca&amp;id=urn:contentItem:5F8T-N3T1-JGHR-M1XR-00000-00&amp;context=" TargetMode="External" /><Relationship Id="rId212" Type="http://schemas.openxmlformats.org/officeDocument/2006/relationships/hyperlink" Target="https://advance.lexis.com/api/document?collection=cases-ca&amp;id=urn:contentItem:5F7T-S701-JF75-M4N6-00000-00&amp;context=" TargetMode="External" /><Relationship Id="rId213" Type="http://schemas.openxmlformats.org/officeDocument/2006/relationships/hyperlink" Target="https://advance.lexis.com/api/document?collection=cases-ca&amp;id=urn:contentItem:5F7T-S731-F016-S34N-00000-00&amp;context=" TargetMode="External" /><Relationship Id="rId214" Type="http://schemas.openxmlformats.org/officeDocument/2006/relationships/hyperlink" Target="https://advance.lexis.com/api/document?collection=cases-ca&amp;id=urn:contentItem:5F7T-S6X1-K0BB-S0N6-00000-00&amp;context=" TargetMode="External" /><Relationship Id="rId215" Type="http://schemas.openxmlformats.org/officeDocument/2006/relationships/hyperlink" Target="https://advance.lexis.com/api/document?collection=cases-ca&amp;id=urn:contentItem:5F7T-S7P1-JSJC-X1KB-00000-00&amp;context=" TargetMode="External" /><Relationship Id="rId216" Type="http://schemas.openxmlformats.org/officeDocument/2006/relationships/hyperlink" Target="https://advance.lexis.com/api/document?collection=cases-ca&amp;id=urn:contentItem:5F7T-S7D1-FFFC-B19Y-00000-00&amp;context=" TargetMode="External" /><Relationship Id="rId217" Type="http://schemas.openxmlformats.org/officeDocument/2006/relationships/hyperlink" Target="https://advance.lexis.com/api/document?collection=cases-ca&amp;id=urn:contentItem:5F7T-S7B1-JSRM-608T-00000-00&amp;context=" TargetMode="External" /><Relationship Id="rId218" Type="http://schemas.openxmlformats.org/officeDocument/2006/relationships/hyperlink" Target="https://advance.lexis.com/api/document?collection=cases-ca&amp;id=urn:contentItem:5F7T-S7D1-FFFC-B1B0-00000-00&amp;context=" TargetMode="External" /><Relationship Id="rId219" Type="http://schemas.openxmlformats.org/officeDocument/2006/relationships/hyperlink" Target="https://advance.lexis.com/api/document?collection=cases-ca&amp;id=urn:contentItem:5F7T-S6X1-FCCX-60WB-00000-00&amp;context=" TargetMode="External" /><Relationship Id="rId22" Type="http://schemas.openxmlformats.org/officeDocument/2006/relationships/hyperlink" Target="https://advance.lexis.com/api/document?collection=cases-ca&amp;id=urn:contentItem:5F8P-SF21-FH4C-X1M6-00000-00&amp;context=" TargetMode="External" /><Relationship Id="rId220" Type="http://schemas.openxmlformats.org/officeDocument/2006/relationships/hyperlink" Target="https://advance.lexis.com/api/document?collection=cases-ca&amp;id=urn:contentItem:5F7T-S7C1-F7VM-S3PW-00000-00&amp;context=" TargetMode="External" /><Relationship Id="rId221" Type="http://schemas.openxmlformats.org/officeDocument/2006/relationships/hyperlink" Target="https://advance.lexis.com/api/document?collection=cases-ca&amp;id=urn:contentItem:5F7T-S7J1-JGBH-B2KC-00000-00&amp;context=" TargetMode="External" /><Relationship Id="rId222" Type="http://schemas.openxmlformats.org/officeDocument/2006/relationships/hyperlink" Target="https://advance.lexis.com/api/document?collection=cases-ca&amp;id=urn:contentItem:5F7T-S6Y1-JP9P-G1B4-00000-00&amp;context=" TargetMode="External" /><Relationship Id="rId223" Type="http://schemas.openxmlformats.org/officeDocument/2006/relationships/hyperlink" Target="https://advance.lexis.com/api/document?collection=cases-ca&amp;id=urn:contentItem:5F7T-S7K1-JSJC-X18D-00000-00&amp;context=" TargetMode="External" /><Relationship Id="rId224" Type="http://schemas.openxmlformats.org/officeDocument/2006/relationships/hyperlink" Target="https://advance.lexis.com/api/document?collection=cases-ca&amp;id=urn:contentItem:5F7T-S761-JX8W-M2TK-00000-00&amp;context=" TargetMode="External" /><Relationship Id="rId225" Type="http://schemas.openxmlformats.org/officeDocument/2006/relationships/hyperlink" Target="https://advance.lexis.com/api/document?collection=cases-ca&amp;id=urn:contentItem:5F7T-S7C1-JSRM-6129-00000-00&amp;context=" TargetMode="External" /><Relationship Id="rId226" Type="http://schemas.openxmlformats.org/officeDocument/2006/relationships/hyperlink" Target="https://advance.lexis.com/api/document?collection=cases-ca&amp;id=urn:contentItem:5F81-VJX1-JP9P-G44K-00000-00&amp;context=" TargetMode="External" /><Relationship Id="rId227" Type="http://schemas.openxmlformats.org/officeDocument/2006/relationships/hyperlink" Target="https://advance.lexis.com/api/document?collection=cases-ca&amp;id=urn:contentItem:5F8T-N3V1-FC1F-M4BS-00000-00&amp;context=" TargetMode="External" /><Relationship Id="rId228" Type="http://schemas.openxmlformats.org/officeDocument/2006/relationships/hyperlink" Target="https://advance.lexis.com/api/document?collection=cases-ca&amp;id=urn:contentItem:5F7T-S731-JC0G-63HG-00000-00&amp;context=" TargetMode="External" /><Relationship Id="rId229" Type="http://schemas.openxmlformats.org/officeDocument/2006/relationships/hyperlink" Target="https://advance.lexis.com/api/document?collection=cases-ca&amp;id=urn:contentItem:5F7T-S7M1-JNCK-22HM-00000-00&amp;context=" TargetMode="External" /><Relationship Id="rId23" Type="http://schemas.openxmlformats.org/officeDocument/2006/relationships/hyperlink" Target="https://advance.lexis.com/api/document?collection=cases-ca&amp;id=urn:contentItem:5F7T-S6R1-JGPY-X0WM-00000-00&amp;context=" TargetMode="External" /><Relationship Id="rId230" Type="http://schemas.openxmlformats.org/officeDocument/2006/relationships/hyperlink" Target="https://advance.lexis.com/api/document?collection=cases-ca&amp;id=urn:contentItem:5F7T-S7F1-F7VM-S4CB-00000-00&amp;context=" TargetMode="External" /><Relationship Id="rId231" Type="http://schemas.openxmlformats.org/officeDocument/2006/relationships/hyperlink" Target="https://advance.lexis.com/api/document?collection=cases-ca&amp;id=urn:contentItem:5F7T-S7J1-FGCG-S05C-00000-00&amp;context=" TargetMode="External" /><Relationship Id="rId232" Type="http://schemas.openxmlformats.org/officeDocument/2006/relationships/hyperlink" Target="https://advance.lexis.com/api/document?collection=cases-ca&amp;id=urn:contentItem:5F7T-S7M1-JNCK-22PX-00000-00&amp;context=" TargetMode="External" /><Relationship Id="rId233" Type="http://schemas.openxmlformats.org/officeDocument/2006/relationships/hyperlink" Target="https://advance.lexis.com/api/document?collection=cases-ca&amp;id=urn:contentItem:5F7T-S7C1-JCJ5-20GV-00000-00&amp;context=" TargetMode="External" /><Relationship Id="rId234" Type="http://schemas.openxmlformats.org/officeDocument/2006/relationships/hyperlink" Target="https://advance.lexis.com/api/document?collection=cases-ca&amp;id=urn:contentItem:5F7T-S721-F4NT-X2S1-00000-00&amp;context=" TargetMode="External" /><Relationship Id="rId235" Type="http://schemas.openxmlformats.org/officeDocument/2006/relationships/hyperlink" Target="https://advance.lexis.com/api/document?collection=cases-ca&amp;id=urn:contentItem:5F7T-S771-JSJC-X0FN-00000-00&amp;context=" TargetMode="External" /><Relationship Id="rId236" Type="http://schemas.openxmlformats.org/officeDocument/2006/relationships/hyperlink" Target="https://advance.lexis.com/api/document?collection=cases-ca&amp;id=urn:contentItem:5F7T-S751-JBM1-M2CD-00000-00&amp;context=" TargetMode="External" /><Relationship Id="rId237" Type="http://schemas.openxmlformats.org/officeDocument/2006/relationships/hyperlink" Target="https://advance.lexis.com/api/document?collection=cases-ca&amp;id=urn:contentItem:5F7T-S7H1-K054-G2DX-00000-00&amp;context=" TargetMode="External" /><Relationship Id="rId238" Type="http://schemas.openxmlformats.org/officeDocument/2006/relationships/hyperlink" Target="https://advance.lexis.com/api/document?collection=cases-ca&amp;id=urn:contentItem:5F7T-S721-F06F-2303-00000-00&amp;context=" TargetMode="External" /><Relationship Id="rId239" Type="http://schemas.openxmlformats.org/officeDocument/2006/relationships/hyperlink" Target="https://advance.lexis.com/api/document?collection=cases-ca&amp;id=urn:contentItem:5F7T-S7K1-DY33-B1N6-00000-00&amp;context=" TargetMode="External" /><Relationship Id="rId24" Type="http://schemas.openxmlformats.org/officeDocument/2006/relationships/header" Target="header4.xml" /><Relationship Id="rId240" Type="http://schemas.openxmlformats.org/officeDocument/2006/relationships/hyperlink" Target="https://advance.lexis.com/api/document?collection=cases-ca&amp;id=urn:contentItem:5F7T-S7D1-DY89-M4FB-00000-00&amp;context=" TargetMode="External" /><Relationship Id="rId241" Type="http://schemas.openxmlformats.org/officeDocument/2006/relationships/hyperlink" Target="https://advance.lexis.com/api/document?collection=cases-ca&amp;id=urn:contentItem:5F7T-S761-JX8W-M326-00000-00&amp;context=" TargetMode="External" /><Relationship Id="rId242" Type="http://schemas.openxmlformats.org/officeDocument/2006/relationships/numbering" Target="numbering.xml" /><Relationship Id="rId243" Type="http://schemas.openxmlformats.org/officeDocument/2006/relationships/styles" Target="styles.xml" /><Relationship Id="rId25" Type="http://schemas.openxmlformats.org/officeDocument/2006/relationships/header" Target="header5.xml" /><Relationship Id="rId26" Type="http://schemas.openxmlformats.org/officeDocument/2006/relationships/footer" Target="footer4.xml" /><Relationship Id="rId27" Type="http://schemas.openxmlformats.org/officeDocument/2006/relationships/footer" Target="footer5.xml" /><Relationship Id="rId28" Type="http://schemas.openxmlformats.org/officeDocument/2006/relationships/header" Target="header6.xml" /><Relationship Id="rId29" Type="http://schemas.openxmlformats.org/officeDocument/2006/relationships/footer" Target="footer6.xml" /><Relationship Id="rId3" Type="http://schemas.openxmlformats.org/officeDocument/2006/relationships/fontTable" Target="fontTable.xml" /><Relationship Id="rId30" Type="http://schemas.openxmlformats.org/officeDocument/2006/relationships/hyperlink" Target="https://advance.lexis.com/api/document?collection=cases-ca&amp;id=urn:contentItem:5MN1-S7H1-JS5Y-B363-00000-00&amp;context=" TargetMode="External" /><Relationship Id="rId31" Type="http://schemas.openxmlformats.org/officeDocument/2006/relationships/hyperlink" Target="https://advance.lexis.com/api/document?collection=legislation-ca&amp;id=urn:contentItem:5F41-1FJ1-JKPJ-G0P7-00000-00&amp;context=" TargetMode="External" /><Relationship Id="rId32" Type="http://schemas.openxmlformats.org/officeDocument/2006/relationships/hyperlink" Target="https://advance.lexis.com/api/document?collection=cases-ca&amp;id=urn:contentItem:5GF9-8HG1-FCYK-20XG-00000-00&amp;context=" TargetMode="External" /><Relationship Id="rId33" Type="http://schemas.openxmlformats.org/officeDocument/2006/relationships/hyperlink" Target="https://advance.lexis.com/api/document?collection=cases-ca&amp;id=urn:contentItem:5JVG-2XS1-JN14-G1K0-00000-00&amp;context=" TargetMode="External" /><Relationship Id="rId34" Type="http://schemas.openxmlformats.org/officeDocument/2006/relationships/hyperlink" Target="https://advance.lexis.com/api/document?collection=cases-ca&amp;id=urn:contentItem:5F7T-S7D1-FC6N-X0VK-00000-00&amp;context=" TargetMode="External" /><Relationship Id="rId35" Type="http://schemas.openxmlformats.org/officeDocument/2006/relationships/hyperlink" Target="https://advance.lexis.com/api/document?collection=cases-ca&amp;id=urn:contentItem:5F7T-S701-F8KH-X150-00000-00&amp;context=" TargetMode="External" /><Relationship Id="rId36" Type="http://schemas.openxmlformats.org/officeDocument/2006/relationships/hyperlink" Target="https://advance.lexis.com/api/document?collection=cases-ca&amp;id=urn:contentItem:5F7T-S6W1-F7ND-G2KM-00000-00&amp;context=" TargetMode="External" /><Relationship Id="rId37" Type="http://schemas.openxmlformats.org/officeDocument/2006/relationships/hyperlink" Target="https://advance.lexis.com/api/document?collection=cases-ca&amp;id=urn:contentItem:5F7T-S6V1-F2TK-22G9-00000-00&amp;context=" TargetMode="External" /><Relationship Id="rId38" Type="http://schemas.openxmlformats.org/officeDocument/2006/relationships/hyperlink" Target="https://advance.lexis.com/api/document?collection=cases-ca&amp;id=urn:contentItem:5F7T-S7B1-JSRM-60H4-00000-00&amp;context=" TargetMode="External" /><Relationship Id="rId39" Type="http://schemas.openxmlformats.org/officeDocument/2006/relationships/hyperlink" Target="https://advance.lexis.com/api/document?collection=cases-ca&amp;id=urn:contentItem:5F7T-S741-F2F4-G2B9-00000-00&amp;context=" TargetMode="External" /><Relationship Id="rId4" Type="http://schemas.openxmlformats.org/officeDocument/2006/relationships/header" Target="header1.xml" /><Relationship Id="rId40" Type="http://schemas.openxmlformats.org/officeDocument/2006/relationships/hyperlink" Target="https://advance.lexis.com/api/document?collection=cases-ca&amp;id=urn:contentItem:5F7T-S751-F361-M0X7-00000-00&amp;context=" TargetMode="External" /><Relationship Id="rId41" Type="http://schemas.openxmlformats.org/officeDocument/2006/relationships/hyperlink" Target="https://advance.lexis.com/api/document?collection=cases-ca&amp;id=urn:contentItem:5F7T-S7G1-FCYK-20FM-00000-00&amp;context=" TargetMode="External" /><Relationship Id="rId42" Type="http://schemas.openxmlformats.org/officeDocument/2006/relationships/hyperlink" Target="https://advance.lexis.com/api/document?collection=cases-ca&amp;id=urn:contentItem:5F7T-S701-JF75-M46B-00000-00&amp;context=" TargetMode="External" /><Relationship Id="rId43" Type="http://schemas.openxmlformats.org/officeDocument/2006/relationships/hyperlink" Target="https://advance.lexis.com/api/document?collection=cases-ca&amp;id=urn:contentItem:5F7T-S761-JX8W-M2W3-00000-00&amp;context=" TargetMode="External" /><Relationship Id="rId44" Type="http://schemas.openxmlformats.org/officeDocument/2006/relationships/header" Target="header7.xml" /><Relationship Id="rId45" Type="http://schemas.openxmlformats.org/officeDocument/2006/relationships/header" Target="header8.xml" /><Relationship Id="rId46" Type="http://schemas.openxmlformats.org/officeDocument/2006/relationships/footer" Target="footer7.xml" /><Relationship Id="rId47" Type="http://schemas.openxmlformats.org/officeDocument/2006/relationships/footer" Target="footer8.xml" /><Relationship Id="rId48" Type="http://schemas.openxmlformats.org/officeDocument/2006/relationships/header" Target="header9.xml" /><Relationship Id="rId49" Type="http://schemas.openxmlformats.org/officeDocument/2006/relationships/footer" Target="footer9.xml" /><Relationship Id="rId5" Type="http://schemas.openxmlformats.org/officeDocument/2006/relationships/header" Target="header2.xml" /><Relationship Id="rId50" Type="http://schemas.openxmlformats.org/officeDocument/2006/relationships/hyperlink" Target="https://advance.lexis.com/api/document?collection=cases-ca&amp;id=urn:contentItem:5F7T-S7F1-JX3N-B1SK-00000-00&amp;context=" TargetMode="External" /><Relationship Id="rId51" Type="http://schemas.openxmlformats.org/officeDocument/2006/relationships/hyperlink" Target="https://advance.lexis.com/api/document?collection=cases-ca&amp;id=urn:contentItem:5F8T-N3V1-JFKM-60BG-00000-00&amp;context=" TargetMode="External" /><Relationship Id="rId52" Type="http://schemas.openxmlformats.org/officeDocument/2006/relationships/hyperlink" Target="https://advance.lexis.com/api/document?collection=cases-ca&amp;id=urn:contentItem:5F7T-S7F1-FFFC-B251-00000-00&amp;context=" TargetMode="External" /><Relationship Id="rId53" Type="http://schemas.openxmlformats.org/officeDocument/2006/relationships/header" Target="header10.xml" /><Relationship Id="rId54" Type="http://schemas.openxmlformats.org/officeDocument/2006/relationships/header" Target="header11.xml" /><Relationship Id="rId55" Type="http://schemas.openxmlformats.org/officeDocument/2006/relationships/footer" Target="footer10.xml" /><Relationship Id="rId56" Type="http://schemas.openxmlformats.org/officeDocument/2006/relationships/footer" Target="footer11.xml" /><Relationship Id="rId57" Type="http://schemas.openxmlformats.org/officeDocument/2006/relationships/header" Target="header12.xml" /><Relationship Id="rId58" Type="http://schemas.openxmlformats.org/officeDocument/2006/relationships/footer" Target="footer12.xml" /><Relationship Id="rId59" Type="http://schemas.openxmlformats.org/officeDocument/2006/relationships/hyperlink" Target="https://advance.lexis.com/api/document?collection=cases-ca&amp;id=urn:contentItem:5F7T-S7C1-FGRY-B08R-00000-00&amp;context=" TargetMode="External" /><Relationship Id="rId6" Type="http://schemas.openxmlformats.org/officeDocument/2006/relationships/footer" Target="footer1.xml" /><Relationship Id="rId60" Type="http://schemas.openxmlformats.org/officeDocument/2006/relationships/hyperlink" Target="https://advance.lexis.com/api/document?collection=cases-ca&amp;id=urn:contentItem:5F8T-N3T1-JFKM-655W-00000-00&amp;context=" TargetMode="External" /><Relationship Id="rId61" Type="http://schemas.openxmlformats.org/officeDocument/2006/relationships/hyperlink" Target="https://advance.lexis.com/api/document?collection=cases-ca&amp;id=urn:contentItem:5F8T-N3V1-JFKM-6085-00000-00&amp;context=" TargetMode="External" /><Relationship Id="rId62" Type="http://schemas.openxmlformats.org/officeDocument/2006/relationships/hyperlink" Target="https://advance.lexis.com/api/document?collection=cases-ca&amp;id=urn:contentItem:5F8T-N3V1-JFKM-60B3-00000-00&amp;context=" TargetMode="External" /><Relationship Id="rId63" Type="http://schemas.openxmlformats.org/officeDocument/2006/relationships/hyperlink" Target="https://advance.lexis.com/api/document?collection=cases-ca&amp;id=urn:contentItem:5F81-YGM1-F5KY-B51S-00000-00&amp;context=" TargetMode="External" /><Relationship Id="rId64" Type="http://schemas.openxmlformats.org/officeDocument/2006/relationships/hyperlink" Target="https://advance.lexis.com/api/document?collection=cases-ca&amp;id=urn:contentItem:5F8T-N3V1-FC1F-M4D6-00000-00&amp;context=" TargetMode="External" /><Relationship Id="rId65" Type="http://schemas.openxmlformats.org/officeDocument/2006/relationships/hyperlink" Target="https://advance.lexis.com/api/document?collection=cases-ca&amp;id=urn:contentItem:5F7T-S6V1-JFKM-61CW-00000-00&amp;context=" TargetMode="External" /><Relationship Id="rId66" Type="http://schemas.openxmlformats.org/officeDocument/2006/relationships/hyperlink" Target="https://advance.lexis.com/api/document?collection=cases-ca&amp;id=urn:contentItem:5F7T-S761-JS5Y-B1XS-00000-00&amp;context=" TargetMode="External" /><Relationship Id="rId67" Type="http://schemas.openxmlformats.org/officeDocument/2006/relationships/hyperlink" Target="https://advance.lexis.com/api/document?collection=cases-ca&amp;id=urn:contentItem:5F7T-S7C1-F4NT-X2WB-00000-00&amp;context=" TargetMode="External" /><Relationship Id="rId68" Type="http://schemas.openxmlformats.org/officeDocument/2006/relationships/hyperlink" Target="https://advance.lexis.com/api/document?collection=cases-ca&amp;id=urn:contentItem:5F7T-S711-F4W2-61NS-00000-00&amp;context=" TargetMode="External" /><Relationship Id="rId69" Type="http://schemas.openxmlformats.org/officeDocument/2006/relationships/hyperlink" Target="https://advance.lexis.com/api/document?collection=cases-ca&amp;id=urn:contentItem:5F81-YGK1-F8D9-M18B-00000-00&amp;context=" TargetMode="External" /><Relationship Id="rId7" Type="http://schemas.openxmlformats.org/officeDocument/2006/relationships/footer" Target="footer2.xml" /><Relationship Id="rId70" Type="http://schemas.openxmlformats.org/officeDocument/2006/relationships/hyperlink" Target="https://advance.lexis.com/api/document?collection=legislation-ca&amp;id=urn:contentItem:5F41-1FG1-FC1F-M0TW-00000-00&amp;context=" TargetMode="External" /><Relationship Id="rId71" Type="http://schemas.openxmlformats.org/officeDocument/2006/relationships/hyperlink" Target="https://advance.lexis.com/api/document?collection=cases-ca&amp;id=urn:contentItem:5F7T-S751-JP4G-618T-00000-00&amp;context=" TargetMode="External" /><Relationship Id="rId72" Type="http://schemas.openxmlformats.org/officeDocument/2006/relationships/hyperlink" Target="https://advance.lexis.com/api/document?collection=cases-ca&amp;id=urn:contentItem:5F82-1SD1-FCK4-G322-00000-00&amp;context=" TargetMode="External" /><Relationship Id="rId73" Type="http://schemas.openxmlformats.org/officeDocument/2006/relationships/hyperlink" Target="https://advance.lexis.com/api/document?collection=legislation-ca&amp;id=urn:contentItem:5F41-1FG1-JJYN-B0DY-00000-00&amp;context=" TargetMode="External" /><Relationship Id="rId74" Type="http://schemas.openxmlformats.org/officeDocument/2006/relationships/hyperlink" Target="https://advance.lexis.com/api/document?collection=cases-ca&amp;id=urn:contentItem:5F7T-S761-JX8W-M2NN-00000-00&amp;context=" TargetMode="External" /><Relationship Id="rId75" Type="http://schemas.openxmlformats.org/officeDocument/2006/relationships/hyperlink" Target="https://advance.lexis.com/api/document?collection=cases-ca&amp;id=urn:contentItem:5F8T-N3V1-FC1F-M428-00000-00&amp;context=" TargetMode="External" /><Relationship Id="rId76" Type="http://schemas.openxmlformats.org/officeDocument/2006/relationships/hyperlink" Target="https://advance.lexis.com/api/document?collection=cases-ca&amp;id=urn:contentItem:5F8T-N3V1-JFKM-608J-00000-00&amp;context=" TargetMode="External" /><Relationship Id="rId77" Type="http://schemas.openxmlformats.org/officeDocument/2006/relationships/hyperlink" Target="https://advance.lexis.com/api/document?collection=cases-ca&amp;id=urn:contentItem:5F7T-S741-F1H1-21JV-00000-00&amp;context=" TargetMode="External" /><Relationship Id="rId78" Type="http://schemas.openxmlformats.org/officeDocument/2006/relationships/hyperlink" Target="https://advance.lexis.com/api/document?collection=cases-ca&amp;id=urn:contentItem:5F7T-S761-JGHR-M2DJ-00000-00&amp;context=" TargetMode="External" /><Relationship Id="rId79" Type="http://schemas.openxmlformats.org/officeDocument/2006/relationships/hyperlink" Target="https://advance.lexis.com/api/document?collection=cases-ca&amp;id=urn:contentItem:5F7T-S781-FH4C-X2R3-00000-00&amp;context=" TargetMode="External" /><Relationship Id="rId8" Type="http://schemas.openxmlformats.org/officeDocument/2006/relationships/header" Target="header3.xml" /><Relationship Id="rId80" Type="http://schemas.openxmlformats.org/officeDocument/2006/relationships/hyperlink" Target="https://advance.lexis.com/api/document?collection=cases-ca&amp;id=urn:contentItem:5F7T-S781-F06F-23N7-00000-00&amp;context=" TargetMode="External" /><Relationship Id="rId81" Type="http://schemas.openxmlformats.org/officeDocument/2006/relationships/hyperlink" Target="https://advance.lexis.com/api/document?collection=cases-ca&amp;id=urn:contentItem:5F8T-N3V1-JF75-M3S6-00000-00&amp;context=" TargetMode="External" /><Relationship Id="rId82" Type="http://schemas.openxmlformats.org/officeDocument/2006/relationships/hyperlink" Target="https://advance.lexis.com/api/document?collection=cases-ca&amp;id=urn:contentItem:5F7T-S771-F81W-2296-00000-00&amp;context=" TargetMode="External" /><Relationship Id="rId83" Type="http://schemas.openxmlformats.org/officeDocument/2006/relationships/hyperlink" Target="https://advance.lexis.com/api/document?collection=cases-ca&amp;id=urn:contentItem:5F7T-S741-FJM6-61BF-00000-00&amp;context=" TargetMode="External" /><Relationship Id="rId84" Type="http://schemas.openxmlformats.org/officeDocument/2006/relationships/hyperlink" Target="https://advance.lexis.com/api/document?collection=cases-ca&amp;id=urn:contentItem:5F7T-S761-FFMK-M0YM-00000-00&amp;context=" TargetMode="External" /><Relationship Id="rId85" Type="http://schemas.openxmlformats.org/officeDocument/2006/relationships/hyperlink" Target="https://advance.lexis.com/api/document?collection=cases-ca&amp;id=urn:contentItem:5F7T-S761-FGJR-22H0-00000-00&amp;context=" TargetMode="External" /><Relationship Id="rId86" Type="http://schemas.openxmlformats.org/officeDocument/2006/relationships/hyperlink" Target="https://advance.lexis.com/api/document?collection=cases-ca&amp;id=urn:contentItem:5F7T-S781-F900-G0W0-00000-00&amp;context=" TargetMode="External" /><Relationship Id="rId87" Type="http://schemas.openxmlformats.org/officeDocument/2006/relationships/hyperlink" Target="https://advance.lexis.com/api/document?collection=cases-ca&amp;id=urn:contentItem:5F7T-S791-FJTD-G2PD-00000-00&amp;context=" TargetMode="External" /><Relationship Id="rId88" Type="http://schemas.openxmlformats.org/officeDocument/2006/relationships/hyperlink" Target="https://advance.lexis.com/api/document?collection=cases-ca&amp;id=urn:contentItem:5F8T-N3V1-JF75-M3K1-00000-00&amp;context=" TargetMode="External" /><Relationship Id="rId89" Type="http://schemas.openxmlformats.org/officeDocument/2006/relationships/hyperlink" Target="https://advance.lexis.com/api/document?collection=cases-ca&amp;id=urn:contentItem:5F7T-S781-F06F-23X7-00000-00&amp;context=" TargetMode="External" /><Relationship Id="rId9" Type="http://schemas.openxmlformats.org/officeDocument/2006/relationships/footer" Target="footer3.xml" /><Relationship Id="rId90" Type="http://schemas.openxmlformats.org/officeDocument/2006/relationships/hyperlink" Target="https://advance.lexis.com/api/document?collection=cases-ca&amp;id=urn:contentItem:5F7T-S721-F8D9-M0N5-00000-00&amp;context=" TargetMode="External" /><Relationship Id="rId91" Type="http://schemas.openxmlformats.org/officeDocument/2006/relationships/hyperlink" Target="https://advance.lexis.com/api/document?collection=cases-ca&amp;id=urn:contentItem:5F7T-S781-FH4C-X2R5-00000-00&amp;context=" TargetMode="External" /><Relationship Id="rId92" Type="http://schemas.openxmlformats.org/officeDocument/2006/relationships/hyperlink" Target="https://advance.lexis.com/api/document?collection=cases-ca&amp;id=urn:contentItem:5F7T-S781-JC5P-G1JF-00000-00&amp;context=" TargetMode="External" /><Relationship Id="rId93" Type="http://schemas.openxmlformats.org/officeDocument/2006/relationships/hyperlink" Target="https://advance.lexis.com/api/document?collection=cases-ca&amp;id=urn:contentItem:5F7T-S711-JB2B-S120-00000-00&amp;context=" TargetMode="External" /><Relationship Id="rId94" Type="http://schemas.openxmlformats.org/officeDocument/2006/relationships/hyperlink" Target="https://advance.lexis.com/api/document?collection=cases-ca&amp;id=urn:contentItem:5F7T-S741-DXPM-S108-00000-00&amp;context=" TargetMode="External" /><Relationship Id="rId95" Type="http://schemas.openxmlformats.org/officeDocument/2006/relationships/header" Target="header13.xml" /><Relationship Id="rId96" Type="http://schemas.openxmlformats.org/officeDocument/2006/relationships/header" Target="header14.xml" /><Relationship Id="rId97" Type="http://schemas.openxmlformats.org/officeDocument/2006/relationships/footer" Target="footer13.xml" /><Relationship Id="rId98" Type="http://schemas.openxmlformats.org/officeDocument/2006/relationships/footer" Target="footer14.xml" /><Relationship Id="rId99" Type="http://schemas.openxmlformats.org/officeDocument/2006/relationships/header" Target="header15.xml" /></Relationships>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Panghali v. Panghali, [2014] B.C.J. No. 673</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115051790</vt:lpwstr>
  </property>
  <property fmtid="{D5CDD505-2E9C-101B-9397-08002B2CF9AE}" pid="3" name="LADocCount">
    <vt:i4>10</vt:i4>
  </property>
  <property fmtid="{D5CDD505-2E9C-101B-9397-08002B2CF9AE}" pid="4" name="Language">
    <vt:lpwstr>en-CA</vt:lpwstr>
  </property>
  <property fmtid="{D5CDD505-2E9C-101B-9397-08002B2CF9AE}" pid="5" name="UserPermID">
    <vt:lpwstr>urn:user:PA187417739</vt:lpwstr>
  </property>
</Properties>
</file>