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Perrick v. RJS Electrical Contracting Ltd., [2020] B.C.J. No. 244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Gomery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S1812617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Otis Perrick and Leanne Taylor, Plaintiffs, and RJS Electrical Contracting Ltd. and Hemstreet Contracting Ltd., Defendants, and Hemstreet Contracting Ltd., Tall Oaks Contracting Ltd. and RJS Electrical Contracting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S.H. Stephens.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RJS Electrical Contracting Ltd.: B. Driedger.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Hemstreet Contracting Ltd.: N. Shirazian.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Tall Oaks Contracting Ltd. J.C.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RJS negligent, causing the plaintiffs to suffer a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Hemstreet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contributorily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 of repairs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Lost rental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Diminution in value of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with respect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unjust to decide these issues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G.B. GOMERY J."/>
            <w:bookmarkEnd w:id="2"/>
            <w:r>
              <w:rPr>
                <w:rFonts w:ascii="arial" w:eastAsia="arial" w:hAnsi="arial" w:cs="arial"/>
                <w:b/>
                <w:color w:val="000000"/>
                <w:sz w:val="30"/>
                <w:lang w:val="en-US" w:eastAsia="en-US" w:bidi="ar-SA"/>
              </w:rPr>
              <w:t>G.B. GOMERY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a married couple with young children who purchased property fronting on Sakinaw Lake on the Sunshine Coast. Their plan was to build a luxurious house to use as a rental property, and also for their own use as a vacation property. Just as the house was substantially complete and ready to be shown to prospective renters, it suffered flooding during a period of heavy rainfall. The flooding damaged the house. The plaintiffs cannot afford to repair it. The flooding occurred in September 2018 and the plaintiffs still do not have an occupancy permit, the use of the house, and the rental income they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water entered the house through an electrical conduit intended to service an electric vehicle charging station that had not yet been installed. The conduit channelled water into the house from an uphill depression in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contracted with RJS Electrical Contracting Ltd. ("RJS") for the electrical work involved in the construction of the house. RJS installed the conduit. The plaintiffs say that RJS was negligent and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flood. They claim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contracted with Hemstreet Contracting Ltd. ("Hemstreet") to perform site preparation, excavation and landscaping for the construction project. Hemstreet dug a trench for the conduit and filled it in after the conduit was placed. The plaintiffs also claim against Hemstreet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RJS and Hemstreet advance third party claims against each other. RJS also advances a third party claim against Tall Oaks Contracting Ltd. ("Tall Oaks"). Tall Oaks was the general contractor for the first part of the house construction project. Its involvement ended in December 2017. The conduit was installed in February 2018, well after Tall Oaks left the scene. The flooding occurred in September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seek judgment including an assessment of damages on a summary trial. The thrust of their case is against RJS. RJS and Hemstreet maintain that the case is not suitable for disposition on a summary trial. Alternatively, both deny liability and submit that the damages claimed by the plaintiffs are overstated. Tall Oaks participated in the hearing only to seek costs against RJS.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is much that is not in issue. It is common ground that each of RJS and Hemstreet provided services to the plaintiffs under oral contracts that required them to exercise reasonable care. Both were involved in the installation of the conduit. It is not disputed that the flooding occurred through the conduit and that the plaintiffs suffered damage as a result of the flooding. The central question in the litigation is therefore whether RJS, Hemstreet, or both of them failed to exercise reasonable care in the work they performed with the flooding occurring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are Mr. Perrick and Ms. Taylor. They bought their property in April 2016. They retained Tall Oaks in January 2017. Tall Oaks introduced the plaintiffs to RJS and Hemstreet, and the plaintiffs contracted directly with them. By prearrangement, Tall Oaks withdrew from the project when it reached the lock-up stage in December 2017. After that, Mr. Perrick dealt with RJS and Hemstreet on behalf of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Perrick had no prior experience with home construction. He and Ms. Taylor live and work in Vancouver. Mr. Perrick typically came to the site once or twice a week while the house was under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principal of RJS is Ryan Stevens. He was the "field safety representative" or "FSR" on this project. An FSR is responsible to certify compliance with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29</w:t>
      </w:r>
      <w:r>
        <w:rPr>
          <w:rFonts w:ascii="arial" w:eastAsia="arial" w:hAnsi="arial" w:cs="arial"/>
          <w:color w:val="000000"/>
          <w:sz w:val="20"/>
          <w:lang w:val="en-US" w:eastAsia="en-US" w:bidi="ar-SA"/>
        </w:rPr>
        <w:t xml:space="preserve"> and its regulations, at the conclusion of a construction project. The regulations include the Electrical Code adopted pursuant to s. 20 of the </w:t>
      </w:r>
      <w:r>
        <w:rPr>
          <w:rFonts w:ascii="arial" w:eastAsia="arial" w:hAnsi="arial" w:cs="arial"/>
          <w:i/>
          <w:color w:val="000000"/>
          <w:sz w:val="20"/>
          <w:lang w:val="en-US" w:eastAsia="en-US" w:bidi="ar-SA"/>
        </w:rPr>
        <w:t>Electrical Safety Regulation</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B.C. Reg. 100/2004</w:t>
        </w:r>
      </w:hyperlink>
      <w:r>
        <w:rPr>
          <w:rFonts w:ascii="arial" w:eastAsia="arial" w:hAnsi="arial" w:cs="arial"/>
          <w:color w:val="000000"/>
          <w:sz w:val="20"/>
          <w:lang w:val="en-US" w:eastAsia="en-US" w:bidi="ar-SA"/>
        </w:rPr>
        <w:t>. Most of RJS's work was done by an apprentice, Derek van der Grinten, who reported to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Electrical Code identifies the conduit as an electrical product. RJS acknowledges that, under the regulatory scheme, it was responsible to ensure that the conduit was installed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principal of Hemstreet is Darren Hemstreet. Most of Hemstreet's work was done by its employee, Sandy Wright.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Wright excavated and laid the conduit under direction from Mr. van der Grinten. Mr. Wright backfilled the trench and took photographs of the completed work. Mr. van der Grinten then ran electrical cable through the conduit. This work was completed in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result was a conduit - that is, a pipe - that dropped about 10 feet in elevation from the uphill end near a driveway to a breaker panel inside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van der Grinten says that he sealed the uphill end of the conduit with plastic bags to prevent rain water from entering the conduit. There is some reason to doubt this evidence. There is also a dispute in the evidence as to whether it was further, subsequent backfilling that placed the uphill end of the conduit into a basin surrounded by higher ground, enabling flooding in the event of heavy rain. I address these evidentiary questions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early September 2018, the house was substantially complete. Upon completion of a few final items, Mr. Perrick anticipated soon obtaining an occupancy permit. He had the house staged with furniture for the purpose of listing photos for the rental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heavy rain on September 18, 2018. The next morning, Mr. Perrick travelled to the house and found water inside on the lower floor. He was unable to determine the source. He cleaned up the water and contacted his insurer. He made arrangements with a local contractor to spend the night in the house in case more water entered. The house remained dry that night. But it rained heavily overnight on September 20/21 and into the day on September 21. Mr. Perrick came to the house and discovered water covering the floor on the lower level with more coming in. The source was not obvious but he was eventually able to trace it to the breaker panel and, by process of elimination, determine that it was coming from the conduit for an electric charging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Perrick then found the uphill end of the conduit very near to grade level within a depression in the ground. The uphill end of the conduit was unsealed, and there was nothing to indicate that it had ever been sealed. He dug a small trench to allow water to run off over ground and that stopped the flooding through the conduit.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Stevens of RJS came to the house on the morning of September 22, 2018. He apologized to Mr. Perrick and sealed the uphill end of the conduit.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Pursuant to Supreme Court Civil Rule 9-7(15), the court may grant judgment in favour of any party on a summary trial application, either on an issue or generally, unless: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question - whether the court can find the facts necessary to decide the issues of fact or law - requires an assessment of the evidence and the law that determines what must be proved to establish or defeat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was established by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paras. 43 and 56, in the early days of the summary trial procedure, that a judge conducting a summary trial may find facts on conflicting affidavit evidence, where there is admissible and believable evidence before the court to permit resolution of the conflict on a balance of probabilities. The judge must have a basis for preferring one sworn statement over another; </w:t>
      </w:r>
      <w:r>
        <w:rPr>
          <w:rFonts w:ascii="arial" w:eastAsia="arial" w:hAnsi="arial" w:cs="arial"/>
          <w:i/>
          <w:color w:val="000000"/>
          <w:sz w:val="20"/>
          <w:lang w:val="en-US" w:eastAsia="en-US" w:bidi="ar-SA"/>
        </w:rPr>
        <w:t>Cory v. Cory</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2016 BCCA 409</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second question - whether it would be unjust to decide the issues on a summary trial - involves the exercise of judicial discretion, taking a variety of factors into account. The list includes the amount involved, the complexity of the matter, its urgency, any prejudice likely to arise by reason of delay, the cost of taking the case forward to a conventional trial in relation to the amount involved, the course of the proceedings, the cost of the litigation,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at paras. 28-31.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overriding question is whether this case is suitable for summary trial. If it is, I must address the following 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RJS negligent, causing the plaintiffs to suffer a loss?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Hemstreet negligent?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contributorily negligent?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will address these issues, considering in each case whether I am able to find the facts necessary to address them. After that I will turn to the question of whether it is unjust to decide the issues on a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RJS negligent, causing the plaintiffs to suffer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oral argument, counsel for RJS helpfully focused the issue of RJS's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into a narrow factual question. He pointed to the plaintiffs' contention that, after electrical cable was run through the conduit in February 2018, "the outside end of the tube was left at grade, unsealed and within a depression in the ground of about 5 inches in depth". To the contrary, counsel for RJS contended, when Mr. van der Grinten last touched the conduit, it was one foot above grade and sealed at both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following reasons, I find that RJS's position on this question is unsustainable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RJS's theory of the case requires that, after Mr. van der Grinten left the conduit with both ends sealed, someone else graded over the area, leaving the upper end of the conduit barely above grade in a depression in the ground. The evidence of Mr. Hemstreet and Mr. Wright is that Hemstreet did no further work in the area. Hemstreet was the contractor responsible for excavation, site preparation and landscaping. It is highly implausible that anyone else was doing this kind of work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van der Grinten's affidavit evidence presents various difficulties and I do not accept some of it. He states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day as I pulled the tech cable through the conduit, I:</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Sealed the conduit entering the mechanical room of the house with duct seal,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Sealed the top of the conduit/tech cable with EECOL plastic bags to prevent rain water from entering the conduit at that location</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 cable/conduit were left about 1 foot above the excavated area at this time.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sealed and capped the tech cable, I was of the impression that rain water would not be permitted to enter the conduit/tech cable or into the mechanical room because of the duct seal and the EECOL plastic bags as well as the 1 foot of clearance above the excavated area.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At this time, I told the general contractor that a concrete foundation would have to be poured for the future electric charging station</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my expectation that I would complete installation of the car charging station with the tech cable after the concrete foundation had been poured.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my expectation that the conduit/tech cable would remain 1 foot above the excavated area until the concrete foundation for the charging station was poured.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RJS returned to the plaintiffs' property some time later, when the property was now in lock up stage. </w:t>
      </w:r>
      <w:r>
        <w:rPr>
          <w:rFonts w:ascii="arial" w:eastAsia="arial" w:hAnsi="arial" w:cs="arial"/>
          <w:i/>
          <w:color w:val="000000"/>
          <w:sz w:val="20"/>
          <w:lang w:val="en-US" w:eastAsia="en-US" w:bidi="ar-SA"/>
        </w:rPr>
        <w:t>I believe it was April 2018 when RJS returned</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When RJS returned to the plaintiffs' property the area where the conduit/tech had been left had been graded over and the tech cable/conduit had been buried such that there was no longer any clearance between the tech cable/ conduit and the ground</w:t>
      </w:r>
      <w:r>
        <w:rPr>
          <w:rFonts w:ascii="arial" w:eastAsia="arial" w:hAnsi="arial" w:cs="arial"/>
          <w:color w:val="000000"/>
          <w:sz w:val="20"/>
          <w:lang w:val="en-US" w:eastAsia="en-US" w:bidi="ar-SA"/>
        </w:rPr>
        <w:t xml:space="preserve">. I was told at that time that the plaintiffs no longer wanted an electric charging station in that location. RJS had no involvement in the decision or the work that took place in the area surrounding the conduit/tech cable </w:t>
      </w:r>
      <w:r>
        <w:rPr>
          <w:rFonts w:ascii="arial" w:eastAsia="arial" w:hAnsi="arial" w:cs="arial"/>
          <w:i/>
          <w:color w:val="000000"/>
          <w:sz w:val="20"/>
          <w:lang w:val="en-US" w:eastAsia="en-US" w:bidi="ar-SA"/>
        </w:rPr>
        <w:t>after it left the site in February 2018</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van der Grinten's statement in paragaph 13 that in February 2018 he told the general contractor that a concrete foundation would have to be poured for the future electric vehicle charging station is clearly mistaken. Tall Oaks was no longer on site in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van der Grinten's account of a gap in RJS's attendance on site between February and April of 2018 is an important element in his explanation for how the uphill end of the conduit was transformed from a safe configuration to one in which rainwater might enter the conduit. It is fundamental to RJS's argument that it was no longer responsible for what happened to the conduit after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assertion that RJS left the site in February 2018 and did not return until April is contradicted by its records. RJS invoiced Mr. Perrick for 90.5 hours of Mr. van der Grinten's time in February, 13 hours in March and 18 hours in April. According to his timesheets, Mr. van der Grinten's longest absence from the site in this period was 16 days from March 3 through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explanation cannot be that Mr. van der Grinten has misremembered a lengthy gap in his involvement on the project that actually occurred later in 2018. RJS's activity on the site increased in the months of May through July. It further invoiced Mr. Perrick for 71 hours of Mr. van der Grinten's time in May, 64.5 hours in June, 148 hours and a further 3.5 hours in July, and 2 hours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light of these deficiencies in Mr. van der Grinten's memory and Hemstreet's clear evidence that it did not adjust the grading in the vicinity of the uphill end of the conduit, I conclude that Mr. van der Grinten's account of how the uphill end came to be in the state it was found in on September 21, 2018 is unreliable. It is the product of an unsuccessful reconstruction of events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fundamental difficulty with Mr. van der Grinten's account is that, in paragraph 17, he must be describing what he saw in April 2018. It follows that he saw that uphill end of the conduit was now almost at grade and, as other evidence establishes, in a depression or hollow in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all the evidence, I find that RJS was aware in April 2018, and probably in February 2018, that the uphill end of the conduit was almost level with the ground. Mr. van der Grinten and RJS were still working on the site through those months and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Was the uphill end of the conduit sealed? Photographs taken by Mr. Perrick on September 21, 2018, show a considerable length of electrical cable protruding from the uncapped end of the conduit and lying in loose coils on the ground. If Mr. van der Grinten securely sealed the upper end of the conduit with plastic bags in February as he maintains, the bags would have had to be large enough to encompass the protruding cable. Such bags might possibly have ruptured or broken, but they would not have simply disappeared unless they were so loosely secured that high winds blew them away. It is highly implausible that a third party removed bags carefully fixed in place by Mr. van der Grinten and took them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most probable, and I find, that Mr. van der Grinten neglected to seal the upper end of the conduit after he ran the electrical cable through it. If he sealed it at all, he did not do a careful job as was required in light of the placement of the conduit opening close to ground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view of Mr. van der Grinten's actions and what he knew no later than April 2018, Mr. van der Grinten ought reasonably to have appreciated that there was a substantial risk that groundwater would get into the conduit, and flow from there into the house. The same may be said of Mr. Stevens who was Mr. van der Grinten's superior and the FSR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these are conclusions I can safely draw on the record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Three expert reports are in evidence: from Mr. van Leeuwen, an electrical engineer, Dr. Cepus, a mechanical engineer who describes himself as a "Forensic Engineer", and Mr. Baker, an electrical contractor with extensive experience in loss investigation. I find that each expert is qualified to give the opinions offered in his report. While there are differences in their opinions, many of them are attributable to differing factual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Mr. van Leeuwen and Mr. Baker's uncontradicted evidence that RJS was responsible to supervise the installation of the conduit.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following evidence of Mr. Baker accords with common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electrical cable has been pulled through the conduit, the electrical contractor is required to seal the conduit if s/he does not intend to complete the work for which the conduit and the electric cable were originally installed within a 2 months period. Sealing the conduit is required to prevent foreign bodies such as gravel or rodents from entering the Conduit, both of which can cause damage to the cables/conductors. Sealing also prevents ingress of water which is a safety concern as the other end of the conduit terminates within the residence behind an electrical panel.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Electrical work conducted, as well as the methods and materials employed, should provide a product that can withstand safely the stresses of the environmental conditions characteristic of its location and to which it may be subjected. This includes any attempts to seal conduit to prevent ingress of foreign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Baker observes that the uphill end of the conduit could have been sealed at a very modest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paragraph 17 of his affidavit, Mr. van der Grinten says that he was told in April 2018 that the plaintiffs no longer wanted an electric charging station at this location. Mr. Baker observes: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electrical cable has been pulled through the conduit, an electrical contractor </w:t>
      </w:r>
      <w:r>
        <w:rPr>
          <w:rFonts w:ascii="arial" w:eastAsia="arial" w:hAnsi="arial" w:cs="arial"/>
          <w:i/>
          <w:color w:val="000000"/>
          <w:sz w:val="20"/>
          <w:lang w:val="en-US" w:eastAsia="en-US" w:bidi="ar-SA"/>
        </w:rPr>
        <w:t>is required to seal the conduit when instructed not to complete the work for which the conduit and the electrical cable were no longer installed</w:t>
      </w:r>
      <w:r>
        <w:rPr>
          <w:rFonts w:ascii="arial" w:eastAsia="arial" w:hAnsi="arial" w:cs="arial"/>
          <w:color w:val="000000"/>
          <w:sz w:val="20"/>
          <w:lang w:val="en-US" w:eastAsia="en-US" w:bidi="ar-SA"/>
        </w:rPr>
        <w:t>. The work completed must be left in a safe state and provide no opportunity for damage or hazards to develop. Leaving a conduit with no suitable barrier to prevent ingress of water into an area housing electrical equipment, is considered an unsafe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Mr. Baker's evidence and find that RJS failed to take reasonable care, in accordance with prevailing standards of practice applicable to electrical contractors, to ensure that uphill end of the conduit was sealed and left in a safe state. In short, RJS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RJS's expert, Mr. Cepus, gives his opinion on the footing that an unknown party buried the conduit after RJS left the property. These are not the facts as I have found them. Notably, however, Mr. Cepus observes: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clear, the placement of the conduit below grade resulted in the leak. Leaving it standing 1 foot proud of the ground would not have resulted in a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Cepus' opinion does not assist RJS.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Had the uphill end of the conduit been properly sealed - that is, sealed in a manner appropriate to its location at grade in a depression uphill of the house - the plaintiffs would not have suffered damage from flooding in September 2018. I find that RJS's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Hemstreet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Hemstreet's role in placing the cable was limited, and it acted under RJS's direction. There is no evidence that Hemstreet had involvement with the conduit after Mr. Wright filled in the trench in which the conduit was laid. Hemstreet was not involved in running electrical cable through the conduit. It had nothing to do with sealing the conduit. Its work on the conduit ended in February 2018, seven months before the damage occurred. There is no evidence from which I might conclude that an excavating contractor, acting reasonably, ought to have done anything differently than Hemstreet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Hemstreet was not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plaintiffs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RJS argues that the plaintiffs were contributorily negligent by failing to keep Tall Oaks or another general contractor on site after December 2017. In effect, the argument is that the plaintiffs, having taken on the role of general contractor themselves, were at fault for failing to supervise RJS and prevent it from making the mistakes that led to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RJS offered no authority for the proposition that a negligent contractor may attribute fault to the owner for failing to supervise the contractor. I think that the proposition is doubtful. In any event, RJS does not point to anything in particular that Mr. Perrick did or failed to do that would have prevented the loss in this case. Mr. Perrick's evidence is that he was unaware of the manner in which the conduit was installed until the flooding occurred, and there is no evidence to suggest that he ought to have paid close attention to the installation. The defendants did not seek to cross-examine Mr. Perrick for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not persuaded that Mr. Perrick failed to exercise reasonable care for the security of his building project. He was not contributorily negligent. I am satisfied that there is no real prospect that a full trial would lead me to a different conclusion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seek damages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$52,288.08 in special damages in respect of emergency remediation work following the flooding;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$324,032.33 for the cost of repairs not yet undertaken;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$315,000 for lost rental income;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$25,000 for the diminution in value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special damages are not contested. I am satisfied that the plaintiffs incurred a loss of $52,288.08 for emergency remediation work following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having established that they suffered a loss, the court's task is to do the best it can, on the evidence, to quantify the loss;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(Thomson Reuters, Toronto) (looseleaf, November 2019), para. 13.30; </w:t>
      </w:r>
      <w:r>
        <w:rPr>
          <w:rFonts w:ascii="arial" w:eastAsia="arial" w:hAnsi="arial" w:cs="arial"/>
          <w:i/>
          <w:color w:val="000000"/>
          <w:sz w:val="20"/>
          <w:lang w:val="en-US" w:eastAsia="en-US" w:bidi="ar-SA"/>
        </w:rPr>
        <w:t>Cruise Connections Canada v. Cancellieri</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2012 BCSC 53</w:t>
        </w:r>
      </w:hyperlink>
      <w:r>
        <w:rPr>
          <w:rFonts w:ascii="arial" w:eastAsia="arial" w:hAnsi="arial" w:cs="arial"/>
          <w:color w:val="000000"/>
          <w:sz w:val="20"/>
          <w:lang w:val="en-US" w:eastAsia="en-US" w:bidi="ar-SA"/>
        </w:rPr>
        <w:t>, para. 291.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undisputed that the water damage is not yet fully repaired and the plaintiffs will incur further costs. The plaintiffs do not have expert evidence of the expected further cost. They rely on three estimates obtained from third parties. The defendants object that the estimates are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Two of the estimates are offers by contractors to do the repair work at an estimated cost. One is an offer by Gibbs Construction to do the work for $312,447 plus GST. The other is an offer by Sumoka Developments Ltd. to do the work for $349,650. I am satisfied that these are genuine proposals to create contractual relations by the contractors. As such, they are not hearsay and offer some evidence of the likely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rely on an expert report prepared by a quantity surveyor, Mr. Dmytriw. He suggests that the contractor estimates are overstated because the contractors have included healthy contingencies to reflect repair work whose full scope cannot be ascertained until demolition takes place. Mr. Dmytriw estimates that the repairs will likely cost between $170,184 and $262,731.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scope and estimating methodology, the likelihood of the costs being closer to $170,184 is stronger than the likelihood of the costs being closer to $262,731 due to the fact that I have assumed a 24" removal of drywall to all affected rooms and that the cabinets did not have a lot of noticeable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Dmytriw says that a further 5% savings could be achieved by having the repairs performed under a cost plus or construction management contract, "however, the risk of cost overruns then rests with the owner and not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view, Mr. Dmytriw's report offers a more carefully considered and reliable guide to the cost of future repairs than the contractor estimates. Notwithstanding his observation quoted above, I am not persuaded that I should award damages under this head at or near the low end of the range identified by Mr. Dmytriw. The plaintiffs, who have suffered loss and damage resulting from RJS's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bear a significant risk of being undercompensated for the repair costs they will incur. I accept that a modest reduction from the upper end of the range is in order and assess the plaintiffs' damages under this head at $250,000.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Lost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seek $350,000 in compensation for lost rental income. It is common ground that this kind of loss is compensable as a head of damage; </w:t>
      </w:r>
      <w:r>
        <w:rPr>
          <w:rFonts w:ascii="arial" w:eastAsia="arial" w:hAnsi="arial" w:cs="arial"/>
          <w:i/>
          <w:color w:val="000000"/>
          <w:sz w:val="20"/>
          <w:lang w:val="en-US" w:eastAsia="en-US" w:bidi="ar-SA"/>
        </w:rPr>
        <w:t>Houweling Nurseries Ltd. v. Fisons Western Corporation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(C.A.) at 7-9. The claim is one for loss of an opportunity and negative contingencies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claim is not supported by expert evidence, only the evidence of Mr. Perrick. There is a 'back of the envelope' quality to Mr. Perrick's calculation. Mr. Perrick says that the plaintiffs have suffered 16 months of lost rental income. He estimates that he should have been able to rent the house for $1,500 a night and achieve an occupancy rate of 50%. He allows management fees of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Plaintiffs' counsel concedes that this calculation - 15 days per month at $1,500 x 16 months, less 12% -- does not take into account negative contingencies for breakage and repairs. He further concedes that Mr. Perrick has neither expertise nor much relevant personal experience to support his estimate of anticipated rental income, but says this goes merely to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submit that Mr. Perrick's estimate of rental losses is little more than conjecture. They rely on </w:t>
      </w:r>
      <w:r>
        <w:rPr>
          <w:rFonts w:ascii="arial" w:eastAsia="arial" w:hAnsi="arial" w:cs="arial"/>
          <w:i/>
          <w:color w:val="000000"/>
          <w:sz w:val="20"/>
          <w:lang w:val="en-US" w:eastAsia="en-US" w:bidi="ar-SA"/>
        </w:rPr>
        <w:t>Canadian Faces Inc. v. Cosmetic Manufacturing Inc.</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2011 ONSC 6171</w:t>
        </w:r>
      </w:hyperlink>
      <w:r>
        <w:rPr>
          <w:rFonts w:ascii="arial" w:eastAsia="arial" w:hAnsi="arial" w:cs="arial"/>
          <w:color w:val="000000"/>
          <w:sz w:val="20"/>
          <w:lang w:val="en-US" w:eastAsia="en-US" w:bidi="ar-SA"/>
        </w:rPr>
        <w:t xml:space="preserve"> at paras. 49-51, where the court refused to make an award for lost future profits in the absence of a supporting evidentiary basis for the assessment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legal framework for the assessment of a loss of opportunity claim is well established. First, I must determine, on a balance of probabilities, whether the plaintiffs had a real possibility of earning rental income from the house, but for the flooding; </w:t>
      </w:r>
      <w:r>
        <w:rPr>
          <w:rFonts w:ascii="arial" w:eastAsia="arial" w:hAnsi="arial" w:cs="arial"/>
          <w:i/>
          <w:color w:val="000000"/>
          <w:sz w:val="20"/>
          <w:lang w:val="en-US" w:eastAsia="en-US" w:bidi="ar-SA"/>
        </w:rPr>
        <w:t>Greybriar Investments Ltd. v. Davis &amp; Co</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(S.C.) at 193, aff'd </w:t>
      </w:r>
      <w:hyperlink r:id="rId19"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Zoic Studios B.C. Inc. v. Gannon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2015 BCCA 334</w:t>
        </w:r>
      </w:hyperlink>
      <w:r>
        <w:rPr>
          <w:rFonts w:ascii="arial" w:eastAsia="arial" w:hAnsi="arial" w:cs="arial"/>
          <w:color w:val="000000"/>
          <w:sz w:val="20"/>
          <w:lang w:val="en-US" w:eastAsia="en-US" w:bidi="ar-SA"/>
        </w:rPr>
        <w:t xml:space="preserve"> at para. 78. Second, I must evaluate the positive and negative contingencies that might have affected the plaintiffs' ability to earn rental income and the amounts they likely would have obtained;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2019 BCSC 802</w:t>
        </w:r>
      </w:hyperlink>
      <w:r>
        <w:rPr>
          <w:rFonts w:ascii="arial" w:eastAsia="arial" w:hAnsi="arial" w:cs="arial"/>
          <w:color w:val="000000"/>
          <w:sz w:val="20"/>
          <w:lang w:val="en-US" w:eastAsia="en-US" w:bidi="ar-SA"/>
        </w:rPr>
        <w:t xml:space="preserve"> at paras. 82-83.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first stage is easily addressed. I find that there was a real possibility that the plaintiffs would earn rental income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evidence, the second stage is much more difficult, because Mr. Perrick's calculation is only tenuously grounded and has an optimistic quality.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historical rental of my dad's cabins on Sakinaw Lake, and discussions with other people who rent their properties on Sakinaw Lake, a 50% occupancy rate over the course of a year constitutes a conservative estimate (certain times of year, e.g. summer and winter, are busier than others - but the demand is substantial enough year-round that an occupancy rate in excess of 50% will certainly be achieved). Based on the historical rental of my dad's cabins, discussions with neighbours who rent their properties, discussions with people at the lake who have rented properties and my own online monitoring of rentals available on Sakinaw Lake, the Residence is likely to achieve an average of about $1,500 per night over the course of a year (i.e. taking into account pricing fluctuations for variations in length of stays, time of year, etc.). Attached as Exhibit "N" is a printout from homeaway.ca for the rental of a home comparable to the Residence which averages $1,700 per night (this property is very close in location, sleeps a similar number of people, has the same amenities,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printout from homeaway.ca exhibited to Mr. Perrick's affidavit is revealing. It is an advertisement establishing that the owners of the allegedly comparable property are listing it for an average price of $1,700 per night, but one may doubt that the owners actually realize that level of income, even at a 50% occupancy rate. That property is described as featuring seven bedrooms: four in a main building and three in guest villas. An appraisal of the house appended to Mr. Perrick's affidavit describes it as featuring four bedrooms without reference to a guest villa. The allegedly comparable property boasts 492 square metres or 5,296 square feet; the house has 3,390 square feet and is only 64% as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two properties are not truly comparable. I conclude that Mr. Perrick's calculation is not a reliable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other hand, the house was brand new. Mr. Perrick's evidence does establish that there is an active rental market in the area. But for the flooding, the house was undoubtedly an attractive high end rental property. An appraisal based on the plans and site in July 2017 forecast that it would be worth $4.35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Doing the best I can with the evidence, I would award the plaintiffs $125,000 for their lost opportunity to earn rental income from the house due to the flooding.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Diminution in value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rely on the affidavit of a realtor, Mr. Pilkington, who says that, in his experience, a buyer will pay less for a property that has suffered flood damage than for one that has not. Mr. Pilkington says that he has viewed photographs of the flood damages and, while it is difficult to put a dollar value on the discount a prospective buyer would apply in this case, "given its market value, the discount would likely be in excess of a relatively de minimus amount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defendants object that Mr. Pilkington's affidavit is expert evidence not contained in an expert report prepared pursuant to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R. 11-6. I agree that Mr. Pilkington's affidavit offers an expert opinion based on his specialized knowledge and experience as a licensed realtor. However, generally speaking, the requirements of Part 11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including R. 11-6, do not apply to summary trials; R. 11-1(1)(a). While expert reports are admissible in a summary trial (R. 9-7(5)(e)), they are not required and expert evidence may be put in evidence by affidavit; R. 9-7(5)(a).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find Mr. Pilkington's affidavit substantively helpful in this case. It offers only a bare bones statement of his qualifications and the basis for his opinion. It does not state that Mr. Pilkington understands that, in offering opinion evidence, his duty is to assist the court and not to be an advocate for any party. Mr. Pilkington does not describe his experience with sales of properties that have suffered flood damage. One might wonder about the number of sales he has experience with, the extent of the damage in those cases, and whether the damage was fully repaired. It is not obvious why the price of a property that has been fully repaired would be discounted. The opinion Mr. Pilkington offers is, on its face, only tentative in its reference to the difficulty of quantifying a discount and the statement that it may be only "a relatively de minimus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the plaintiffs' claim for compensation for the reduction in the value of the house is unproven.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with respect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these reasons, I find that the plaintiffs have established that they have suffered damages of $427,288.08, broken down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$52,288.08 in respect of emergency remediation work following the flooding;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$250,000 in respect of the cost of repairs not yet undertaken;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$125,000 in respect of lost rental income.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it unjust to decide these issues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opinion, it is not unjust to decide the issues as set out in these reasons on a summary trial, taking the following matters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the amount involved is significant, the issues are not complex. A conventional trial is expected to require 10 days and is scheduled to take place in January 2021. There will be prejudice to the plaintiffs if they must wait another 11 months to have their claim resolved. The cost of a 10-day trial will be far higher. This will enure to the disadvantage of the parties generally, but especially to the plaintiffs who have been unable to this point to afford to repair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I have rejected portions of Mr. van der Grinten's affidavit evidence, the rejection is not critical to my conclusion that RJS was negligent. Summarizing what I have already stated, the critical consideration is that, on his own evidence, Mr. van der Grinten was aware that the uphill end of the conduit was at or close to grade no later than April 2018. From this point forward, there was a real risk of flooding through the conduit for which RJS was responsible. RJS did not take effective steps to manage or forestall that risk which eventuated in the flooding in September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resolution of the issues I have addressed in these reasons permits a final resolution of all the claims in this litigation. RJS's third party claims should be dismissed because neither Hemstreet nor Tall Oaks was negligent. With the dismissal of the plaintiffs' claim against Hemstreet, Hemstreet's third party claim against RJS is moot. This is not a case in which there will be litigation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possible that a conventional trial with more evidence would result in a different and more precise assessment of damages. The plaintiffs have put their best foot forward. The defendants examined Mr. Perrick for discovery in September 2019 and tendered the expert reports of Mr. Dmytriw and Mr. Cepus. No one applied to cross-examine any of the affiants or the experts. In my view, the defendants have a reasonable opportunity to address all aspects of the plaintiffs' claim, including quantification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I exercise my discretion to decide this case on a summary trial in order that straightforward issues may be finally resolved without further delay and expense. In my view, this is not unjust to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these reasons, I order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will have judgment against RJS for special damages of $52,288.08 and general damages of $375,000, together with prejudgment interest and costs;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Hemstreet is dismissed with costs;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third party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If there are further or other matters pertaining to costs that must be addressed, the parties may arrange through the registry a hearing before me at 9:00 a.m. on a day when I am sitting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GOMERY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Peters v. Samji, [2013] B.C.J. No. 2733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S142896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Dave Peters and Sanae Togashi, Plaintiffs, and Rashida Samji, Rashida Samji Notary Corporation, Samji &amp; Assoc. Holdings Inc., Arvindbhai Bakorbhai Patel aka Arvin Patel, Coast Capital Savings Credit Union, Coast Capital Insurance Services Ltd., and Worldsource Financial Management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S.L. Nicoll, J.M.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Worldsource Financial Management Inc.: J.D.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Samji Defendants: O. Ahmed.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Arvin Patel: S.K.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Coast Capital Defendants: D.R. McGowan, H. Parson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Royal Bank of Canada: S.P. Strukoff, J.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Vancouver City Savings Credit Union: T.M.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Toronto-Dominion Bank: L. Martz, A.E. Cocks.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the Plaintiffs in </w:t>
      </w:r>
      <w:r>
        <w:rPr>
          <w:rFonts w:ascii="arial" w:eastAsia="arial" w:hAnsi="arial" w:cs="arial"/>
          <w:i/>
          <w:color w:val="000000"/>
          <w:sz w:val="20"/>
          <w:lang w:val="en-US" w:eastAsia="en-US" w:bidi="ar-SA"/>
        </w:rPr>
        <w:t>Jer v. Samji</w:t>
      </w:r>
      <w:r>
        <w:rPr>
          <w:rFonts w:ascii="arial" w:eastAsia="arial" w:hAnsi="arial" w:cs="arial"/>
          <w:color w:val="000000"/>
          <w:sz w:val="20"/>
          <w:lang w:val="en-US" w:eastAsia="en-US" w:bidi="ar-SA"/>
        </w:rPr>
        <w:t>, VA S121627: P.R. Bennett, M.P. Good, R.M. Mogerman, N.J. Kovak.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L.B. GEROW J."/>
            <w:bookmarkEnd w:id="5"/>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43 actions apply for orders that various financial institutions; namely, the Royal Bank of Canada, Vancouver City Savings Credit Union, Toronto Dominion Bank, and Worldsource Financial Management Inc. (collectively, the "Financial Institutions") be added as defendants in their actions. Some of the plaintiffs seek to have more than one of the Financial Institutions added as parties to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Worldsource takes no position on these applications. Vancity and TD Bank oppose the plaintiffs' applications to add them as defendants to any of the actions. Vancity. Royal Bank adopts the submissions of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law firm of Hamilton, Duncan, Armstrong and Stewart ("HDAS") is acting as counsel in 43 actions commenced against Rashida Samji, Rashida Samji Notary Corporation, and Samji &amp; Assoc. Holdings Inc. (the "Samji defendants"), Arvindbhai Bakorbhai Patel, Coast Capital Savings Credit Union, Coast Capital Insurance Services Ltd. and Worldsource. The plaintiffs in these actions are all investors who lost money in a fraudulent investment scheme promoted by the Samji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also a class action against the Samji defendants, Mr. Patel, the Coast Capital defendants, Worldsource, TD Bank, Royal Bank, Vancity and the Society of Notaries Public of British Columbia, brought on behalf of creditors who lost money in the scheme. The class action was certified on September 10, 2013, against all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proceedings having the scheme as the subject matter were consolidated for the purposes of case management. A six-week trial to try the common issues in the class action proceeding and a number of the individual actions for plaintiffs represented by HDAS is set to commence May 26,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seek to add parties as defendants to the individual actions and make amendments to particularize claims against some of the existing defendants . The parties the plaintiffs are seeking to add are all defendants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are seeking to add Royal Bank as a defendant in a number of the actions. The plaintiffs in those actions allege the Samji defendants, or one or more of them, maintained a non-trust account with the Royal Bank that they used to deposit money received from the plaintiffs in trust. The plaintiffs allege these funds were not properly treated as trust funds by Royal Bank. As well, the plaintiffs allege that in some cases, Royal Bank deposited cheques made to one of the Samji defendants into another Samji defendant's account who was not the named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seek to add the TD Bank as a defendant in a number of actions in which they allege the Samji defendants, or one or more of them, maintained a non-trust account with TD Bank which was used by them to deposit monies received from the plaintiffs in trust. The plaintiffs allege TD Bank did not properly treat these funds as trust funds. The plaintiffs also allege that TD Bank, in some cases, deposited cheques made to one of the Samji defendants into another Samji defendant's account who was not the named payee without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seek to add Vancity as a defendant in actions in which the Samji defendants, or one or more of them, maintained non-trust accounts with Vancity. The plaintiffs allege the account was used by the Samji defendants to deposit monies received from the plaintiffs in trust, and Vancity did not properly treat these funds as trust funds. The plaintiffs also allege that Vancity deposited cheques made to one of the Samji defendants into another Samji defendant's account who was not the named payee without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seek to add Worldsource in certain actions, alleging it had an agreement with Coast Capital in which it provided mutual fund dealer services. The plaintiffs allege that the agreement created a principal-agent relationship with Mr. Patel, and therefore Worldsource is vicariously liable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remainder of the proposed amendments further particularize the claims against the Samji defendants, Mr. Patel, Coast Capital and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Vancity's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Vancity takes the position that the material facts necessary to establish a cause of action against it have not been pleaded in the various actions in which the plaintiffs seek to add it as a defendant. Vancity points to the fact that the plaintiffs' proposed claims against it in conversion have two footings: 1) funds payable in trust were deposited into non-trust accounts; and 2) funds payable to "Samji Associates" were deposited into the Samji &amp; Assoc. Holdings Inc. account. Vancity says the material facts pleaded do not support either of these bases and, as a result, there is no possible cause of action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pleadings that Rashida Samji, Rashida Samji Notary Corporation, Samji and Associates, and Samji &amp; Associates Holdings Inc. operated as a single entity is inconsistent with the allegation that Vancity converted instruments by depositing instruments payable to "Samji Associates" into the account of Samji &amp; Assoc. Holdings Inc. Vancity says in analogous circumstances, where the proposed cause of action was inconsistent with the allegations against the existing defendants, the court has refused to add a defendant: </w:t>
      </w:r>
      <w:r>
        <w:rPr>
          <w:rFonts w:ascii="arial" w:eastAsia="arial" w:hAnsi="arial" w:cs="arial"/>
          <w:i/>
          <w:color w:val="000000"/>
          <w:sz w:val="20"/>
          <w:lang w:val="en-US" w:eastAsia="en-US" w:bidi="ar-SA"/>
        </w:rPr>
        <w:t>Whiskey Dock Developments Ltd. v. Ucluelet (District)</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2011 BCSC 937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well, the plaintiffs have not pleaded any material fact that can support the allegations that Vancity negligently processed "in trust" cheques, negligently failed to investigate or knowingly assisted in a breach of trust. No material facts are pleaded to support the plaintiffs' claims that Vancity breached any duty of care owed to the plaintiffs. The entire basis pleaded for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trust claims rests on an assertion that four cheques marked "in trust" were deposited by the Samji defendants into non-trust accounts at Vancity. However, there is evidence that three of these deposits were never, in fact,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claims against Vancity for negligent failure to investigate and knowing assistance require Vancity to have had actual knowledge of the Samji defendants' alleged fraudulent activities. However, no material facts are pleaded to support the allegation that Vancity knew the money deposited by the Samji defendants was trust money or that Vancity knowingly took the risk that deposits and transfers of trust funds to the Samji defendants' accounts could operate to the prejudice of any purported beneficiaries. The onus of proof lies on the plaintiffs, and it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claim regarding Vancity's obligation under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334</w:t>
      </w:r>
      <w:r>
        <w:rPr>
          <w:rFonts w:ascii="arial" w:eastAsia="arial" w:hAnsi="arial" w:cs="arial"/>
          <w:color w:val="000000"/>
          <w:sz w:val="20"/>
          <w:lang w:val="en-US" w:eastAsia="en-US" w:bidi="ar-SA"/>
        </w:rPr>
        <w:t>, is wrong in law and has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alternative, Vancity takes the position that no possible cause of action can lie in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trust against Vancity in two of the 12 actions in which plaintiffs seek to add it. The expert report prepared by Grant Thornton does not identify any deposits into the Samji defendants' Vancity accounts of any money received from the plaintiffs Kulwinder and Barjinder Sohi or the plaintiff Davinder Singh Dhani.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further alternative, there is no possibility of success in the action commenced by the Kainth plaintiffs as they received more money from the scheme than they invested into it. In other words, they were net winners.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Vancity argues that it is not just and convenient to add it as a defendant to any of the actions. There has been a substantial, unexplained delay by the plaintiffs in bringing their applications to add Vancity as a defendant. As early as August 2012, when the class action proceeding was commenced naming Vancity, the plaintiffs were on notice that Vancity might be a potential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delay has resulted in substantial prejudice to Vancity. At least one of the individual actions is proposed to be scheduled to begin trial in May 2014. If Vancity is added as a defendant, it will be denied the time reasonably required to prepare for the trial. The infringement of Vancity's procedural rights is particularly acute because the individual plaintiffs are alleging causes of actions against Vancity which are not alleged against it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TD Bank's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TD Bank takes the position that certain of the amended notices of civil claim in the actions in which the plaintiffs propose to add TD Bank do not contain allegations of material facts sufficient to support all of the causes of action pleaded against TD Bank. Those claims fail to meet the requirement of establishing a cause of action against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TD Bank is entitled to have pleadings that accurately reflect the allegations that the plaintiffs wish to advance against TD Bank and provide sufficient particularity to allow it to assess the claims against it. This will allow TD Bank to evaluate which, if any, of the actions it wishes to propose for trial in conjunction with the common issues trial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ought to amend their proposed pleadings so as to:</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to whom the instruments in question were payable and whether or not they were payable in trust;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 inconsistencies in the pleadings against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Unless TD Bank is given the opportunity to participate in the selection of the cases, if any, in which it is a defendant should proceed to trial in conjunction with the common issues trial in the class proceeding, and a reasonable period of time for preparation for the trial, it will suffer significant prejudice, and the plaintiffs should not be allowed to add it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Royal Bank's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Royal Bank adopted the submissions of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take the position that the pleadings disclose a cause of action against each of the proposed defendants. The plaintiffs in these actions are making similar allegations against the Financial Institutions to those made against them in the class action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submit they have pleaded sufficient material facts to disclose causes of action against the Financial Institutions. The plaintiffs rely on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as evidence of a duty of care. The plaintiffs allege the Financial Institutions were negligent because they knew Ms. Samji was a notary, and deposited cheques and instruments payable in trust into non-trust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submit the evidence relied on by Vancity to support its argument that the plaintiffs do not have a cause of action against it is incomplete. For example, the Grant Thornton expert report Vancity relies on is a draft report, and is not evidence that can be relied upon in the manner argued by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pleadings in the individual actions mirror the claims in the class action, with the exception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plaintiffs say the pleadings allege a pattern of cheques going through the Samji defendants' accounts. The plaintiffs allege the pattern of activity in the Samji defendants' accounts at the Financial Institutions was such that it should have caused them to investigate the Samji defendants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say they waited until the reasons for judgment on the certification hearing in the class action proceedings were issued to apply to add the Financial Institutions to these. They submit that it was reasonable to delay applying to add the Financial Institutions in that manner, and the delay was not unreasonable. The plaintiffs submit the proposed defendants have not suffered any prejudice as a result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say the allegations in the pleadings that the Samji defendants acted in concert in perpetrating the fraud has no bearing on the allegation that the Financial Institutions could not deposit a cheque made out to one Samji defendant into a different Samji defendant account, or that they could not deposit a trust cheque into a non-trust account. The plaintiffs argue the pleadings are not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point to the fact that the notices of civil claim specifically plead that Ms. Samji and Samji &amp; Assoc. Holdings Inc. never acquired title to the cheques, instruments and funds, and the plaintiffs remained the owners of the funds at all times, and that Ms. Samji and Samji Holdings wrongful converted those cheques by depositing them into the accounts of Ms. Samji and Samji Holdings for their own use and benefit. The plaintiffs submit those pleadings make clear there is no admission by the plaintiffs that cheques written to one of the Samji defendants can be deposited into another Samji defendant's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for the amendment of pleadings. Rule 6-2(7) allows for the addition of parties. The relevant portions of the subrule provide: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order to succeed in joinder under Rule 6-2(7)(b), the applicant must establish that the person ought to have been joined as a party or that their participation is necessary in order to permit the issues between the existing parties to be determined: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order to succeed in joinder under Rule 6-2(7)(c), the applicant must show the claim raises a question or issue relating to, or connected with, any relief being claimed in or the subject matter of the action. The threshold is low. The plaintiff is not required to demonstrate that the claims advanced against the proposed defendants are likely to succeed against each of them. Evidence is not required. However, if evidence is provided, the court does not weigh it to determine if the plaintiff can prove the allegations, but reviews it to determine if there is an issue between the parties. If the applicant establishes those requirements, then it must be determined if it is just and convenient to decide that question or issue in the same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determining whether it is just and convenient, the court must consider, among other things, any delay in bringing the application including the prejudice caused by the delay, and the effect that adding a party will or may have on the proceeding generally. The expiration of a limitation period is or can be an important consideration under this aspect of the rule, but no question in that regard arises in these cases. If there is no limitation defence, the only question is whether it will be more convenient to have one or two actions since the plaintiff can commence new actions against the proposed defendants if unsuccessful in the joinder application: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at paras. 45-47.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Ipsos S.A. v. Angus Reid,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xml:space="preserve"> at para. 107, in commenting on the predecessor rule,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discretion to add or substitute parties under Rule 15(5)(a) should be exercised generously to allow the effective determination of the issues, without delay, inconvenience or separate trials. Unless the allegations are frivolous, the parties should be added: </w:t>
      </w:r>
      <w:r>
        <w:rPr>
          <w:rFonts w:ascii="arial" w:eastAsia="arial" w:hAnsi="arial" w:cs="arial"/>
          <w:i/>
          <w:color w:val="000000"/>
          <w:sz w:val="20"/>
          <w:lang w:val="en-US" w:eastAsia="en-US" w:bidi="ar-SA"/>
        </w:rPr>
        <w:t>MD Mineral Search Inc. v. East Kootenay Newspapers Ltd.</w:t>
      </w:r>
      <w:r>
        <w:rPr>
          <w:rFonts w:ascii="arial" w:eastAsia="arial" w:hAnsi="arial" w:cs="arial"/>
          <w:color w:val="000000"/>
          <w:sz w:val="20"/>
          <w:lang w:val="en-US" w:eastAsia="en-US" w:bidi="ar-SA"/>
        </w:rPr>
        <w:t xml:space="preserve"> unreported, May 26, 1999, No. 9063, Cranbrook (B.C.S.C.); </w:t>
      </w:r>
      <w:r>
        <w:rPr>
          <w:rFonts w:ascii="arial" w:eastAsia="arial" w:hAnsi="arial" w:cs="arial"/>
          <w:i/>
          <w:color w:val="000000"/>
          <w:sz w:val="20"/>
          <w:lang w:val="en-US" w:eastAsia="en-US" w:bidi="ar-SA"/>
        </w:rPr>
        <w:t>F.W. Hearns/Actes v. University of British Columbia</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2000 BCSC 946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there are clearly issues between the plaintiffs and the Financial Institutions. At this hearing, Vancity and TD Bank advanced a number of arguments they advanced at the certification hearing for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Vancity asserts that the proposed amended notices of civil claim do not disclose any issues or a possible cause of action against it. Vancity submits the plaintiffs have not pleaded the necessary material facts to support their allegations of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trust as against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Vancity says the proposed amendments relating to Vancity state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Samji defendants had non-trust accounts with Vancity and used those accounts to commit breaches of trust and fraud on the plaintiffs;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Vancity knew Ms. Samji was a notary public and was aware of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Vancity was required by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to identify in its records any notary trust accounts and to deposit funds payable "in trust" to the Samji defendants in such accounts and Vancity did not do so;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substantial portion of the transactions through the Samji defendants' Vancity accounts involved instruments drawn and payable in trust and Vancity knew these deposits and transfers were in breach of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However, a review of the proposed pleadings in the 12 actions which seek to join Vancity as a defendant shows that only four instruments marked "in trust" were allegedly deposited into the Samji defendants' non-trust accounts at Vancity;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Vancity allowed the deposit of instruments into the Samji defendants' accounts that were made payable to "Samji Associates" and these instruments were deposited without endorsement;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Vancity failed to take any steps to investigate and notify the plaintiffs regarding the Samji defendants' accounts or otherwise take steps to prevent the commission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Vancity says the plaintiffs' claims in conversion against it have two footings: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payable "in trust" were deposited into non-trust accounts;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payable to "Samji Associates" were deposited to the Samji &amp; Associate Holdings Inc.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Vancity argues that the material facts pleaded do not support either of these bases and as a result there is no possible cause of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Vancity has adduced evidence that of the five alleged deposits of cheques marked "in trust," four of these were not deposited into the Samji defendants' accounts at Vancity. There is evidence of one cheque written to Samji &amp; Associates "in trust" which was deposited by Vancity into a non-trust account. As well, Vancity argues that it had no way of knowing that instruments deposited by the Samji defendants into accounts at Vancity that were not marked "in trust" may have been provided to the Samji defendants as trust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Although Vancity argues that evidence adduced at an application for joinder is to be considered, it is clear from the case law that "if evidence is provided, the court is not to weigh it and assess whether the plaintiff could prove the allegations": </w:t>
      </w:r>
      <w:r>
        <w:rPr>
          <w:rFonts w:ascii="arial" w:eastAsia="arial" w:hAnsi="arial" w:cs="arial"/>
          <w:i/>
          <w:color w:val="000000"/>
          <w:sz w:val="20"/>
          <w:lang w:val="en-US" w:eastAsia="en-US" w:bidi="ar-SA"/>
        </w:rPr>
        <w:t>The Owners, Strata Plan No. VIS3578</w:t>
      </w:r>
      <w:r>
        <w:rPr>
          <w:rFonts w:ascii="arial" w:eastAsia="arial" w:hAnsi="arial" w:cs="arial"/>
          <w:color w:val="000000"/>
          <w:sz w:val="20"/>
          <w:lang w:val="en-US" w:eastAsia="en-US" w:bidi="ar-SA"/>
        </w:rPr>
        <w:t xml:space="preserve"> at para. 45. In making its arguments, Vancity is asking the Court to weigh the evidence and determine whether the plaintiffs will be successful in prosecuting their claims, given that evidence. However, the evidence Vancity relies on is incomplete, document discovery is not complete and examinations for discovery have not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Vancity and TD Bank both argue that the allegation in the notices of civil claim that the Samji defendants acted in concert in perpetrating the fraud is inconsistent with the allegation the Financial Institutions converted cheques by depositing a cheque made out to one Samji defendant into a different Samji defendant account, or depositing trust cheques into a non-trust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in my view, the pleading that the Samji defendants acted in concert to perpetrate a fraud has no bearing on the allegations against the Financial Institutions. It is not an admission that for all intents and purposes that the Samji defendants were acting as one entity as TD Bank and Vancity assert. The pleadings contain allegations that the Samji defendants never acquired title to those cheques or other instruments, and had limited authority regarding those cheques and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Vancity and TD Bank argue that the plaintiffs' claim based on s. 23(2)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is wrong in law and has no reasonable prospect of success. However, it is clear from the case law that issues such as duty of care, and the proper construction of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which arise from the facts set out in the notices of civil claims, cannot be determined at this stage. The issue is not whether the plaintiffs will be successful in prosecuting their claims, but rather if the plaintiffs have pleaded the material facts necessary to establish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Vancity points to the fact that in one of the actions seeking to add it as a defendant, the notice of civil claim states that the plaintiffs' cheques were deposited without endorsement to the account of Samji Holdings at Vancity, identifies one cheque dated June 3, 2011 for $50,000, and is silent as to who the cheque is made payable to and whether it was payable in trust. Vancity argues the facts pleaded do not provide sufficient particularization to support a cause of action. TD Bank makes similar arguments in that it argues that the plaintiffs in the cases where it is a proposed defendant have provided insufficient particulars of the cheques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my view that the material facts pleaded are sufficient to establish a potential claim in conversion against the Financial Institutions. The notices of civil claim sets out details of the dates and number of the plaintiffs' cheques deposited by the Samji defendants into their accounts at the particular Financial Institution. If additional particularization is required, a request for particulars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Vancity and TD Bank also argued that the plaintiffs will not be able to succeed in their claims for negligent failure to investigate and knowing assistance of breach of trust because they will be unable to prove that the Financial Institutions had actual knowledge of the alleged fraudulent activities. Vancity relies on </w:t>
      </w:r>
      <w:r>
        <w:rPr>
          <w:rFonts w:ascii="arial" w:eastAsia="arial" w:hAnsi="arial" w:cs="arial"/>
          <w:i/>
          <w:color w:val="000000"/>
          <w:sz w:val="20"/>
          <w:lang w:val="en-US" w:eastAsia="en-US" w:bidi="ar-SA"/>
        </w:rPr>
        <w:t>Ramais v. Johnson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2009 ABQB 386</w:t>
        </w:r>
      </w:hyperlink>
      <w:r>
        <w:rPr>
          <w:rFonts w:ascii="arial" w:eastAsia="arial" w:hAnsi="arial" w:cs="arial"/>
          <w:color w:val="000000"/>
          <w:sz w:val="20"/>
          <w:lang w:val="en-US" w:eastAsia="en-US" w:bidi="ar-SA"/>
        </w:rPr>
        <w:t xml:space="preserve"> at paras. 51-60. Vancity asserts that in </w:t>
      </w:r>
      <w:r>
        <w:rPr>
          <w:rFonts w:ascii="arial" w:eastAsia="arial" w:hAnsi="arial" w:cs="arial"/>
          <w:i/>
          <w:color w:val="000000"/>
          <w:sz w:val="20"/>
          <w:lang w:val="en-US" w:eastAsia="en-US" w:bidi="ar-SA"/>
        </w:rPr>
        <w:t>Ramais</w:t>
      </w:r>
      <w:r>
        <w:rPr>
          <w:rFonts w:ascii="arial" w:eastAsia="arial" w:hAnsi="arial" w:cs="arial"/>
          <w:color w:val="000000"/>
          <w:sz w:val="20"/>
          <w:lang w:val="en-US" w:eastAsia="en-US" w:bidi="ar-SA"/>
        </w:rPr>
        <w:t xml:space="preserve">, an application to add defendants where analogous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were alleged was dismissed because there were no material facts pleaded or evidence provided to support the requirement that the proposed defendant had actual knowledge that he transactions were fraudulent. However, that case was decided under the </w:t>
      </w:r>
      <w:r>
        <w:rPr>
          <w:rFonts w:ascii="arial" w:eastAsia="arial" w:hAnsi="arial" w:cs="arial"/>
          <w:i/>
          <w:color w:val="000000"/>
          <w:sz w:val="20"/>
          <w:lang w:val="en-US" w:eastAsia="en-US" w:bidi="ar-SA"/>
        </w:rPr>
        <w:t>Alberta Rules of Court</w:t>
      </w:r>
      <w:r>
        <w:rPr>
          <w:rFonts w:ascii="arial" w:eastAsia="arial" w:hAnsi="arial" w:cs="arial"/>
          <w:color w:val="000000"/>
          <w:sz w:val="20"/>
          <w:lang w:val="en-US" w:eastAsia="en-US" w:bidi="ar-SA"/>
        </w:rPr>
        <w:t xml:space="preserve"> and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Knowing assistance is a cause of action that can result in a stranger to a trust being found liable for knowingly participating in a fraudulent breach of trust. In order to succeed, a plaintiff must plead and prove that: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trust;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perpetrated a dishonest and fraudulent breach of trust;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participated in and had actual knowledge of the dishonest and fraudulent breach of trust.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[1997] 3 S.C.R. 767</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Actual knowledge, which includes recklessness or wilful blindness, is required to render a bank liable under this cause of action: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811-813. Constructive knowledge is insufficient to establish liability in knowing assistance cases: </w:t>
      </w:r>
      <w:r>
        <w:rPr>
          <w:rFonts w:ascii="arial" w:eastAsia="arial" w:hAnsi="arial" w:cs="arial"/>
          <w:i/>
          <w:color w:val="000000"/>
          <w:sz w:val="20"/>
          <w:lang w:val="en-US" w:eastAsia="en-US" w:bidi="ar-SA"/>
        </w:rPr>
        <w:t>Citadel General Assurance Co. v. Lloyds Bank of Canada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TD Bank and Vancity take the position that the material facts pleaded fall short of an allegation of actual knowledge of fraud, including wilful blindness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TD Bank argues the pleadings contain no material facts alleging it knew that Ms. Samji was using an account to further a fraudulent or dishonest breach of trust; no material facts alleging TD Bank suspected Ms. Samji was involved in a fraud and failed to make the necessary inquiries to confirm that decision; and no material facts alleging TD Bank knew of any danger or risk that Ms. Samji was involved in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from the authorities relied upon by the parties that, whether a bank's actual knowledge a client was dealing in trust funds constitutes sufficient knowledge of a breach of trust, will depend on the surrounding circumstances of which the bank was aware and can only be determined after a proper factual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notices of civil claim, the plaintiffs allege the Financial Institutions had actual knowledge of Ms. Samji's breaches of trust by reason of having accepted for deposit and processed cheques drawn in favour of Ms. Samji, "Samji and Associates" and/or Samji &amp; Assoc. Holdings Inc. "in trust", but deposited into non-trust accounts with them. As noted earlier, Vancity argues that the plaintiffs will not be successful in advancing that argument because many of the cheques deposited were not made out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However, as stated earlier, the test to be applied is not whether the plaintiffs will be successful, but rather whether the plaintiffs have pleaded material facts to establish a cause of action. The threshold is low. In this case, the pleadings allege the Financial Institutions had actual knowledge. I agree with the plaintiffs that the determination of whether the Financial Institutions' knowledge of the Samji defendants' use of trust funds constitutes actual knowledge of a breach of trust or founds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be made after a proper factual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having reviewed the pleadings, I am satisfied that the plaintiffs have met the onus on them under Rule 6-2(7)(c), to show there is a question between the proposed defendants and the plaintiffs that relate to the relief and subject matter of the proceeding. In my view, the pleadings establish that the plaintiffs have a possible cause of action against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turn next to the issue of whether it is just and convenient to decide the issue between the parties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TD Bank, Royal Bank and Vancity argue it is not just and convenient to add them as defendants because the delay in bringing an application to add them has been substantial. The plaintiffs' actions were filed in or around May 2012. The plaintiffs have provided no reason for delay, even though the Financial Institutions were named as defendants in the class action in 2012, and the plaintiffs would have been on notice the Financial Institutions might be potential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TD Bank, Vancity, and Royal Bank argue the plaintiffs' delay means there is a substantial prejudice to them if they are added. Some of the individual class actions are scheduled to begin trial on May 26, 2014, and they will have insufficient time to prepare and participate in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in my view, the plaintiffs' explanation that they were waiting for the reasons in the class action certification prior to adding the Financial Institutions as defendants is a reasonable one. As well, it is my view that the Financial Institutions have not established any real prejudice to them. They have been aware of and investigating the claims against them since they were named as defendants in the class action. All of the individual plaintiffs are also potential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argument regarding any limitation defence. The only question when there is no limitation defence is whether it will be more convenient to have one or two actions since the plaintiffs are able to commence a new action against the proposed defendants if they are unsuccessful on this application. In my opinion, it would not be just and convenient to require the plaintiffs to commence numerous additional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Accordingly, the plaintiffs are permitted to amend their pleadings, including adding the parties, as set out in the notice of application filed on November 1, 2013, in Action No. S142896, with the exception that Vancity will not be added as a defendant to the action commenced by Barjinder and Kulwinder Sohi in Action No. S412605.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shd w:val="clear" w:color="auto" w:fill="FFFFFF"/>
            <w:lang w:val="en-US" w:eastAsia="en-US" w:bidi="ar-SA"/>
          </w:rPr>
          <w:t>Pickton v. British Columbia (Minister of Public Safety and Solicitor General), [2011] B.C.J. No. 422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S090791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Francis Pickton and Linda Louise Wright, Plaintiffs, and The Minister for Public Safety and Solicitor General of the Province of British Columbia and the Attorney General of British Columbia, on behalf of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jc w:val="both"/>
        <w:rPr>
          <w:rFonts w:ascii="arial" w:eastAsia="arial" w:hAnsi="arial" w:cs="arial"/>
          <w:sz w:val="20"/>
          <w:lang w:val="en-US" w:eastAsia="en-US" w:bidi="ar-SA"/>
        </w:rPr>
      </w:pPr>
      <w:bookmarkStart w:id="6" w:name="Counsel_1"/>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Doherty, P.J. Singh.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1"/>
      <w:bookmarkEnd w:id="7"/>
      <w:r>
        <w:pict>
          <v:line id="_x0000_s1032"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L. FENLON J."/>
            <w:bookmarkEnd w:id="8"/>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David Francis Pickton and Linda Louise Wright, apply for an order renewing a writ of summons for three months. The action concerns damages allegedly caused to the plaintiffs' property during a police investigation into crimes committed by the plaintiffs' brother and co-owner, Robert William Pickton. The magnitude of the investigation and its impact on the plaintiffs' property may well be unprecedented in British Columbia. The plaintiffs' claim raises the question of whether innocent citizens or the state should bear the cost of restoring property following a police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Rule 3-2(1)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allows for the renewal of a writ of summons (now notice of civil claim) before or after its expiration:</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original notice of civil claim does not remain in force for more than 12 months, but if a defendant named in a notice of civil claim has not been served, the court, on the application of the plaintiff made before or after the expiration of the 12 months, may order that the original notice of civil claim be renewed for a period of not more than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an application to renew a writ of summons, the basic question is: What is necessary to see that justice is done? The defendants argue that doing justice in this case involves taking into account the horrendous crimes committed on the properties, and the fact that the plaintiffs are co-owners with a convicted murderer. The defendants also say that the properties were in terrible shape before the police conducted their investigations and this too militates against renewing the writ to permit the plaintiffs to proceed with their claim. The latter submission goes to the quantum of any damages suffered by the plaintiffs, and the former to the culpability of a non-party. Neither is a relevant consideration in the exercise of the Court's discretion under Rule 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criteria to be considered in exercising judicial discretion whether to renew the writ are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application brought promptly?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have notice of the claim?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defendants suffered prejudice?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serve the writ attributable to the actions of the plaintiffs or defendants?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action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Bearhead v. Moorhouse</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(1977), 3 B.C.L.R. 81</w:t>
        </w:r>
      </w:hyperlink>
      <w:r>
        <w:rPr>
          <w:rFonts w:ascii="arial" w:eastAsia="arial" w:hAnsi="arial" w:cs="arial"/>
          <w:color w:val="000000"/>
          <w:sz w:val="20"/>
          <w:lang w:val="en-US" w:eastAsia="en-US" w:bidi="ar-SA"/>
        </w:rPr>
        <w:t xml:space="preserve"> (S.C.), upheld </w:t>
      </w:r>
      <w:hyperlink r:id="rId46" w:history="1">
        <w:r>
          <w:rPr>
            <w:rFonts w:ascii="arial" w:eastAsia="arial" w:hAnsi="arial" w:cs="arial"/>
            <w:i/>
            <w:color w:val="0077CC"/>
            <w:sz w:val="20"/>
            <w:u w:val="single"/>
            <w:shd w:val="clear" w:color="auto" w:fill="FFFFFF"/>
            <w:lang w:val="en-US" w:eastAsia="en-US" w:bidi="ar-SA"/>
          </w:rPr>
          <w:t>(1978) 87 D.L.R. (3d) 52</w:t>
        </w:r>
      </w:hyperlink>
      <w:r>
        <w:rPr>
          <w:rFonts w:ascii="arial" w:eastAsia="arial" w:hAnsi="arial" w:cs="arial"/>
          <w:color w:val="000000"/>
          <w:sz w:val="20"/>
          <w:lang w:val="en-US" w:eastAsia="en-US" w:bidi="ar-SA"/>
        </w:rPr>
        <w:t xml:space="preserve"> (C.A.) at para. 8;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2007 BCCA 582</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an application to renew a writ, the primary concern is the rights of litigants and not the conduct of solicitors. A writ should be renewed to avoid injustice to a plaintiff arising from a solicitor's error for failure to serve, even if a limitation defence has accrued: </w:t>
      </w:r>
      <w:r>
        <w:rPr>
          <w:rFonts w:ascii="arial" w:eastAsia="arial" w:hAnsi="arial" w:cs="arial"/>
          <w:i/>
          <w:color w:val="000000"/>
          <w:sz w:val="20"/>
          <w:lang w:val="en-US" w:eastAsia="en-US" w:bidi="ar-SA"/>
        </w:rPr>
        <w:t>Bearhead v. Moorhouse</w:t>
      </w:r>
      <w:r>
        <w:rPr>
          <w:rFonts w:ascii="arial" w:eastAsia="arial" w:hAnsi="arial" w:cs="arial"/>
          <w:color w:val="000000"/>
          <w:sz w:val="20"/>
          <w:lang w:val="en-US" w:eastAsia="en-US" w:bidi="ar-SA"/>
        </w:rPr>
        <w:t xml:space="preserve"> (C.A.) at paras. 13-14. In some cases, a writ which has expired because of solicitor's error will be renewed even where there has been a lengthy delay in applying for renewal, provided the plaintiff acts reasonably once the oversight is discovered: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xml:space="preserve"> at para. 40.</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the application brought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learned the writ had not been served within its currency on March 12, 2010, and immediately gave instructions to counsel to try to have the problem corrected. Counsel for the Attorney General of British Columbia was given notice of the issue on March 16, 2010, and a motion seeking renewal was delivered on April 9, 2010. Scheduling difficulties account for the delay in the hearing of the application. In these circumstances, I find that the application was brought promptly.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Did the defendants have notice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find the defendants had notice a claim was likely. They received correspondence from previous counsel for the plaintiffs in October 2003 and June 2004. While those letters focussed on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was widespread press coverage when this action was filed and the press sought comments from one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Have the defendants suffered any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Only prejudice accruing between the expiry of a writ and the service of an application to renew may be considered: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paras. 38-39. The defendants concede that no prejudice accrued during that four-week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Who was responsible for the failure to serve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first sought legal advice about commencing an action in late November 2008. On February 2, 2009, the writ of summons was filed. The commencement of the action was reported in prominent articles appearing in the Vancouver Sun, Vancouver Province, on the Canadian Press Wire Service, and in other publications. CBC News also reported on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were aware of the requirement to serve the writ within one year, but Robert Pickton's appeal from conviction was scheduled to be heard in March 2009. The plaintiffs were concerned that service of the writ and the filing of a statement of defence would attract further media coverage. They asked their solicitor to temporarily delay service of the writ. The solicitor's file was diarized for review on March 13, 2009. By oversight, the expiry of the writ was not diarized at the time because the solicitor expected the writ to be served 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file was brought forward for review again in April and May, 2009. As a result of a clerical oversight, it was not diarized for further review. The solicitor did not deal with the file again until October 2009 when the solicitor discussed the matter with the plaintiffs' agent and understood that he was to proceed with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2010, the plaintiffs, through their agent, instructed the solicitor to serve the writ. The solicitor decided to prepare a statement of claim to serve at the same time. This was entirely his decision; he had no instructions to delay service of the writ at that point. The writ expired at midnight on February 3, 2010, without having been served. When the solicitor realized the writ had not been served and that it had expired, he immediately informed the plaintiffs of the error and took steps to obtain independent counsel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Accordingly, neither the plaintiffs nor defendants were responsible for failure to serve the writ in its currency. The writ was not served due to a solicitor's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Consideration of these four factors supports renewal of the writ. But this application turns on the fifth factor. The defendants oppose renewal of the writ primarily on the basis that the plaintiffs' underlying action is hopeless and bound to fail. I turn now to that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 the plaintiffs' action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chambers judge may consider limited evidence of the merits of the plaintiffs' case to determine whether an action "has no hope of success and is bound to fail". The defendants bear the burden of proving the issue "unequivocally":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assert that the plaintiffs' action is hopeless for two main reasons: first, because the causes of action pleaded were statute barred at the time the writ was issued; and second, because Crown immunity bars claims against police officers in the execution of judicial processes such as search warrants. I will deal with each submission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Do the defendants have a conclusive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assert that the only claim raised by the endorsement on the plaintiffs' expired writ of summons is one for damage to their properties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requires claims for damage to person or property to be brought within two years: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subsection (4) (k), </w:t>
      </w:r>
      <w:r>
        <w:rPr>
          <w:rFonts w:ascii="arial" w:eastAsia="arial" w:hAnsi="arial" w:cs="arial"/>
          <w:color w:val="000000"/>
          <w:sz w:val="20"/>
          <w:u w:val="single"/>
          <w:lang w:val="en-US" w:eastAsia="en-US" w:bidi="ar-SA"/>
        </w:rPr>
        <w:t>for damages in respect of injury to person or property</w:t>
      </w:r>
      <w:r>
        <w:rPr>
          <w:rFonts w:ascii="arial" w:eastAsia="arial" w:hAnsi="arial" w:cs="arial"/>
          <w:color w:val="000000"/>
          <w:sz w:val="20"/>
          <w:lang w:val="en-US" w:eastAsia="en-US" w:bidi="ar-SA"/>
        </w:rPr>
        <w:t xml:space="preserve">, including economic loss arising from the injury, </w:t>
      </w:r>
      <w:r>
        <w:rPr>
          <w:rFonts w:ascii="arial" w:eastAsia="arial" w:hAnsi="arial" w:cs="arial"/>
          <w:color w:val="000000"/>
          <w:sz w:val="20"/>
          <w:u w:val="single"/>
          <w:lang w:val="en-US" w:eastAsia="en-US" w:bidi="ar-SA"/>
        </w:rPr>
        <w:t>whether based on contract, tort or statutory duty</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trespass to property not included in paragraph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RCMP executed search warrants at two properties owned by the plaintiffs in Port Coquitlam: 2522 Burns Road and 953 Dominion Avenue. These investigations took place between February 2002 and November 2003. This action was commenced in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clear that by the time the writ of summons was filed, the limitation period to recover damages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had expired. But the plaintiffs also assert causes of action arising from the following: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by the police to indemnify the plaintiffs for damage to the properties;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right to claim environmental remediation expenses under s. 47(5) of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of private property by the Crown;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in relation to the Crown's exclusive use of the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submit that the endorsement on the writ fails to disclose these additional causes of action; they say they could not have known that these claims were being made against them: </w:t>
      </w:r>
      <w:r>
        <w:rPr>
          <w:rFonts w:ascii="arial" w:eastAsia="arial" w:hAnsi="arial" w:cs="arial"/>
          <w:i/>
          <w:color w:val="000000"/>
          <w:sz w:val="20"/>
          <w:lang w:val="en-US" w:eastAsia="en-US" w:bidi="ar-SA"/>
        </w:rPr>
        <w:t>City of Nelson et al. v. Maglio</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(1964), 44 D.L.R. (2d) 484</w:t>
        </w:r>
      </w:hyperlink>
      <w:r>
        <w:rPr>
          <w:rFonts w:ascii="arial" w:eastAsia="arial" w:hAnsi="arial" w:cs="arial"/>
          <w:color w:val="000000"/>
          <w:sz w:val="20"/>
          <w:lang w:val="en-US" w:eastAsia="en-US" w:bidi="ar-SA"/>
        </w:rPr>
        <w:t xml:space="preserve"> (B.C.C.A.) at 486.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argue that if the plaintiffs are allowed to renew their writ on the basis of any cause of action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would be analogous to letting them set up new causes of action in addition to that which is contained in the endorsement, something the defendants say cannot be done if the limitation period for the new causes of action has expired: </w:t>
      </w:r>
      <w:r>
        <w:rPr>
          <w:rFonts w:ascii="arial" w:eastAsia="arial" w:hAnsi="arial" w:cs="arial"/>
          <w:i/>
          <w:color w:val="000000"/>
          <w:sz w:val="20"/>
          <w:lang w:val="en-US" w:eastAsia="en-US" w:bidi="ar-SA"/>
        </w:rPr>
        <w:t>Elloway v. British Columbia Electric Railway Co. Ltd.</w:t>
      </w:r>
      <w:r>
        <w:rPr>
          <w:rFonts w:ascii="arial" w:eastAsia="arial" w:hAnsi="arial" w:cs="arial"/>
          <w:color w:val="000000"/>
          <w:sz w:val="20"/>
          <w:lang w:val="en-US" w:eastAsia="en-US" w:bidi="ar-SA"/>
        </w:rPr>
        <w:t xml:space="preserve"> (1956), 19 W.W.R. 408 (B.C.S.C.) at pp. 413-14.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issue to address is whether the writ encompasses the causes of action identified by the plaintiffs. The endorsement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5, 2002 and thereafter, members of the Royal Canadian Mounted Police and others at their direction and at the direction of Her Majesty the Queen in Right of the Province of British Columbia (the "RCMP"), did attend at 2552 Burns Road and 953 Dominion Avenue, Port Coquitlam, British Columbia (the "Properties") to investigate allegations of criminal activity by Robert William Pickton.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lawful owners of undivided interests of the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RCMP took and/or expropriated the Properties and all chattels thereon, either permanently or temporarily, excluded the Plaintiffs from their lawful rights to the use and enjoyment thereof, and have not paid full or any compensation therefor, including consequential and other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RCMP has not paid compensation to the Plaintiffs therefor, despite promising to do so, expressly or impliedly.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RCMP has caused damage to the Properties and damage to chattels belonging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RCMP demolished, removed, destroyed or rendered uninhabitable or useless, various buildings, residences, infrastructure, motor vehicles, stores, equipment, and machinery on the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in the course of that investigation the RCMP disturbed, disrupted, killed and destroyed various plants, trees, groundcovers and other vegetation and the fish in the pond on the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RCMP disturbed, disrupted and rendered unstable the topsoil and ground beneath the topsoil on the Properties such that significant rehabilitation is required to allow the Properties to be used for any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RCMP caused contamination to various parts of the Properties, including but not limited to contaminating soils and leaving materials contaminated with gypsum, drywall and asbestos.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said actions by the RCMP the Properties are presently useless and the Plaintiffs have suffered significant loss and damage, including loss of chattels and property, costs of engineering and environment reports and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Plaintiffs have lost the use of the Properties since February 5, 2002 but have had the expense of maintaining the Properties in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RCMP aforesaid were done in violation of the rights and interests of the Plaintiffs, or alternatively were done negligently.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foregoing, the Plaintiffs seek damages, costs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writ was issued under the former Rules, and its sufficiency must be considered from that perspective. Only material facts need be pleaded; a writ need not plead a legal result. An endorsement could contain an inadequate description but nonetheless be sufficient to bring to a defendant's attention the type of case that it has to meet and the occasion and location on which the incident occurred. The modern view is that, provided the pleading sets out in a general way the incident upon which a claim is made, any deficiency should be seen as an irregularity curable by issuance of a statement of claim: </w:t>
      </w:r>
      <w:r>
        <w:rPr>
          <w:rFonts w:ascii="arial" w:eastAsia="arial" w:hAnsi="arial" w:cs="arial"/>
          <w:i/>
          <w:color w:val="000000"/>
          <w:sz w:val="20"/>
          <w:lang w:val="en-US" w:eastAsia="en-US" w:bidi="ar-SA"/>
        </w:rPr>
        <w:t>Hicks v. Beaver Lumber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(1993), 98 B.C.L.R. (2d) 206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endorsement contains the material facts in support of the causes of action identified by the plaintiffs. The date of the incidents, their location, and the nature of the losses are set out in detail. Expropriation is expressly referred to, as are contamination and rehabilitation of the property -- facts that clearly relate to a claim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The words "indemnity agreement" are not used but a promise to compensate the plaintiffs for loss of use and "consequential and other damages" sufficiently describes an indemnity claim. A claim of breach of fiduciary duty is not set out in those words, but it is clear from the writ that the plaintiffs are suing the Crown for not taking care of their properties at a time when the Crown had exclusive control of the two farms and was making use of them for its own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Savage J. noted in </w:t>
      </w:r>
      <w:r>
        <w:rPr>
          <w:rFonts w:ascii="arial" w:eastAsia="arial" w:hAnsi="arial" w:cs="arial"/>
          <w:i/>
          <w:color w:val="000000"/>
          <w:sz w:val="20"/>
          <w:lang w:val="en-US" w:eastAsia="en-US" w:bidi="ar-SA"/>
        </w:rPr>
        <w:t>The Owners, Strata Plan LMS 2599 v. 328354 B.C. Ltd.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2010 BCSC 819</w:t>
        </w:r>
      </w:hyperlink>
      <w:r>
        <w:rPr>
          <w:rFonts w:ascii="arial" w:eastAsia="arial" w:hAnsi="arial" w:cs="arial"/>
          <w:color w:val="000000"/>
          <w:sz w:val="20"/>
          <w:lang w:val="en-US" w:eastAsia="en-US" w:bidi="ar-SA"/>
        </w:rPr>
        <w:t>: "The threshold for finding sufficiency of a writ is low." (para. 21). I find the endorsement brings to the attention of the defendants the type of case they will have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found that these causes of action are contained in the writ, the next question to address is whether the limitation periods pertaining to those claims had expired before the writ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say the indemnification claim arises in contract, relates to damage to property, and is therefore covered by the two-year limitation period in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submission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Bramalea-Pritzker Associates v. Cannell</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[1992] B.C.J. No. 2570</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 B.C.A.C. 181</w:t>
        </w:r>
      </w:hyperlink>
      <w:r>
        <w:rPr>
          <w:rFonts w:ascii="arial" w:eastAsia="arial" w:hAnsi="arial" w:cs="arial"/>
          <w:color w:val="000000"/>
          <w:sz w:val="20"/>
          <w:lang w:val="en-US" w:eastAsia="en-US" w:bidi="ar-SA"/>
        </w:rPr>
        <w:t xml:space="preserve">, the Court of Appeal ruled that an obligation to indemnify is covered by the six-year limitation period in s. 3(4)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defendants' submission characterizing an indemnity claim as a contractual claim for damages was specifically addressed and rejected by the Court of Appeal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Cannell's submission is that Bramalea's claims are for damages for breach of a contract of indemnity and as such fall within the very words of s. 3(1)(a): "... damages in respect of ... property ... based on contract". The fallacy in this submission lies in the meaning attributed to the word "damages" in the above excerpt. In the context of s. 3(1)(a) damages refers to the remedy given an injured party for a breach of contract or for an actionable injury suffered as a result of the tortious act of another. In our view it does not refer to the enforcement of an indemnity which, as we have noted, may arise in a variety of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Breach of fiduciary duty, compensation for environmental remediation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and compensation for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of property are not dealt with expressly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It follows that the residual six-year limitation period applies to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final argument is that, even if a six year limitation period applies, the plaintiffs' claims in relation to the Burns property were statute barred when the writ was filed in February 2009 because the Burns property was returned to the plaintiffs in October 2002, more than six years earlier. It is the defendants' submission that renewal, if allowed, should be restricted to claims relating to the Dominion property which the Crown acknowledges was not returned to the plaintiffs until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support of this submission, the Crown relies on police notes which suggest the police investigation team left the Burns property and handed it back to David Pickton on October 24, 2002. However, the plaintiffs' evidence is that the Burns property was not returned to them until late February or March 2003. Even if the Crown's position turns out to be correct, a postponement argument may be available to the plaintiffs. There is also at least an argument that the expropriation effectively continued while the properties remained unusable, and that the environmental remediation and indemnification claims did not arise until the rehabilitation work had been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Whether a limitation defence will succeed raises complex factual and legal issues that cannot be addressed properly on an application of this nature. The Court does not have the factual basis necessary to determine when the limitation period began to run in this case: </w:t>
      </w:r>
      <w:r>
        <w:rPr>
          <w:rFonts w:ascii="arial" w:eastAsia="arial" w:hAnsi="arial" w:cs="arial"/>
          <w:i/>
          <w:color w:val="000000"/>
          <w:sz w:val="20"/>
          <w:lang w:val="en-US" w:eastAsia="en-US" w:bidi="ar-SA"/>
        </w:rPr>
        <w:t>Perron v. R.J.R. Macdonald Inc.</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(1990), 43 B.C.L.R. (2d) 178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KPMG Inc. v. IMO Industries (Canada) Inc.</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on this issue, I conclude that the defendants have not proved that the plaintiffs' claims are bound to fail on the basis of a limitations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(ii) Are the plaintiffs' claims barred by the Crown Proceeding Act, </w:t>
      </w:r>
      <w:r>
        <w:rPr>
          <w:rFonts w:ascii="arial" w:eastAsia="arial" w:hAnsi="arial" w:cs="arial"/>
          <w:b/>
          <w:i/>
          <w:color w:val="000000"/>
          <w:sz w:val="20"/>
          <w:lang w:val="en-US" w:eastAsia="en-US" w:bidi="ar-SA"/>
        </w:rPr>
        <w:t>R.S.B.C. 1996, c. 89</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submit that s. 3(2)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exempts the Crown from liability in relation to execution of judicial process such as a search warrant. The defendants rely on a similar case, </w:t>
      </w:r>
      <w:r>
        <w:rPr>
          <w:rFonts w:ascii="arial" w:eastAsia="arial" w:hAnsi="arial" w:cs="arial"/>
          <w:i/>
          <w:color w:val="000000"/>
          <w:sz w:val="20"/>
          <w:lang w:val="en-US" w:eastAsia="en-US" w:bidi="ar-SA"/>
        </w:rPr>
        <w:t>Wong v. Ontario</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[2009] O.J. No. 1916</w:t>
        </w:r>
      </w:hyperlink>
      <w:r>
        <w:rPr>
          <w:rFonts w:ascii="arial" w:eastAsia="arial" w:hAnsi="arial" w:cs="arial"/>
          <w:color w:val="000000"/>
          <w:sz w:val="20"/>
          <w:lang w:val="en-US" w:eastAsia="en-US" w:bidi="ar-SA"/>
        </w:rPr>
        <w:t xml:space="preserve"> (Sup. Ct.), in which a pleading was struck out as not disclosing a reasonable cause of action against the Crown. In that case,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police officer in the execution of a search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was passed to reverse the common law position that the Crown had no liability in tort because "the King could do no wrong". Section 3(2) of the Act authorizes claims against the Crown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torts, but not tort claims arising out of the execution of judicial process where that process is executed in good faith. The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case fell squarely within this prohibited type of claim. In the case at bar, the plaintiffs' claims do not rely on tort, but rather raise claims related to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breach of fiduciary duty and environmental remediation.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does not exempt the Crown from claims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summary on this issue, I find that the defendants have not proved that the plaintiffs' claims are bound to fail because of the partial immunity from suit provided by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application to renew the writ for three months is allowed. Costs are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 w:history="1">
        <w:r>
          <w:rPr>
            <w:rFonts w:ascii="arial" w:eastAsia="arial" w:hAnsi="arial" w:cs="arial"/>
            <w:b/>
            <w:bCs/>
            <w:i/>
            <w:color w:val="0077CC"/>
            <w:kern w:val="32"/>
            <w:sz w:val="28"/>
            <w:szCs w:val="32"/>
            <w:u w:val="single"/>
            <w:shd w:val="clear" w:color="auto" w:fill="FFFFFF"/>
            <w:lang w:val="en-US" w:eastAsia="en-US" w:bidi="ar-SA"/>
          </w:rPr>
          <w:t>R. v. Beatty, [2005] B.C.J. No. 3071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16 - 19,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73990-2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3071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W.C.B. (2d) 951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Justin Ronald Beatty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jc w:val="both"/>
        <w:rPr>
          <w:rFonts w:ascii="arial" w:eastAsia="arial" w:hAnsi="arial" w:cs="arial"/>
          <w:sz w:val="20"/>
          <w:lang w:val="en-US" w:eastAsia="en-US" w:bidi="ar-SA"/>
        </w:rPr>
      </w:pPr>
      <w:bookmarkStart w:id="9" w:name="Counsel_2"/>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4"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W. Burrows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A. Watt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2"/>
      <w:bookmarkEnd w:id="10"/>
      <w:r>
        <w:pict>
          <v:line id="_x0000_s1035" style="position:absolute;z-index:2517125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1, 2005.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D.M. SMITH J."/>
            <w:bookmarkEnd w:id="11"/>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23, 2003, at about 2:00 p.m., Justin Ronald Beatty, was driving eastbound on the Trans-Canada Highway toward Chase. As he entered an S-curve to his right, along a stretch of road known as "Hoffman's Bluff" approximately 14 kilometres west of Chase, for no apparent reason his pick-up truck crossed the double solid line and collided with an oncoming westbound motor vehicle instantly killing all three occupants of that vehicle. Mr. Beatty was shaken by the accident but otherwise sustained relatively minor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portion of highway where the accident occurred consists of an eastbound and westbound lane divided by a double solid line and delineated from the shoulders by white fog lines. Visibility is limited to eastbound traffic entering the S-curve because of a rock wall on the south side of the road. For too long this stretch of highway has claimed lives and required significant remedial attention. Since the accident improvements have been made 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July 23, 2003, the asphalt surface of the road was well travelled, in good repair, bare and dry. The weather was a typical clear, sunny and very hot summer's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within seconds. One moment each vehicle was driving in an appropriate manner in their respective lanes, and the next moment Mr. Beatty's vehicle had crossed into the westbound lane colliding with the oncoming vehicle. Constable Weissbock, the collision analyst, found no evidence of speeding by either vehicle. Both had been travelling at the posted 90 kph speed limit. Nor did he find any evidence that either vehicle took evasive measures to avoid the collision. A subsequent inspection of Mr. Beatty's vehicle also failed to indicate that it experienced any mechanical defect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impact of the collision was significant. With both vehicles travelling the 90 kph speed limit they would have collided at a force of 180 kph. The effect of that force caused Mr. Beatty's pick-up truck to overwhelm the smaller westbound vehicle, pushing it backwards for about eight meters and in an easterly direction into the cement no-post barrier on the north side of the road. Mr. Beatty's vehicle ended up facing in a north-westerly direction sitting on top of the front left portion of the westbound vehicle. The westbound vehicle ended up facing in a southerly direction, pinned up against the cement no-post barrier on the north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force of the impact crushed the front end of Mr. Beatty's truck but did not compromise the interior driver's area. The westbound vehicle did not fair as well. Both the interior driver's and front passenger's sides were crushed. The interior damage to the driver's side was caused by the force of the vehicle's contact with Mr. Beatty's truck. The interior damage to the front passenger's side was caused by the force of the rear passenger being thrown forward into the front right passenger seat. The rear passenger was the only individual involved in the two-vehicle collision who was not wearing a seat belt. The interior rear portion of the vehicle was not significantly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point of impact in the collision was determined by the gouge marks from the westbound vehicle's undercarriage, which were located in the westbound lane near the fog line. A load mark on the fog line of the westbound lane was identified as coming from the westbound vehicle's right front tire. At the point of impact over half of Mr. Beatty's pick-up was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and Mrs. Weselowsky were returning to Abbottsford with their two granddaughters and witnessed the collision. Mrs. Weselowsky was driving their vehicle. She was travelling at the speed limit and for some distance had maintained a steady pace about 100 yards or four seconds behind the westbound vehicle. Mr. Weselowsky was in the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Mr. and Mrs. Weselowsky observed Mr. Beatty's truck driving in a proper manner in the eastbound lane immediately before the accident. They both observed his truck to suddenly cross the double solid line and collide with the westbound vehicle. Mrs. Weselowsky described the collision as "instantaneous". Mr. Weselowsky said it occurred very quickly, in a matter of seconds. Neither observed any obstruction in the eastbound lane that might have explained why Mr. Beatty's vehicle veered into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Immediately after the collision, Mrs. Weselowsky stopped their vehicle and called 911. The Chase RCMP dispatch received the call at about 2:05 p.m. Mr. Weselowsky went to check on the occupants of the westbound vehicle but determined all were deceased. Both saw Mr. Beatty slide out of the passenger door of his pick-up, walk over to the cement no-post barrier in front of their vehicle and sit down. He had blood on his face and Mrs. Weselowsky said he looked stunned.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Weselowsky assisted another individual with directing traffic around the accident scene until the police and ambulance attended. Sergeant Bigland of the Chase RCMP detachment arrived at 2:15 p.m. within 10 minutes of the 911 call. He is an experienced police officer with 32 years on the force. An ambulance arrived at 2:25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Upon his arrival Sergeant Bigland approached Mr. Beatty and asked him if he was the driver of the truck. Mr. Beatty told him he was. Sergeant Bigland then asked him what happened. Mr. Beatty replied that he was driving the pick-up and went unconscious. He volunteered that he had been working in the sun all day. A few minutes later Sergeant Bigland said he overheard a conversation between the ambulance attendant and Mr. Beatty in which Mr. Beatty said "I just lost consciousness. I think it was heat stroke." Sergeant Bigland said he made contemporaneous notes of these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impact of the collision caused considerable debris to fly about the accident scene before it settled on the ground. Mr. and Mrs. Weselowsky said they observed beer cans fly out of the pick-up and settle on the roadway amidst the debris. However, Sergeant Bigland found no such evidence or indeed any evidence of alcohol consumption by Mr. Beatty. He indicated that in accidents of this nature evidence of alcohol consumption is one of the first things the police look for. Neither did Twyla Wyness, the ambulance attendant who treated Mr. Beatty, detect any evidence that he had consumed alcohol before the accident. The Crown accepts their evidence and does not suggest that Mr. Beatty had been drinking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Upon her arrival, Ms Wyness spoke briefly with Mr. Beatty while he was seated on the concrete no-post. She then had him walk to the ambulance. Inside the ambulance she conducted a cursory examination and took some medical history from him. She described Mr. Beatty as alert and conscious but having an elevated blood pressure, pulse rate and respiration. She said those symptoms were indicative of stress likely caused by an adrenalin 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Wyness asked Mr. Beatty what had happened. She said that while he appeared to understand her question he didn't really comprehend it. She said that he was aware that he had been in a motor vehicle accident but could not remember how it occurred. After several attempts at an explanation, Mr. Beatty told Ms Wyness that he was not sure what had happened but that he must have fallen asleep and collided with the other vehicle. Ms Wyness noted these comments on the CREW report she completed. After about 20 minutes, at 2:45 p.m. Mr. Beatty was taken by ambulance to the Chase hospital and arrived there at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Wyness said that Mr. Beatty did not mention heat exhaustion or sunstroke and she did not observe any symptoms of those conditions. However, she acknowledged that adrenalin can minimize or even override symptoms of milder forms of heat exhaustion. Nor did Mr. Beatty mention to her that he had lost consciousness. She said that loss of consciousness for her was a trigger word that she would have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Wyness said that while she could not specifically recall when she made her notation on the CREW report regarding Mr. Beatty's comments about the accident, she likely did not record them until after they had arrived at the Chase hospital and before she went out on the next call. In addition to her CREW report, she also made contemporaneous notes of her dealings with Mr. Beatty because Sergeant Bigland had requested a report from her. She provided him with her report some seven days later but has since lost her contemporaneous notes which formed the basis for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Weissbock concluded that the accident was caused by Mr. Beatty's vehicle failing to negotiate a clockwise curve, crossing the yellow double solid line and encroaching into the westbound lane into the path of an oncoming vehicle. The curvature of the road is at a 130 degree angle and in the opinion of Constable Weissbock could be comfortably manoeuvred at 90 kph. However, visibility for eastbound traffic is very limited because of the rock wall on the south side of the highway, which only permits a line of sight visibility to a maximum of 160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Weissbock also concluded that the vehicles' point of collision occurred in the westbound lane, about half a meter in from the westbound fog line. He could not determine where Mr. Beatty's truck crossed the double solid line but calculated that if Mr. Beatty's truck had continued in a straight line as it entered the S-curve, it would have intersected the double solid line at about a meter from the point of impact. At a speed of 90 kph, in his opinion it would take a vehicle .00268 of a second to travel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seminal authority on the legal test for dangerous driving is </w:t>
      </w:r>
      <w:r>
        <w:rPr>
          <w:rFonts w:ascii="arial" w:eastAsia="arial" w:hAnsi="arial" w:cs="arial"/>
          <w:b/>
          <w:i/>
          <w:color w:val="000000"/>
          <w:sz w:val="20"/>
          <w:lang w:val="en-US" w:eastAsia="en-US" w:bidi="ar-SA"/>
        </w:rPr>
        <w:t>R. v. Hundal,</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Mr. Justice Cory, for the majority, summarizes the two-stage test at [paragraph]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then that a trier of fact may convict if satisfied beyond a reasonable doubt that, viewed objectively, the accused was, in the words of the section, driving in a manner that was "dangerous to the public, having regard to all the circumstances, including the nature, condition and use of such place and the amount of traffic that at the time is or might reasonably be expected to be on such place". </w:t>
      </w:r>
      <w:r>
        <w:rPr>
          <w:rFonts w:ascii="arial" w:eastAsia="arial" w:hAnsi="arial" w:cs="arial"/>
          <w:color w:val="000000"/>
          <w:sz w:val="20"/>
          <w:u w:val="single"/>
          <w:lang w:val="en-US" w:eastAsia="en-US" w:bidi="ar-SA"/>
        </w:rPr>
        <w:t>In making that assessment, the trier of fact should be satisfied that the conduct amounted to a marked departure from the standard of care that a reasonable person would observe in the accused's situation.</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Next, if an explanation is offered by the accused, such as a sudden and unexpected onset of illness, then in order to convict, the trier of fact must be satisfied that a reasonable person in similar circumstances ought to have been aware of the risk and of the danger involved in the conduct manifested by the accused.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test has been characterized as a modified objective test. The first stage of the test focuses on whether the manner of driving is objectively dangerous; the second stage of the test gives an accused the opportunity of providing an explanation for the objectively dangerous driving in order to modify the purely objective assessment of the first stage of the test. The second stage of the inquiry is only reached if the manner of driving is found to be objectively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Lambert J.A. in </w:t>
      </w:r>
      <w:r>
        <w:rPr>
          <w:rFonts w:ascii="arial" w:eastAsia="arial" w:hAnsi="arial" w:cs="arial"/>
          <w:b/>
          <w:i/>
          <w:color w:val="000000"/>
          <w:sz w:val="20"/>
          <w:lang w:val="en-US" w:eastAsia="en-US" w:bidi="ar-SA"/>
        </w:rPr>
        <w:t>R. v. Johnson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[2004] B.C.J. No. 501</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2004 BCCA 141</w:t>
        </w:r>
      </w:hyperlink>
      <w:r>
        <w:rPr>
          <w:rFonts w:ascii="arial" w:eastAsia="arial" w:hAnsi="arial" w:cs="arial"/>
          <w:color w:val="000000"/>
          <w:sz w:val="20"/>
          <w:lang w:val="en-US" w:eastAsia="en-US" w:bidi="ar-SA"/>
        </w:rPr>
        <w:t xml:space="preserve"> at [paragraph] 10, after citing Mr. Justice Cumming's comments at [paragraph] 13-14 of </w:t>
      </w:r>
      <w:r>
        <w:rPr>
          <w:rFonts w:ascii="arial" w:eastAsia="arial" w:hAnsi="arial" w:cs="arial"/>
          <w:b/>
          <w:i/>
          <w:color w:val="000000"/>
          <w:sz w:val="20"/>
          <w:lang w:val="en-US" w:eastAsia="en-US" w:bidi="ar-SA"/>
        </w:rPr>
        <w:t>R. v. Reed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(1997), 26 M.V.R. (3d) 11</w:t>
        </w:r>
      </w:hyperlink>
      <w:r>
        <w:rPr>
          <w:rFonts w:ascii="arial" w:eastAsia="arial" w:hAnsi="arial" w:cs="arial"/>
          <w:color w:val="000000"/>
          <w:sz w:val="20"/>
          <w:lang w:val="en-US" w:eastAsia="en-US" w:bidi="ar-SA"/>
        </w:rPr>
        <w:t xml:space="preserve"> (B.C.C.A.), aff'd </w:t>
      </w:r>
      <w:hyperlink r:id="rId66" w:history="1">
        <w:r>
          <w:rPr>
            <w:rFonts w:ascii="arial" w:eastAsia="arial" w:hAnsi="arial" w:cs="arial"/>
            <w:i/>
            <w:color w:val="0077CC"/>
            <w:sz w:val="20"/>
            <w:u w:val="single"/>
            <w:shd w:val="clear" w:color="auto" w:fill="FFFFFF"/>
            <w:lang w:val="en-US" w:eastAsia="en-US" w:bidi="ar-SA"/>
          </w:rPr>
          <w:t>[1998] 1 S.C.R. 753</w:t>
        </w:r>
      </w:hyperlink>
      <w:r>
        <w:rPr>
          <w:rFonts w:ascii="arial" w:eastAsia="arial" w:hAnsi="arial" w:cs="arial"/>
          <w:color w:val="000000"/>
          <w:sz w:val="20"/>
          <w:lang w:val="en-US" w:eastAsia="en-US" w:bidi="ar-SA"/>
        </w:rPr>
        <w:t>, described this process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Justice Cumming's reasons in </w:t>
      </w:r>
      <w:r>
        <w:rPr>
          <w:rFonts w:ascii="arial" w:eastAsia="arial" w:hAnsi="arial" w:cs="arial"/>
          <w:b/>
          <w:i/>
          <w:color w:val="000000"/>
          <w:sz w:val="20"/>
          <w:lang w:val="en-US" w:eastAsia="en-US" w:bidi="ar-SA"/>
        </w:rPr>
        <w:t>Reed</w:t>
      </w:r>
      <w:r>
        <w:rPr>
          <w:rFonts w:ascii="arial" w:eastAsia="arial" w:hAnsi="arial" w:cs="arial"/>
          <w:color w:val="000000"/>
          <w:sz w:val="20"/>
          <w:lang w:val="en-US" w:eastAsia="en-US" w:bidi="ar-SA"/>
        </w:rPr>
        <w:t xml:space="preserve"> indicate that </w:t>
      </w:r>
      <w:r>
        <w:rPr>
          <w:rFonts w:ascii="arial" w:eastAsia="arial" w:hAnsi="arial" w:cs="arial"/>
          <w:color w:val="000000"/>
          <w:sz w:val="20"/>
          <w:u w:val="single"/>
          <w:lang w:val="en-US" w:eastAsia="en-US" w:bidi="ar-SA"/>
        </w:rPr>
        <w:t>where the offence is measured by an objective test, the objective circumstances must first be examined and if they would lead to a conviction,</w:t>
      </w:r>
      <w:r>
        <w:rPr>
          <w:rFonts w:ascii="arial" w:eastAsia="arial" w:hAnsi="arial" w:cs="arial"/>
          <w:color w:val="000000"/>
          <w:sz w:val="20"/>
          <w:lang w:val="en-US" w:eastAsia="en-US" w:bidi="ar-SA"/>
        </w:rPr>
        <w:t xml:space="preserve"> then the question is whether the accused has himself given an explanation or has led evidence that would provide an explanation which then modifies the objective test in his favour.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now to a discussion of the first stage of the modified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Cory J.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describes the basis for finding driving to be objectively dangerous at [paragraph] 35.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it is clear that the basis of liability for dangerous driving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to be asked is not what the accused subjectively intended but rather whether, viewed objectively, the accused exercised the appropriate standard of care. ... There can be no doubt that the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understood and readily recognized by most Canadians. </w:t>
      </w:r>
      <w:r>
        <w:rPr>
          <w:rFonts w:ascii="arial" w:eastAsia="arial" w:hAnsi="arial" w:cs="arial"/>
          <w:color w:val="000000"/>
          <w:sz w:val="20"/>
          <w:u w:val="single"/>
          <w:lang w:val="en-US" w:eastAsia="en-US" w:bidi="ar-SA"/>
        </w:rPr>
        <w:t>Negligent driving can be thought of as a continuum that progresses, or regresses, from momentary lack of attention giving rise to civil responsibility through careless driving under a provincial Highway Traffic Act to dangerous driving under the Criminal Code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Similarly, Madam Justice McLachlin, (now C.J.C.),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at [paragraph] 2 described this objective standard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the other hand, the fault may lie in the accused's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inadvertence. In this case an objective test applies; the question is not what was in the accused's mind but the absence of the mental state of care. This want of due care is inferred from conduct of the accused. </w:t>
      </w:r>
      <w:r>
        <w:rPr>
          <w:rFonts w:ascii="arial" w:eastAsia="arial" w:hAnsi="arial" w:cs="arial"/>
          <w:color w:val="000000"/>
          <w:sz w:val="20"/>
          <w:u w:val="single"/>
          <w:lang w:val="en-US" w:eastAsia="en-US" w:bidi="ar-SA"/>
        </w:rPr>
        <w:t>If that conduct evinces a want of care judged by the standard of a reasonable person in similar circumstances, the necessary fault is established.</w:t>
      </w:r>
      <w:r>
        <w:rPr>
          <w:rFonts w:ascii="arial" w:eastAsia="arial" w:hAnsi="arial" w:cs="arial"/>
          <w:color w:val="000000"/>
          <w:sz w:val="20"/>
          <w:lang w:val="en-US" w:eastAsia="en-US" w:bidi="ar-SA"/>
        </w:rPr>
        <w:t xml:space="preserve"> The relevant circumstances may include circumstances personal to the accused, relating to whether the accused lacked the capacities or powers necessary to attain the mental state of care required in the circumstances.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And further at [paragraph] 4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a dangerous or repugnant act, coupled with want of care representing a marked departure from the standard of a reasonable person in all the circumstances, may constitute a criminal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Thus, in assessing whether the manner of driving is objectively dangerous the court must examine whether an act of negligent driving constitutes merely a momentary lack of attention that would give rise to civil liability in tort or liability under provincial highway legislation, or whether it should be elevated to the status of driving that attracts criminal culpability and sanctions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In order to find dangerous driving the court must be satisfied beyond a reasonable doubt that the manner of driving constitutes a marked departure from the standard of care of a reasonably prudent driver in the accused's situation. To use the language of Madam Justice McLachlin, objectively dangerous driving may be established where there is a dangerous or repugnant act coupled with a want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application of this objective test has been challenging for trial courts. This is reflected in a number of decisions that at first blush would appear to be irreconcilable. For example in </w:t>
      </w:r>
      <w:r>
        <w:rPr>
          <w:rFonts w:ascii="arial" w:eastAsia="arial" w:hAnsi="arial" w:cs="arial"/>
          <w:b/>
          <w:i/>
          <w:color w:val="000000"/>
          <w:sz w:val="20"/>
          <w:lang w:val="en-US" w:eastAsia="en-US" w:bidi="ar-SA"/>
        </w:rPr>
        <w:t>R. v. M.S.,</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[2002] O.J. No. 2194</w:t>
        </w:r>
      </w:hyperlink>
      <w:r>
        <w:rPr>
          <w:rFonts w:ascii="arial" w:eastAsia="arial" w:hAnsi="arial" w:cs="arial"/>
          <w:color w:val="000000"/>
          <w:sz w:val="20"/>
          <w:lang w:val="en-US" w:eastAsia="en-US" w:bidi="ar-SA"/>
        </w:rPr>
        <w:t xml:space="preserve"> (Ont. C.A.), aff'd </w:t>
      </w:r>
      <w:hyperlink r:id="rId68" w:history="1">
        <w:r>
          <w:rPr>
            <w:rFonts w:ascii="arial" w:eastAsia="arial" w:hAnsi="arial" w:cs="arial"/>
            <w:i/>
            <w:color w:val="0077CC"/>
            <w:sz w:val="20"/>
            <w:u w:val="single"/>
            <w:shd w:val="clear" w:color="auto" w:fill="FFFFFF"/>
            <w:lang w:val="en-US" w:eastAsia="en-US" w:bidi="ar-SA"/>
          </w:rPr>
          <w:t>[2003] 1 S.C.R. 125</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2003 SCC 11</w:t>
        </w:r>
      </w:hyperlink>
      <w:r>
        <w:rPr>
          <w:rFonts w:ascii="arial" w:eastAsia="arial" w:hAnsi="arial" w:cs="arial"/>
          <w:color w:val="000000"/>
          <w:sz w:val="20"/>
          <w:lang w:val="en-US" w:eastAsia="en-US" w:bidi="ar-SA"/>
        </w:rPr>
        <w:t>, the majority upheld an acquittal at trial of an accused charged with three counts of dangerous driving. The facts in that case were succinctly summarized in the head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and a friend went on a joy ride after school. MS had been driving at twice the speed limit on a country road. He drove through a stop sign at an intersection. Due to the fact that he was going too fast, he neither saw the sign nor had time to brake when he was told by his friend JS that there was a stop sign ahead. He crashed into another car entering the intersection from his right, killing all three of its occupants and badly injuring JS. The trial judge was not able to determine the actual speed of the vehicle, but she found that the stop sign was difficult to see. Absent other aggravating factors, the trial judge concluded that MS's driving amounted to a departure but not a marked departure from the standard of care of a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Rosenberg J.A. upheld the acquittal verdict by stating that the trial judge did not find that the accused was not keeping a proper lookout, was unable to make a finding of the accused's actual speed, and that the accused provided an explanation "of sorts" for the accident that the stop sign was difficult to see. In those circumstances Rosenberg J.A. concluded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was evidence upon which a trier of fact could make a finding of dangerous driving, in the circumstances, the failure to do so did not amount to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comparison, in </w:t>
      </w:r>
      <w:r>
        <w:rPr>
          <w:rFonts w:ascii="arial" w:eastAsia="arial" w:hAnsi="arial" w:cs="arial"/>
          <w:b/>
          <w:i/>
          <w:color w:val="000000"/>
          <w:sz w:val="20"/>
          <w:lang w:val="en-US" w:eastAsia="en-US" w:bidi="ar-SA"/>
        </w:rPr>
        <w:t>R. v. Johnson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2004 BCCA 141</w:t>
        </w:r>
      </w:hyperlink>
      <w:r>
        <w:rPr>
          <w:rFonts w:ascii="arial" w:eastAsia="arial" w:hAnsi="arial" w:cs="arial"/>
          <w:color w:val="000000"/>
          <w:sz w:val="20"/>
          <w:lang w:val="en-US" w:eastAsia="en-US" w:bidi="ar-SA"/>
        </w:rPr>
        <w:t xml:space="preserve">, the Court of Appeal overturned an acquittal verdict and registered a conviction against an accused charged with dangerous driving causing bodily harm in circumstances that appeared to be considerably less egregious than those in </w:t>
      </w:r>
      <w:r>
        <w:rPr>
          <w:rFonts w:ascii="arial" w:eastAsia="arial" w:hAnsi="arial" w:cs="arial"/>
          <w:b/>
          <w:i/>
          <w:color w:val="000000"/>
          <w:sz w:val="20"/>
          <w:lang w:val="en-US" w:eastAsia="en-US" w:bidi="ar-SA"/>
        </w:rPr>
        <w:t>M.S.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Johnson,</w:t>
      </w:r>
      <w:r>
        <w:rPr>
          <w:rFonts w:ascii="arial" w:eastAsia="arial" w:hAnsi="arial" w:cs="arial"/>
          <w:color w:val="000000"/>
          <w:sz w:val="20"/>
          <w:lang w:val="en-US" w:eastAsia="en-US" w:bidi="ar-SA"/>
        </w:rPr>
        <w:t xml:space="preserve"> the accused was stopped about a car length away from a marked cross-walk, presumably to permit three young girls waiting on the sidewalk with their bicycles to cross. After he had stopped, one of the girls started into the cross-walk when the accused's vehicle suddenly, for no apparent reason, drove quickly forward and struck the girl. The vehicle came to an immediate stop in the cross-walk after striking the girl. The girl believing she was unhurt walked away. After the accident, the accused hid his vehicle for several days before it was found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the accused's driving was acknowledged by the trial judge to be negligent, applying the continuum described by Cory J.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he concluded that it did not constitute a marked departure from the standard of a reasonable person driving in similar circumstances. At [paragraph] 28 of his reasons he stated what the Court of Appeal subsequently found to be reversible error: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argument the Crown said it almost appeared deliberate, but again they are certainly not suggesting it was deliberate. There are other inferences that can be drawn from the circumstances and some of those inferences are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dangerous driving, such as being more concerned or being distracted by the other children that were present and therefore failing to take reasonable care to make sure that Crysta was out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quote from the trial judge's reasons would seem to suggest he was applying the "circumstantial evidence only" rule, which would only permit a finding of guilt if dangerous driving was the only reasonable inference that could be drawn. However, the accused's hiding of his vehicle from the police after the accident could also infer culpability. As the Court of Appeal correctly pointed out, that is not how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directs the assessment of whether driving is objectively dangerous. In applying the proper test from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the Court of Appeal concluded that the accused's conduct was clearly a marked departure from the applicable standard. Hall J.A. distinguished </w:t>
      </w:r>
      <w:r>
        <w:rPr>
          <w:rFonts w:ascii="arial" w:eastAsia="arial" w:hAnsi="arial" w:cs="arial"/>
          <w:b/>
          <w:i/>
          <w:color w:val="000000"/>
          <w:sz w:val="20"/>
          <w:lang w:val="en-US" w:eastAsia="en-US" w:bidi="ar-SA"/>
        </w:rPr>
        <w:t>M.S.</w:t>
      </w:r>
      <w:r>
        <w:rPr>
          <w:rFonts w:ascii="arial" w:eastAsia="arial" w:hAnsi="arial" w:cs="arial"/>
          <w:color w:val="000000"/>
          <w:sz w:val="20"/>
          <w:lang w:val="en-US" w:eastAsia="en-US" w:bidi="ar-SA"/>
        </w:rPr>
        <w:t xml:space="preserve"> because the circumstances of the accused's driving in </w:t>
      </w:r>
      <w:r>
        <w:rPr>
          <w:rFonts w:ascii="arial" w:eastAsia="arial" w:hAnsi="arial" w:cs="arial"/>
          <w:b/>
          <w:i/>
          <w:color w:val="000000"/>
          <w:sz w:val="20"/>
          <w:lang w:val="en-US" w:eastAsia="en-US" w:bidi="ar-SA"/>
        </w:rPr>
        <w:t>M.S.</w:t>
      </w:r>
      <w:r>
        <w:rPr>
          <w:rFonts w:ascii="arial" w:eastAsia="arial" w:hAnsi="arial" w:cs="arial"/>
          <w:color w:val="000000"/>
          <w:sz w:val="20"/>
          <w:lang w:val="en-US" w:eastAsia="en-US" w:bidi="ar-SA"/>
        </w:rPr>
        <w:t xml:space="preserve"> were found by the trial judge not to be clear while in </w:t>
      </w:r>
      <w:r>
        <w:rPr>
          <w:rFonts w:ascii="arial" w:eastAsia="arial" w:hAnsi="arial" w:cs="arial"/>
          <w:b/>
          <w:i/>
          <w:color w:val="000000"/>
          <w:sz w:val="20"/>
          <w:lang w:val="en-US" w:eastAsia="en-US" w:bidi="ar-SA"/>
        </w:rPr>
        <w:t>Johnson</w:t>
      </w:r>
      <w:r>
        <w:rPr>
          <w:rFonts w:ascii="arial" w:eastAsia="arial" w:hAnsi="arial" w:cs="arial"/>
          <w:color w:val="000000"/>
          <w:sz w:val="20"/>
          <w:lang w:val="en-US" w:eastAsia="en-US" w:bidi="ar-SA"/>
        </w:rPr>
        <w:t xml:space="preserve"> the young girl pushing her bicycle in the cross-walk had to have been visible to the accused. In the absence of an explanation by the accused, the Court of Appeal concluded the court could not speculate as to why the accused accelerated into the cross-walk where a pedestrian was walking and therefore held that the accused's driving was objectively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Reed</w:t>
      </w:r>
      <w:r>
        <w:rPr>
          <w:rFonts w:ascii="arial" w:eastAsia="arial" w:hAnsi="arial" w:cs="arial"/>
          <w:color w:val="000000"/>
          <w:sz w:val="20"/>
          <w:lang w:val="en-US" w:eastAsia="en-US" w:bidi="ar-SA"/>
        </w:rPr>
        <w:t xml:space="preserve"> the accused crossed the centre line of a highway and collided head on with an oncoming vehicle killing all three occupants of that vehicle. The accident occurred at night. There was some evidence that the accused had been drinking but it was inconclusive and does not appear to have been considered as a factor in the collision. The court noted that the accused was driving a modified pick-up truck with a raised suspension from a lift kit, which reduced the vehicle's stability. In addition, immediately before the accident the accused had been speeding about 20 kph over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these facts, the Court of Appeal concluded that the trial judge erred in finding that the accused's driving was not a "marked departure" from the applicable standard. In that regard, Cumming J.A. stated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opinion the learned trial judge erred in law in reaching the conclusion he did. He misconstrued the onus on the Crown, misapprehended the legal effect on the uncontroverted facts in this case, and misapplied the test in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It cannot be said that the respondent's driving of the type of motor vehicle he had, at night, at a speed more than 20 kilometres in excess of the speed limit, on a curve and totally on the wrong side of the road, is other than a marked departure from the norm.</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a careful review of the circumstances in </w:t>
      </w:r>
      <w:r>
        <w:rPr>
          <w:rFonts w:ascii="arial" w:eastAsia="arial" w:hAnsi="arial" w:cs="arial"/>
          <w:b/>
          <w:i/>
          <w:color w:val="000000"/>
          <w:sz w:val="20"/>
          <w:lang w:val="en-US" w:eastAsia="en-US" w:bidi="ar-SA"/>
        </w:rPr>
        <w:t>Johnson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Reed</w:t>
      </w:r>
      <w:r>
        <w:rPr>
          <w:rFonts w:ascii="arial" w:eastAsia="arial" w:hAnsi="arial" w:cs="arial"/>
          <w:color w:val="000000"/>
          <w:sz w:val="20"/>
          <w:lang w:val="en-US" w:eastAsia="en-US" w:bidi="ar-SA"/>
        </w:rPr>
        <w:t xml:space="preserve"> do not support the proposition that a momentary lack of attention that results in an individual driving on the wrong side of the road constitutes a marked departure from the standard of care of a prudent driver. In </w:t>
      </w:r>
      <w:r>
        <w:rPr>
          <w:rFonts w:ascii="arial" w:eastAsia="arial" w:hAnsi="arial" w:cs="arial"/>
          <w:b/>
          <w:i/>
          <w:color w:val="000000"/>
          <w:sz w:val="20"/>
          <w:lang w:val="en-US" w:eastAsia="en-US" w:bidi="ar-SA"/>
        </w:rPr>
        <w:t>Johnson</w:t>
      </w:r>
      <w:r>
        <w:rPr>
          <w:rFonts w:ascii="arial" w:eastAsia="arial" w:hAnsi="arial" w:cs="arial"/>
          <w:color w:val="000000"/>
          <w:sz w:val="20"/>
          <w:lang w:val="en-US" w:eastAsia="en-US" w:bidi="ar-SA"/>
        </w:rPr>
        <w:t xml:space="preserve"> the accused was stopped before the cross-walk and had to have seen the young girl step forward into the cross-walk. In </w:t>
      </w:r>
      <w:r>
        <w:rPr>
          <w:rFonts w:ascii="arial" w:eastAsia="arial" w:hAnsi="arial" w:cs="arial"/>
          <w:b/>
          <w:i/>
          <w:color w:val="000000"/>
          <w:sz w:val="20"/>
          <w:lang w:val="en-US" w:eastAsia="en-US" w:bidi="ar-SA"/>
        </w:rPr>
        <w:t>Reed</w:t>
      </w:r>
      <w:r>
        <w:rPr>
          <w:rFonts w:ascii="arial" w:eastAsia="arial" w:hAnsi="arial" w:cs="arial"/>
          <w:color w:val="000000"/>
          <w:sz w:val="20"/>
          <w:lang w:val="en-US" w:eastAsia="en-US" w:bidi="ar-SA"/>
        </w:rPr>
        <w:t xml:space="preserve"> the accused intentionally drove an unstable vehicle at an excessive speed around a curve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circumstances in this case are different. Here there is no evidence of any improper driving by Mr. Beatty before his truck veered into the westbound lane and into the oncoming vehicle. While that act of driving was clearly negligent it occurred within a matter of seconds. Moreover, there was no evidence of any evasive measures or evidence of any obstruction in the eastbound lane that might have caused him to veer into the westbound lane. In my view, the only reasonable inference to be drawn in these circumstances, of Mr. Beatty's manner of driving, was that he experienced a loss of awareness, whether that was caused by him nodding off or for some other reason. That loss of awareness resulted in him continuing to drive straight instead of following the curve in the road and thereby cross the double solid line. These few seconds of clearly negligent driving, which had devastating consequences, are the only evidence of Mr. Beatty's manner of driving. In my view,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requires something more than a few seconds of lapsed attention to establish objectively dangerous driving. Criminal culpability cannot be found, beyond a reasonable doubt, on such a paucity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tragic accident occurred from a momentary lapse of attention and snuffed out the lives of three individuals. There is nothing a court can do or say that will adequately redress the loss suffered by the victims' families in such circumstances. However, in assessing criminal culpability it is not the consequences of a negligent act of driving that determines whether an accused's manner of driving is objectively dangerous. It is the driving itself that must be examined. In my view, Mr. Beatty's few seconds of negligent driving, in the absence of something more, is insufficient evidence to support a finding of a </w:t>
      </w:r>
      <w:r>
        <w:rPr>
          <w:rFonts w:ascii="arial" w:eastAsia="arial" w:hAnsi="arial" w:cs="arial"/>
          <w:color w:val="000000"/>
          <w:sz w:val="20"/>
          <w:u w:val="single"/>
          <w:lang w:val="en-US" w:eastAsia="en-US" w:bidi="ar-SA"/>
        </w:rPr>
        <w:t>marked</w:t>
      </w:r>
      <w:r>
        <w:rPr>
          <w:rFonts w:ascii="arial" w:eastAsia="arial" w:hAnsi="arial" w:cs="arial"/>
          <w:color w:val="000000"/>
          <w:sz w:val="20"/>
          <w:lang w:val="en-US" w:eastAsia="en-US" w:bidi="ar-SA"/>
        </w:rPr>
        <w:t xml:space="preserve"> departure from the standard of care of a prudent driver. As contemplated by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Mr. Beatty's negligent driving undoubtedly falls within the continuum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is certain to attract considerable civil liability. It is in that forum that redress for his actions will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finding makes it unnecessary for the court to consider the limited evidence regarding Mr. Beatty's explanation for the accident. The essence of that evidence would appear to be that he does not remember how the accident occurred, but surmises that he probably fell asleep or lost consciousness, perhaps due to being in the sun during the day. If I had concluded that Mr. Beatty's manner of driving was objectively dangerous, I would have found this evidence of a possible explanation for his dangerous driving insufficient to raise a reasonable doubt that his manner of driving was objectively dangerous. That would require the court to infer that Mr. Beatty's loss of awareness was sudden and unexpected, which in my view cannot be inferred from the evidence. Similarly, the Crown's submission on this point, that the court should infer Mr. Beatty must have been feeling tired or sleepy before his vehicle crossed the double solid line, also cannot be made on the basis of the evidence. Either inference, in my view, would be merely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short, the circumstances of this case involved a momentary lapse of attention, for an unknown reason, that had devastating consequences. In my view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does not go so far as to require the criminalization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something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result, Mr. Beatty is acquitted of the charges in 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of the following amendments: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 "no post" at lines 5 and 8 should read: "no-post".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 "instantaneously" should be "instantaneous".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10: "pick up" at line 5 should read: "pick-up".</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13: "Biglund" at line 4 should read: "Bigland".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19: "vehicle's" in line 1 should read: "vehicles'".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24: there should be ellipses after the word "care" in the quoted passage.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26: "If" in the quoted passage should read: "It".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33: the cite of </w:t>
      </w:r>
      <w:r>
        <w:rPr>
          <w:rFonts w:ascii="arial" w:eastAsia="arial" w:hAnsi="arial" w:cs="arial"/>
          <w:b/>
          <w:i/>
          <w:color w:val="000000"/>
          <w:sz w:val="20"/>
          <w:lang w:val="en-US" w:eastAsia="en-US" w:bidi="ar-SA"/>
        </w:rPr>
        <w:t>R. v. Reed</w:t>
      </w:r>
      <w:r>
        <w:rPr>
          <w:rFonts w:ascii="arial" w:eastAsia="arial" w:hAnsi="arial" w:cs="arial"/>
          <w:color w:val="000000"/>
          <w:sz w:val="20"/>
          <w:lang w:val="en-US" w:eastAsia="en-US" w:bidi="ar-SA"/>
        </w:rPr>
        <w:t xml:space="preserve"> should just refer to </w:t>
      </w:r>
      <w:r>
        <w:rPr>
          <w:rFonts w:ascii="arial" w:eastAsia="arial" w:hAnsi="arial" w:cs="arial"/>
          <w:b/>
          <w:i/>
          <w:color w:val="000000"/>
          <w:sz w:val="20"/>
          <w:lang w:val="en-US" w:eastAsia="en-US" w:bidi="ar-SA"/>
        </w:rPr>
        <w:t>Reed</w:t>
      </w:r>
      <w:r>
        <w:rPr>
          <w:rFonts w:ascii="arial" w:eastAsia="arial" w:hAnsi="arial" w:cs="arial"/>
          <w:color w:val="000000"/>
          <w:sz w:val="20"/>
          <w:lang w:val="en-US" w:eastAsia="en-US" w:bidi="ar-SA"/>
        </w:rPr>
        <w: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39: the word "not" should be inserted between the words "does" and "go" in line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no other amendments to these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Shiokawa v. Tohyama, [2004] B.C.J. No. 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 2337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1021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Toshikazu Shiokawa, plaintiff, and Yoshinao Tohyama, Pacific Coast Savings Credit Union and Attorney General of British Columbia, defendants, and Yoshinao Tohyama, Soen Canada International Education Ltd., Soen Canada International Education Society and Robert David Adair and Darrel Barton Woods carrying on business under the firm name and style of Woods Adair,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12" w:name="Counsel_3"/>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H.J. Rusk, for the defendant, Pacific Coast Savings Credit Union. P.C.M. Freeman, Q.C., for the third parties, Robert David Adair and Darrel Barton Woods carrying on business under the firm name and style of Woods Adair.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3"/>
      <w:bookmarkEnd w:id="13"/>
      <w:r>
        <w:pict>
          <v:line id="_x0000_s1038" style="position:absolute;z-index:251713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R.D. WILSON J."/>
            <w:bookmarkEnd w:id="14"/>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 motion dated 3 June 2003, the defendant Pacific Coast Savings Credit Union ("Pacific Coast") sought a summary determination of its third party claims against the third party solicitors, Woods Adair ("the solicitors"), pursuant to Rule 18A of the Rules of Court. In response, the solicitors, in a motion dated 2 July 2003, sought an order dismissing Pacific Coast's third party claim against them. The solicitors also relied upon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motions were heard 7 and 8 July 2003. During the course of the hearing, the parties sought a determination of the issue of the solicitors' liability only. It was agreed that the issue of damages would be heard at a later date,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Reasons for judgment, imposing liability on the solicitors, were filed 26 August 2003. Among others, I made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23 October 1998, the defendant Mr. Tohyama, in the company of Mr. Cherneske, approached Pacific Coast seeking a loan. Mr. Tohyama presented himself as the purported agent of the plaintiff Mr.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Tohyama produced a "special power of attorney" form, appointing him attorney for Mr.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Pacific Coast approved a loan to Mr.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Pacific Coast instructed the solicitors to prepare a first mortgage and to register the same against the title to property owned by Mr.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Pacific Coast's instructions to the solicitors, as they related to the power of attorney, were limited to ensuring that the power of attorney was "satisfactory for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solicitors determined that the special power of attorney was not satisfactory, because it was not acceptable for registration by the Registrar of Land Titles. The solicitors' doubts about the registrability of the special power were conveyed to Pacific Coast on the afternoon of 28 October 1998, or early in the day of 29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solicitors took a substitute power of attorney, without further advice to, or instructions from, Pacific Coast, and proceeded to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Tohyama paid some instalments in repayment of the loan, but eventually defaulted. Pacific Coast made demand on Mr. Shiokawa. This demand precipitated this action, which led to the discovery of Mr. Tohyama's fraud. All of the documents had been forged. In result, the mortgage was set aside. Pacific Coast has not been repaid and has lost its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solicitors' failure to advise and request instructions was below the standard of care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solicitors' contract of retainer did not include instructions to accept a substitute power of attorney. Their services in this regard went beyond the terms of their retainer. Accordingly, the solicitors' liability is to be determined in tort, not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presumed that if a request for further instructions had been made, the loan transaction would not have proceeded, and Pacific Coast would not have suffered a loss. Therefore, the solicitors were liable.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has not been a formal order entered as a result of the reasons for judgment filed 26 August 2003. A notice of appeal, however, was filed by the solicitors on 5 September 2003.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9 October 2003, this matter was praeciped for continuation of the hearing of the motions, fixing a return date of 17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continuation, the solicitors requested a reconsideration of the 26 August 2003 reasons. That request is based upon the following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there is no evidence that the solicitors' failure to advise, and request further instructions on the substitute power of attorney, caused any loss to Pacific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the presumption that if a request had been made, the loan transaction would not have proceeded, was founded upon a principle taken from Heywood v. Wellers,</w:t>
      </w:r>
      <w:bookmarkStart w:id="1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5"/>
      <w:r>
        <w:rPr>
          <w:rFonts w:ascii="arial" w:eastAsia="arial" w:hAnsi="arial" w:cs="arial"/>
          <w:color w:val="000000"/>
          <w:sz w:val="20"/>
          <w:lang w:val="en-US" w:eastAsia="en-US" w:bidi="ar-SA"/>
        </w:rPr>
        <w:t xml:space="preserve"> a decision of the U.K.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principle taken from Heywood is not the law in British Columbia. For that proposition, the solicitors rely upon Graybriar Industries Ltd. v. Davis &amp; Company,</w:t>
      </w:r>
      <w:bookmarkStart w:id="16"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6"/>
      <w:r>
        <w:rPr>
          <w:rFonts w:ascii="arial" w:eastAsia="arial" w:hAnsi="arial" w:cs="arial"/>
          <w:color w:val="000000"/>
          <w:sz w:val="20"/>
          <w:lang w:val="en-US" w:eastAsia="en-US" w:bidi="ar-SA"/>
        </w:rPr>
        <w:t xml:space="preserve"> applied in Plattig v. Hart.</w:t>
      </w:r>
      <w:bookmarkStart w:id="17"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7"/>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Power to reconsider the decision of 26 August 2003, in the absence of a formal, entered, order, is not questioned by Pacific Coast. It simply says the matter ought not to be reconsidered; reliance on Heywood is simply the application of the doctrine of common sense. Clearly, there is such authority: Clayton v. British American Securities Ltd.</w:t>
      </w:r>
      <w:bookmarkStart w:id="18"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8"/>
      <w:r>
        <w:rPr>
          <w:rFonts w:ascii="arial" w:eastAsia="arial" w:hAnsi="arial" w:cs="arial"/>
          <w:color w:val="000000"/>
          <w:sz w:val="20"/>
          <w:lang w:val="en-US" w:eastAsia="en-US" w:bidi="ar-SA"/>
        </w:rPr>
        <w:t xml:space="preserve"> On a reconsideration, the trial judge has a discretion to set aside or vary a decision. The only fetter on that discretion is the duty to exercise the discretion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Clayton, an action was tried and a considered judgment given. Before the formal order was entered, an application was made to the trial judge, to re-open the trial, to permit the calling of further evidence. An order was made granting the application. An appeal was taken from that order.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reasons for judgment, dismissing the appeal, McQuarrie J.A. applied the words of Kekewich J. in Baden-Powell v. Wilson (1894), W.N. 146: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order has not yet been drawn up, I have no doubt I may re-hear the case. If there are material facts which were not brought to my attention at the trial, then I ought to hear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there is material law which I did not take into consideration in my decision. I ought to hear and consider that law. This is particularly so since counsel did not have an opportunity to address the question before my decision of 26 August 2003. Accordingly, I do reconsider the decision of 26 August 2003.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Heywood</w:t>
      </w:r>
      <w:bookmarkStart w:id="19"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9"/>
      <w:r>
        <w:rPr>
          <w:rFonts w:ascii="arial" w:eastAsia="arial" w:hAnsi="arial" w:cs="arial"/>
          <w:color w:val="000000"/>
          <w:sz w:val="20"/>
          <w:lang w:val="en-US" w:eastAsia="en-US" w:bidi="ar-SA"/>
        </w:rPr>
        <w:t xml:space="preserve"> was a claim by a client for monetary damages said to have been caused by her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Heywood had instructed her solicitors to obtain an injunction restraining her spouse from harassing her. The solicitors did not so apply; Ms. Heywood's spouse continued to harass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their defence, the solicitors said that even if an injunction had been applied for and obtained, the spouse might well have continued to harass Ms. Heywood. In response to that contention, Lord Denning M.R. said, at page 307: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suggested that, even if Wellers had done their duty and taken the man to court, he might still have molested her. But I do not think they can excuse themselves on that ground. After all, it was not put to the test; and it was their fault it was not put to the test. If they had taken him to court as she wished -- and as they ought to have done -- it might well have been effective to stop him from molesting her any more. </w:t>
      </w:r>
      <w:r>
        <w:rPr>
          <w:rFonts w:ascii="arial" w:eastAsia="arial" w:hAnsi="arial" w:cs="arial"/>
          <w:color w:val="000000"/>
          <w:sz w:val="20"/>
          <w:u w:val="single"/>
          <w:lang w:val="en-US" w:eastAsia="en-US" w:bidi="ar-SA"/>
        </w:rPr>
        <w:t>We should assume that it would have been effective to protect her, unless they prove that it would not</w:t>
      </w:r>
      <w:r>
        <w:rPr>
          <w:rFonts w:ascii="arial" w:eastAsia="arial" w:hAnsi="arial" w:cs="arial"/>
          <w:color w:val="000000"/>
          <w:sz w:val="20"/>
          <w:lang w:val="en-US" w:eastAsia="en-US" w:bidi="ar-SA"/>
        </w:rPr>
        <w:t>: see Coldman v. Hill, [1919] 1 K.B. 443 at 457, by Scrutton LJ; Scottish Co-operative Wholesale Society Ltd. v. Meyer, [1958] 3 All E.R. 66 at 88. [my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that underlined proposition which I applied in presuming causation in the reasons filed 26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support of the application to reconsider, the solicitors referred to Graybriar Industries Ltd.,</w:t>
      </w:r>
      <w:bookmarkStart w:id="20"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0"/>
      <w:r>
        <w:rPr>
          <w:rFonts w:ascii="arial" w:eastAsia="arial" w:hAnsi="arial" w:cs="arial"/>
          <w:color w:val="000000"/>
          <w:sz w:val="20"/>
          <w:lang w:val="en-US" w:eastAsia="en-US" w:bidi="ar-SA"/>
        </w:rPr>
        <w:t xml:space="preserve"> involving a claim by a client against a solicitor for monetary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said by the client that the solicitor had not fully advised on the ramifications of a title registered in the name of a bare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Graybriar produced evidence that if it had received a full explanation of the nature of a title held by a trustee for beneficial owners, it would have considered options other than the transaction which ultimately led to it suffering a monetary loss; it was the plaintiff who introduced a proposition analogous to that referred to above from Heywood. The proposition referred to was taken from the House of Lords decision in McGhee v. National Coal Board.</w:t>
      </w:r>
      <w:bookmarkStart w:id="21"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proposition advanced by Graybriar, as described by the trial judge at paragraph 86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defendant materially increased the risk of a certain thing occurring and that thing does occur, then the onus shifts to the defendant to disprove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fact contributed to this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analogy of that proposition to that relied upon from Heywood is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trial judge in Graybriar conducted a thorough analysis of authority following McGhee, and concluded:</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proposition advanced by Graybriar was "... not the law in British Columbia today" (paragraph 86);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onus with respect to causation does not rest with the defendants. Whatever the extent of the onus, it continues to be the burden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Those conclusions from Graybriar were applied in Plattig.</w:t>
      </w:r>
      <w:bookmarkStart w:id="22"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2"/>
      <w:r>
        <w:rPr>
          <w:rFonts w:ascii="arial" w:eastAsia="arial" w:hAnsi="arial" w:cs="arial"/>
          <w:color w:val="000000"/>
          <w:sz w:val="20"/>
          <w:lang w:val="en-US" w:eastAsia="en-US" w:bidi="ar-SA"/>
        </w:rPr>
        <w:t xml:space="preserve"> As well, the trial judge in Plattig applied the following principle of law from Graybriar (at paragraph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considering a claim for damages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stated at p. 181: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plaintiff who proves duty, breach of the standard of care and damage will still be unsuccessful in the action unless it is proved that there is a causal link between the breach of the standard of care and the damage. The causal link is tested in two ways: the defendant's conduct must be both the actual cause, or cause in fact and the legal cause or proximate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Pacific Coast has proved a duty, a breach of the standard of care required, and monetary damages. It has led no evidence on the element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Pacific Coast made its own assessment of the bona fides of Mr. Tohyama and Mr. Cherneske, and its own assessment of the authenticity of the special power of attorney produced by Mr. Tohyama. On the basis of its own assessment, it decided to commit to a loan. There is no evidence that it conducted any independent inquiry to support its own assessments. Absent the benefit of hindsight, it does not necessarily follow that had the solicitors sought further instructions, Pacific Coast would have resiled from its initial assessments of Mr. Tohyama and Mr. Cherneske and their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therefore, that to presume causation is wrong in law, and an error in logic, as simplistic post hoc reasoning. That error was compounded by my failure to consider Snell v. Farrell</w:t>
      </w:r>
      <w:bookmarkStart w:id="23"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3"/>
      <w:r>
        <w:rPr>
          <w:rFonts w:ascii="arial" w:eastAsia="arial" w:hAnsi="arial" w:cs="arial"/>
          <w:color w:val="000000"/>
          <w:sz w:val="20"/>
          <w:lang w:val="en-US" w:eastAsia="en-US" w:bidi="ar-SA"/>
        </w:rPr>
        <w:t xml:space="preserve"> before applying the presumption of causation principle in Heywood.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result, the third party claim fails because there is no proof that the solicitors' conduct caused monetary loss to Pacific Coast. The third party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matter will be appealed. There is a question of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raised two further issues at the continuation of the hearing, upon which I should record my conclusions for the purposes of the reviewing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first issue is that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Pacific Coast. I find that Pacific Coast was contributorily negligent,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Pacific Coast had decided to enter into the loan transaction before it gave instructions to the solicitors. The loan approval was said by Mr. Hunter to be "... based on the 'Special Power of Attorney' and the representations of Tohyama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instructions Pacific Coast did give, did not include the preparation of a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Pacific Coast knew, or ought to have known, that the solicitors were acting beyond their instructions in discussing a subsequent power of attorney with Mr. Cherneske.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Pacific Coast did not instruct the solicitors to cease their activity and return the matter to it so that the loan application could be reviewed on the fresh documentation. It had the substitute Power of Attorney in its possession when it approved the further loan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Pacific Coast had a duty to act reasonably in protection of its own interests. It did not do so and therein lies its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Pacific Coast and the solicitors are the innocent victims of the fraud of Mr. Tohyama. The loss suffered as a result of Mr. Tohyama's fraud is the fault of both of them. On the part of the solicitors for acting without instructions; and the fault of Pacific Coast in permitting that to happen. Having regard to all of the circumstances, it is not possible to establish different degrees of fault. Accordingly, liability for the loss is apportioned equally between Pacific Coast and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second issue is the assessment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Pacific Coast seeks an assessment on a calculation of the mortgage in default, plus consequential loss for the costs of the litigation to which it was subjected as a result of Mr. Tohyama's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That theory presupposes an assessment in contract. If there is liability, then it sounds in tort. Pacific Coast is entitled to be placed in the position it would have been had the solicitors' tort not been committed.</w:t>
      </w:r>
      <w:bookmarkStart w:id="24"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4"/>
      <w:r>
        <w:rPr>
          <w:rFonts w:ascii="arial" w:eastAsia="arial" w:hAnsi="arial" w:cs="arial"/>
          <w:color w:val="000000"/>
          <w:sz w:val="20"/>
          <w:lang w:val="en-US" w:eastAsia="en-US" w:bidi="ar-SA"/>
        </w:rPr>
        <w:t xml:space="preserve"> There is no evidence of what optional use may have been made of the money loaned to Mr. Tohyama. Therefore, damages will be assessed as the principal amount of the loan of $200,000, plus interest pursuant to the Court Order Interest Act, at registrar's rates, from the date of default to the date of judgment, together with the consequential loss incurred to defend Mr. Shiokawa's action. Pacific Coast will recover 50% of that loss, together with 50% of its costs of the third party proceedings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39" style="position:absolute;z-index:25176473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5"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5"/>
      <w:r>
        <w:rPr>
          <w:rFonts w:ascii="arial" w:eastAsia="arial" w:hAnsi="arial" w:cs="arial"/>
          <w:sz w:val="20"/>
          <w:lang w:val="en-US" w:eastAsia="en-US" w:bidi="ar-SA"/>
        </w:rPr>
        <w:tab/>
      </w:r>
      <w:r>
        <w:rPr>
          <w:rFonts w:ascii="arial" w:eastAsia="arial" w:hAnsi="arial" w:cs="arial"/>
          <w:color w:val="6D6E71"/>
          <w:sz w:val="18"/>
          <w:lang w:val="en-US" w:eastAsia="en-US" w:bidi="ar-SA"/>
        </w:rPr>
        <w:t>[1976] 1 All E.R. 301 (C.A.).</w:t>
      </w:r>
    </w:p>
    <w:p>
      <w:pPr>
        <w:spacing w:before="120" w:after="20" w:line="240" w:lineRule="atLeast"/>
        <w:ind w:left="720" w:hanging="360"/>
        <w:jc w:val="both"/>
        <w:rPr>
          <w:rFonts w:ascii="arial" w:eastAsia="arial" w:hAnsi="arial" w:cs="arial"/>
          <w:sz w:val="20"/>
          <w:lang w:val="en-US" w:eastAsia="en-US" w:bidi="ar-SA"/>
        </w:rPr>
      </w:pPr>
      <w:bookmarkStart w:id="26"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6"/>
      <w:r>
        <w:rPr>
          <w:rFonts w:ascii="arial" w:eastAsia="arial" w:hAnsi="arial" w:cs="arial"/>
          <w:sz w:val="20"/>
          <w:lang w:val="en-US" w:eastAsia="en-US" w:bidi="ar-SA"/>
        </w:rPr>
        <w:tab/>
      </w:r>
      <w:hyperlink r:id="rId18" w:history="1">
        <w:r>
          <w:rPr>
            <w:rFonts w:ascii="arial" w:eastAsia="arial" w:hAnsi="arial" w:cs="arial"/>
            <w:i/>
            <w:color w:val="0077CC"/>
            <w:sz w:val="18"/>
            <w:u w:val="single"/>
            <w:shd w:val="clear" w:color="auto" w:fill="FFFFFF"/>
            <w:lang w:val="en-US" w:eastAsia="en-US" w:bidi="ar-SA"/>
          </w:rPr>
          <w:t>(1990), 46 B.C.L.R. (2d) 164</w:t>
        </w:r>
      </w:hyperlink>
      <w:r>
        <w:rPr>
          <w:rFonts w:ascii="arial" w:eastAsia="arial" w:hAnsi="arial" w:cs="arial"/>
          <w:color w:val="6D6E71"/>
          <w:sz w:val="18"/>
          <w:lang w:val="en-US" w:eastAsia="en-US" w:bidi="ar-SA"/>
        </w:rPr>
        <w:t xml:space="preserve"> (B.C.S.C.); appeal dismissed </w:t>
      </w:r>
      <w:hyperlink r:id="rId19" w:history="1">
        <w:r>
          <w:rPr>
            <w:rFonts w:ascii="arial" w:eastAsia="arial" w:hAnsi="arial" w:cs="arial"/>
            <w:i/>
            <w:color w:val="0077CC"/>
            <w:sz w:val="18"/>
            <w:u w:val="single"/>
            <w:shd w:val="clear" w:color="auto" w:fill="FFFFFF"/>
            <w:lang w:val="en-US" w:eastAsia="en-US" w:bidi="ar-SA"/>
          </w:rPr>
          <w:t>[1992] B.C.J. No. 2211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7"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7"/>
      <w:r>
        <w:rPr>
          <w:rFonts w:ascii="arial" w:eastAsia="arial" w:hAnsi="arial" w:cs="arial"/>
          <w:sz w:val="20"/>
          <w:lang w:val="en-US" w:eastAsia="en-US" w:bidi="ar-SA"/>
        </w:rPr>
        <w:tab/>
      </w:r>
      <w:hyperlink r:id="rId76" w:history="1">
        <w:r>
          <w:rPr>
            <w:rFonts w:ascii="arial" w:eastAsia="arial" w:hAnsi="arial" w:cs="arial"/>
            <w:i/>
            <w:color w:val="0077CC"/>
            <w:sz w:val="18"/>
            <w:u w:val="single"/>
            <w:shd w:val="clear" w:color="auto" w:fill="FFFFFF"/>
            <w:lang w:val="en-US" w:eastAsia="en-US" w:bidi="ar-SA"/>
          </w:rPr>
          <w:t>[2002] B.C.J. No. 2516</w:t>
        </w:r>
      </w:hyperlink>
      <w:r>
        <w:rPr>
          <w:rFonts w:ascii="arial" w:eastAsia="arial" w:hAnsi="arial" w:cs="arial"/>
          <w:color w:val="6D6E71"/>
          <w:sz w:val="18"/>
          <w:lang w:val="en-US" w:eastAsia="en-US" w:bidi="ar-SA"/>
        </w:rPr>
        <w:t xml:space="preserve">, </w:t>
      </w:r>
      <w:hyperlink r:id="rId76" w:history="1">
        <w:r>
          <w:rPr>
            <w:rFonts w:ascii="arial" w:eastAsia="arial" w:hAnsi="arial" w:cs="arial"/>
            <w:i/>
            <w:color w:val="0077CC"/>
            <w:sz w:val="18"/>
            <w:u w:val="single"/>
            <w:shd w:val="clear" w:color="auto" w:fill="FFFFFF"/>
            <w:lang w:val="en-US" w:eastAsia="en-US" w:bidi="ar-SA"/>
          </w:rPr>
          <w:t>2002 BCSC 1549</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8"/>
      <w:r>
        <w:rPr>
          <w:rFonts w:ascii="arial" w:eastAsia="arial" w:hAnsi="arial" w:cs="arial"/>
          <w:sz w:val="20"/>
          <w:lang w:val="en-US" w:eastAsia="en-US" w:bidi="ar-SA"/>
        </w:rPr>
        <w:tab/>
      </w:r>
      <w:hyperlink r:id="rId77" w:history="1">
        <w:r>
          <w:rPr>
            <w:rFonts w:ascii="arial" w:eastAsia="arial" w:hAnsi="arial" w:cs="arial"/>
            <w:i/>
            <w:color w:val="0077CC"/>
            <w:sz w:val="18"/>
            <w:u w:val="single"/>
            <w:shd w:val="clear" w:color="auto" w:fill="FFFFFF"/>
            <w:lang w:val="en-US" w:eastAsia="en-US" w:bidi="ar-SA"/>
          </w:rPr>
          <w:t>(1934), 49 B.C.R. 28</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29"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9"/>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No. 1.</w:t>
      </w:r>
    </w:p>
    <w:p>
      <w:pPr>
        <w:spacing w:before="120" w:after="20" w:line="240" w:lineRule="atLeast"/>
        <w:ind w:left="720" w:hanging="360"/>
        <w:jc w:val="both"/>
        <w:rPr>
          <w:rFonts w:ascii="arial" w:eastAsia="arial" w:hAnsi="arial" w:cs="arial"/>
          <w:sz w:val="20"/>
          <w:lang w:val="en-US" w:eastAsia="en-US" w:bidi="ar-SA"/>
        </w:rPr>
      </w:pPr>
      <w:bookmarkStart w:id="30"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30"/>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No. 2.</w:t>
      </w:r>
    </w:p>
    <w:p>
      <w:pPr>
        <w:spacing w:before="120" w:after="20" w:line="240" w:lineRule="atLeast"/>
        <w:ind w:left="720" w:hanging="360"/>
        <w:jc w:val="both"/>
        <w:rPr>
          <w:rFonts w:ascii="arial" w:eastAsia="arial" w:hAnsi="arial" w:cs="arial"/>
          <w:sz w:val="20"/>
          <w:lang w:val="en-US" w:eastAsia="en-US" w:bidi="ar-SA"/>
        </w:rPr>
      </w:pPr>
      <w:bookmarkStart w:id="31"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31"/>
      <w:r>
        <w:rPr>
          <w:rFonts w:ascii="arial" w:eastAsia="arial" w:hAnsi="arial" w:cs="arial"/>
          <w:sz w:val="20"/>
          <w:lang w:val="en-US" w:eastAsia="en-US" w:bidi="ar-SA"/>
        </w:rPr>
        <w:tab/>
      </w:r>
      <w:r>
        <w:rPr>
          <w:rFonts w:ascii="arial" w:eastAsia="arial" w:hAnsi="arial" w:cs="arial"/>
          <w:color w:val="6D6E71"/>
          <w:sz w:val="18"/>
          <w:lang w:val="en-US" w:eastAsia="en-US" w:bidi="ar-SA"/>
        </w:rPr>
        <w:t>[1973] 1 W.L.R. 1; [1972] 3 All E.R. 1008. McGhee is not referred to in Heywood v. Wellers.</w:t>
      </w:r>
    </w:p>
    <w:p>
      <w:pPr>
        <w:spacing w:before="120" w:after="20" w:line="240" w:lineRule="atLeast"/>
        <w:ind w:left="720" w:hanging="360"/>
        <w:jc w:val="both"/>
        <w:rPr>
          <w:rFonts w:ascii="arial" w:eastAsia="arial" w:hAnsi="arial" w:cs="arial"/>
          <w:sz w:val="20"/>
          <w:lang w:val="en-US" w:eastAsia="en-US" w:bidi="ar-SA"/>
        </w:rPr>
      </w:pPr>
      <w:bookmarkStart w:id="32"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32"/>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3.</w:t>
      </w:r>
    </w:p>
    <w:p>
      <w:pPr>
        <w:spacing w:before="120" w:after="20" w:line="240" w:lineRule="atLeast"/>
        <w:ind w:left="720" w:hanging="360"/>
        <w:jc w:val="both"/>
        <w:rPr>
          <w:rFonts w:ascii="arial" w:eastAsia="arial" w:hAnsi="arial" w:cs="arial"/>
          <w:sz w:val="20"/>
          <w:lang w:val="en-US" w:eastAsia="en-US" w:bidi="ar-SA"/>
        </w:rPr>
      </w:pPr>
      <w:bookmarkStart w:id="33"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33"/>
      <w:r>
        <w:rPr>
          <w:rFonts w:ascii="arial" w:eastAsia="arial" w:hAnsi="arial" w:cs="arial"/>
          <w:sz w:val="20"/>
          <w:lang w:val="en-US" w:eastAsia="en-US" w:bidi="ar-SA"/>
        </w:rPr>
        <w:tab/>
      </w:r>
      <w:hyperlink r:id="rId78" w:history="1">
        <w:r>
          <w:rPr>
            <w:rFonts w:ascii="arial" w:eastAsia="arial" w:hAnsi="arial" w:cs="arial"/>
            <w:i/>
            <w:color w:val="0077CC"/>
            <w:sz w:val="18"/>
            <w:u w:val="single"/>
            <w:shd w:val="clear" w:color="auto" w:fill="FFFFFF"/>
            <w:lang w:val="en-US" w:eastAsia="en-US" w:bidi="ar-SA"/>
          </w:rPr>
          <w:t>[1990] 2 S.C.R. 311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4"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Conex Services Inc. v. Bogner Developments Ltd., </w:t>
      </w:r>
      <w:hyperlink r:id="rId79" w:history="1">
        <w:r>
          <w:rPr>
            <w:rFonts w:ascii="arial" w:eastAsia="arial" w:hAnsi="arial" w:cs="arial"/>
            <w:i/>
            <w:color w:val="0077CC"/>
            <w:sz w:val="18"/>
            <w:u w:val="single"/>
            <w:shd w:val="clear" w:color="auto" w:fill="FFFFFF"/>
            <w:lang w:val="en-US" w:eastAsia="en-US" w:bidi="ar-SA"/>
          </w:rPr>
          <w:t>[2000] B.C.J. No. 103</w:t>
        </w:r>
      </w:hyperlink>
      <w:r>
        <w:rPr>
          <w:rFonts w:ascii="arial" w:eastAsia="arial" w:hAnsi="arial" w:cs="arial"/>
          <w:color w:val="6D6E71"/>
          <w:sz w:val="18"/>
          <w:lang w:val="en-US" w:eastAsia="en-US" w:bidi="ar-SA"/>
        </w:rPr>
        <w:t xml:space="preserve">, </w:t>
      </w:r>
      <w:hyperlink r:id="rId79" w:history="1">
        <w:r>
          <w:rPr>
            <w:rFonts w:ascii="arial" w:eastAsia="arial" w:hAnsi="arial" w:cs="arial"/>
            <w:i/>
            <w:color w:val="0077CC"/>
            <w:sz w:val="18"/>
            <w:u w:val="single"/>
            <w:shd w:val="clear" w:color="auto" w:fill="FFFFFF"/>
            <w:lang w:val="en-US" w:eastAsia="en-US" w:bidi="ar-SA"/>
          </w:rPr>
          <w:t>2000 BCCA 54</w:t>
        </w:r>
      </w:hyperlink>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Singh v. Wu, [2015] B.C.J. No. 653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5-9, and 12-16,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M124296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Tejinder Singh, Plaintiff, and Yong Ling Wu,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jc w:val="both"/>
        <w:rPr>
          <w:rFonts w:ascii="arial" w:eastAsia="arial" w:hAnsi="arial" w:cs="arial"/>
          <w:sz w:val="20"/>
          <w:lang w:val="en-US" w:eastAsia="en-US" w:bidi="ar-SA"/>
        </w:rPr>
      </w:pPr>
      <w:bookmarkStart w:id="35" w:name="Counsel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M.D. Murphy, D. Georgetti.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42"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DEVLIN J."/>
            <w:bookmarkEnd w:id="37"/>
            <w:r>
              <w:rPr>
                <w:rFonts w:ascii="arial" w:eastAsia="arial" w:hAnsi="arial" w:cs="arial"/>
                <w:b/>
                <w:color w:val="000000"/>
                <w:sz w:val="30"/>
                <w:lang w:val="en-US" w:eastAsia="en-US" w:bidi="ar-SA"/>
              </w:rPr>
              <w:t>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Tejinder Singh, claims damages for injuries sustained as a result of a motor vehicle accident on July 19, 2010, at the intersection of Willingdon Avenue and Maywood Street in Burnaby,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Mr. Singh was driving southbound on Willingdon Avenue. As he approached Maywood Street, his vehicle was struck on the driver's side by Ms. Yong Ling Wu's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not an issue in these proceedings. At issue are Mr. Singh's claims for non-pecuniary damages, past and future wage loss, special damages and the cost of future care. Accordingly, the Court must determine the nature and extent of the injuries suffered by Mr. Singh and the quantum of damages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Ms. Wu, concedes that Mr. Singh suffered minor/mild soft tissue injuries which resulted in some neck and upper back pain which have now been resolved. In addition, Mr. Singh suffered pain in the left wrist and left middle finger which have also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However, causation is very much in dispute respecting the anterior wedge compression fracture of Mr. Singh's L1 vertebra and the findings noted on the MRI of September 2014. The defendant maintains that the findings are not causally related to the accident. Thus, a key issue to be determined is the extent of the injuries suffered in the motor vehicle accident and the extent to which the symptoms Mr. Singh has complained of are the result of that accident or attributable to subsequent causes unrelated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Singh was born on March 1, 1977 in India. He married Parminder Kaur in October 2002 and they immigrated to Canada in 2003. They have a five-year 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Singh was educated in India and trained as a professional chef. He became a certified chef in 1997 and was employed in that profession full time in various positions in India until he moved to Vancouver, British Columbia in 2003. Upon his arrival in Vancouver, Mr. Singh worked for two years as a chef for the Handi Restaurant in West Vancouver. Between 2005 and 2007, Mr. Singh worked for Sanjay Foods as a supervisor for the food preparation section. In 2007, he returned to the Handi Restaurant as full time chef, and then moved to become a chef at Saffron Restaurant in Burnaby, B.C. As a chef, he worked at least nine to ten hours per day, six to seven days per week. His work was physically demanding, and involved lifting, bending and standing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February 2009, Mr. Singh, together with Sufi Noor, opened the Mezbaan Restaurant on Kingsway Avenue in Vancouver, B.C. Mr. Singh and Mr. Noor had worked together at both the Handi and the Saffron Restaurant. They entered into a 50/50 partnership agreement and incorporated the company Mezbaan Restaurant Ltd. (the "Mezbaan"). The Mezbaan was approximately 1,000 square feet with ten tables, holding a maximum of 32 customers. In addition to the sit down service, they also offered take-out and delivery service during certain periods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February 2009 and March 2010, Mr. Singh and Mr. Noor operated the Mezbaan from 11:30 a.m. to 10 p.m., serving a lunch and dinner buffet, menu service as well as take-out and catering. During this period, Mr. Singh performed all the duties related to a chef running a kitchen. These duties included purchasing and storing the supplies, preparing the food and managing the overall kitchen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lunch hour at the Mezbaan would be busy between noon and 1:30 p.m., and fairly steady till 2:00 p.m. After the lunch hour rush, Mr. Singh would spend time cleaning up and preparing items for the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Preparation for dinner would commence about 4:30 p.m. each day. A similar routine as that for the lunch preparation would take place. The busy dinner period was 5:30 until 8 p.m. Between 8 and 10 p.m., he would clean-up the kitchen and prepare some items for the following day. His day usually ended between 10:30 and 11 p.m. During this period, Mr. Jonathon was hired to assist with a variety of tasks three to four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time allowed, Mr. Singh would also go out into the community to promote his restaurant. He would visit the Sikh temple, the community centre and nearby stores. He would also participate in door-to-door distribution of flyers advertising the restaurant menu.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March 2010, Mr. Noor sold his 50% share in the Mezbaan to Mr. Singh. Mr. Singh then sold these shares to Kewal Mehay, who became a partner in the restaurant business as of April 2010. Between April and July 2010, Mr. Singh continued to perform the chef duties while Mr. Mehay assumed the role previously occupied by Mr. Noor. During this time, Mr. Singh continued to work nine to ten hours per day, seven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accident, Mr. Singh was residing in a two bedroom basement suite in Vancouver together with his wife, son and his mother-in-law. He was in good health and enjoying a healthy and active lifestyle, although the demands of his job limited his ability to engage in frequent recreational activity. Prior to the accident, Mr. Singh would occasionally play soccer and cricket and would jog as often as he could, particularly during the summer months. In addition, he also went to Fitness World gym where he engaged in a variety of exercises. Mr. Singh also shared some of the usual duties of running a household, and spending quality time with his son was a priority for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19, 2010, Mr. Singh was driving southbound on Willingdon Avenue in Burnaby, B.C. As his vehicle approached Maywood Street, he was struck on the driver's side by Ms. Wu's vehicle. Mr. Singh's son was in a car seat in the back seat of the car. While the damage to both vehicles was relatively minor, Mr. Singh's vehicle was deemed a total loss. Both Mr. Singh and Ms. Wu testified that after the collision, they got out of their vehicles and exchanged information. After doing so, both left the scene in their vehicles. The police were not contacted.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Singh gave some evidence as to the impact of the collision, although the extent of the impact is disputed. He testified that he was jolted forward and that his left hand struck the inside of his vehicle. During his examination for discovery, Mr. Singh testified that he had no specific memory of his body movements inside the vehicle other than he hit his hand and there was a sudden jolt. On cross-examination, Mr. Singh maintained that his upper body moved forward, but that his seatbelt held him in place. Understandably, Mr. Singh's primary concern was the well-being of his son after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Singh testified that he suffered injuries to his left wrist and hand, neck pain, upper and lower back pain, as well as headaches. Mr. Singh testified that he was initially in shock after the accident and mostly concerned about the well-being of his son. Later that same evening, Mr. Singh and his spouse took their son to the emergency at Vancouver General Hospital to ensure that he had not suffered any injury from the accident. Fortunately, his son was uninjured and did not require any medical assistance. At this time, Mr. Singh sought no medical assistance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Singh testified that after they returned from the emergency he noticed that he had significant pain and discomfort, causing him to experience difficulty sleeping. On July 20, 2010, the day following the accident, Mr. Singh went to the Carepoint Medical Centre where he saw Dr. Bergman, a locum filling in for his family doctor, Dr. Love. Mr. Singh complained of tenderness and decreased range of motion during his visit with Dr. Bergman.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5, 2010, Mr. Singh saw Dr. Love. He testified that he told Dr. Love that later that night, in reference to the July 19, 2010 accident, he noticed he had a sore left middle finger and wrist, as well as a sore left lower back and neck. Mr. Singh continued to see Dr. Love for several months and also attended physiotherapy sessions, first with South Fraser Physiotherapy in 2010 and early 2011, then with Point Grey Physiotherapy in March and April 2012 and then with Central Park Physiotherapy in August and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Singh testified that he obtained some relief through the physiotherapy treatments, exercises and the pain medication. Clearly the treatments decreased his symptoms and increased his mobility. About a month after the accident his headache resolved. Initially, his neck pain was between seven and eight on a ten-point scale, and overtime this too resolved. Similarly, the left wrist and finger pain resolved fairly quickly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Mr. Singh testified that his upper and lower back pain persisted. He testified that initially the upper back pain was seven to eight on the ten-point scale, but by 2012 his pain had reduced significantly. With respect to the lower back pain, Mr. Singh testified that he first noticed the pain in the early morning after the accident and that it was a "ten out of ten". The pain medication prescribed by Dr. Love provided temporary relief. Eventually, the lower back pain also decreased in severity and by 2012 the intensity was reduced to six, although the more work he did, the greater pain he experienced. Mr. Singh testified that the pain continues today, although it is not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cross-examination, Mr. Singh was challenged with respect to the duration and severity of his pain. Mr. Singh denied the suggestion that the pain had been reduced to slight or mild, although he had testified at the examination for discovery that the pain was light and the pain had improved. When challenged why he did not continue with physiotherapy in 2011 if the pain persisted, Mr. Singh testified that he was doing the exercises at home and taking his pain medication, although his last prescription for pain medication was in December 2010. He acknowledged that the physiotherapy session did provide him with temporary relief, but he was never pain free.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Restaurant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Singh only missed one day of work immediately following the accident. Between July and December 2010, Mr. Singh had the assistance of his friend, Sudhir Kumar, who would come to the restaurant periodically to help him in the kitchen. In cross-examination, Mr. Singh agreed that Mr. Kumar would assist two or three days per week, but that he continued to perform the chef duties. Mr. Singh's partner, Mr. Mehay, would also assist with the heavy lifting work. During this time, Mr. Singh testified he was experiencing pain in his left hand,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early 2011, Mr. Singh and Mr. Mehay hired Avtar Dhamrati to assist them with running the restaurant. Mr. Dhamrati had some experience in the restaurant business and Mr. Singh trained him to assist with the heavy work and preparation in his kitchen. The documentary evidence filed at trial established that Mr. Dhamrati's hours of work in 2011 ranged from 160 hours in January and February to 52 hours for October and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Singh testified he continued to suffer significant pain in his upper and lower back while working in the kitchen, making it difficult for him to perform the physical requirements of a chef. In early 2012, Mr. Dhamrati left the Mezbaan and was replaced by Mandeep Singh. Mandeep Singh assisted Mr. Singh with all duties related to running the kitchen. During this period, the Mezbaan continued to operate during the same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June 2012, a decision was made to hire Harminder Singh, a certified chef and Mr. Singh's brother-in-law, to work in the restaurant. At this time the partners decided to restructure the Mezbaan to focus on increasing marketing in order to generate more business. With Harminder Singh in the role of the chef and Mandeep Singh assisting him, Mr. Singh was able to concentrate on expanding and upgrading the business through working in the service area focusing on customers and marketing. Mr. Mehay did not seem to have an active role in the restaurant business at this stage. As a result of the increased marketing, there was a significant impact on the business. However, in cross-examination, Mr. Singh acknowledged that the Mezbaan had been using various on-line advertising sites like JustEat.ca and LazyMeal to both advertise and take on-line orders at least as early as 2011, and that the services advertised included take-out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his future plans, Mr. Singh testified that he always planned to work as a chef in the restaurant business. Due to the problem with his back, he does not think he will ever be able to work full-time as a chef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Mr. Singh acknowledged that he had always had others assisting him in the kitchen in his role of chef. He also agreed that he continued to fulfill all of the duties of a chef after the accident, although with some pain and discomfort. Although the evidence is not clear, I find that the amount of time Mr. Singh actually performed chef duties was reduced once Harminder Singh was hired as the full-time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restaurant finances, according to the statement of income filed at trial, there was an increase in the Mezbaan's sales from 2012 to 2013. During this time, Mr. Singh was dealing with the customer service and marketing aspect of the restaurant, while Harminder Singh assumed the duties of the chef. Mr. Singh agreed on cross-examination that Mr. Mehay did not receive any remuneration between 2012 and 2014, and he was only periodically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Love, Mr. Singh's family physician at Care Point Medical Centre, first saw him on August 5, 2010. The clinical records from Care Point Medical Centre were admitted into evidence and Dr. Love testified, providing a detailed explanation of his clinical notes and the progression of Mr. Singh's symptoms. Mr. Singh had been to the clinic on July 20, 2010, where he was seen by Dr. Bergman who was filling in for Dr. Love. Dr. Love reviewed the file entry made by Dr. Bergman in which Mr. Singh had advised that he had tenderness, pain and a decreased range of motion in his third finger and wrist, left hand and upper back. Upon conducting his exam, Dr. Bergman noted "upper back and neck tender on palpation; range of motion normal" and his assessment was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first appointment with Dr. Love on August 5, 2010, Mr. Singh reported that "later that night" he had a sore hand and wrist as well as a sore left lower back, which had not been improving and had been keeping him awake. In cross-examination and in argument, the defendant focused on the notation "later that night" to support the position that the accident had not caused the lower back injury. However, Dr. Love was firm in his testimony that the reference in his clinical note was to the night of the accident. Dr. Love conducted a physical examination of Mr. Singh, including his lumbar spine. Dr. Love found that the lumbar spine backward extension was decreased and moderately sore. Dr. Love also noted that Mr. Singh had moderate paravertebral muscle spasm and lateral flexion was mildly decreased bilaterally and moderately sore. Dr. Love prescribed Naproxen and Tylenol 3 for the pain, Zopiclone to assist him with sleep and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Singh saw Dr. Love again on September 8, 2010 and reported that his neck was still sore and his lower back was sore all day, every day, which restricted what he could do at work. Dr. Love found the extension and flexion of his low back to be markedly decreased, sore and painful with palpation at L3 to S1 to be severe. Dr. Love recommended that Mr. Singh continue with physiotherapy and prescribed more Tylenol 3's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November 1, 2010, at the request of Dr. Love, Mr. Singh came to see him in order for Dr. Love to complete a CL19 form for ICBC. Mr. Singh reported that the cervical spine was improving and was not sore every day, but that there was little improvement to the lumbar spine, which continued to be sore daily, although not for the entire day. Mr. Singh also reported that the pain continues to keep him up at night. Dr. Love's physical examination confirmed that Mr. Singh was tender and mildly sore, especially in the lower back. Dr. Love recommended a continuation of the physiotherapy and prescribed more Tylenol 3's. Dr. Love also noted that Mr. Singh advised that he could not do certain activities like run and he could not play as much with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Love testified about the entries he made on the ICBC CL19 form and explained that the entries were based on his findings during the November 1, 2010 examination. In particular, he noted that the lumbar spine was still sore daily, although not all day. In cross-examination, Dr. Love admitted that he made an error on the form and that he should have noted that the injuries were preventing his patient from working full duties because he could not do the heavy lifting as required for his job. Dr. Love explained that given Mr. Singh was a chef, the only thing he could tell him to do, other than not working at all, was to recommend he not do any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December 14, 2010, Mr. Singh saw Dr. Imperial at the clinic and obtained a further recommendation for physiotherapy due to his continuing soft tissue injuries to his lower back lumbar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Approximately 15 months passed before Dr. Love saw Mr. Singh again on March 9, 2012. He reported that he continued to get sore at least four day per week, especially if he worked in the kitchen harder than usual, and that the pain continues to wake him up at night. Dr. Love next saw Mr. Singh on August 16, 2010, at which time he reported that he was very busy at work and when he cooks for large functions he can be very sore at the end of the night. He also reported that he had no pain for the last two months and physiotherapy had helped. Dr. Love found that Mr. Singh's lumbar spine extension was decreased and sore and flexion increased his pain. Dr. Love also noted Mr. Singh had muscle spasms in the lower back area. He prescribed Tylenol 3 and recommended he continue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Love received an initial report from Central Park Physiotherapy dated August 25, 2012. The report, written by Melissa Mercado, advised that her initial findings were that Mr. Singh sustained lumbar strain with potential injury to the lumbar spine discs. According to Ms. Mercardo's report, Mr. Singh reported that two weeks prior he had a sudden increase lumbar spine pain in the middle of the night and that since then the pain had been constant and increased. In addition, the symptoms were more aggravated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10, 2012, Mr. Singh met with Dr. Love and reported that he had been sorer recently, although he was doing his normal work which involved a little lifting and driving. Dr. Love noted all range of motion was decreased and Mr. Singh had pain at the lower part of the neck, but his back had improved. Dr. Love recommended that the physiotherapy focus on both his lower back and neck pain. Dr. Love prescribed Empracert, which is similar to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October 10, 2012 appointment, Dr. Love did not see Mr. Singh until August 8, 2013. Mr. Singh reported that the physiotherapy had assisted him and that he was doing the physiotherapy exercises at home five times a week, morning and night. Mr. Singh also reported that his lower back was sore periodically, particularly if he had been driving or if he had to lift a lot while at work. The physical exam revealed his condition had improved overall and lumbar spine extension was full but mildly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November 7, 2013, Dr. Cheah examined Mr. Singh and the records indicate that he had a tender lower back and was prescribed Tylenol 3 and Naproxen.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September 18, 2014, Dr. Love again saw Mr. Singh, who reported that he had a lot of pain two to three days per week that worsened with increased activities at work. Mr. Singh advised that his lumbar spine pain was seven or eight out of ten on those days he worked longer hours. Dr. Love testified by this time Dr. Hershler had referred Mr. Singh for an MRI. Dr. Love prescribed 60 Tylenol 3's and some other anti-inflammatory tablets. At this session, Dr. Love also recommended Mr. Singh try to lose weight and gave him a note to enrol in a physiotherapy or rehabilitation program to learn core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Love testified that his last session with Mr. Singh was on December 16, 2014, at which time he reported that his lower back was no better but that he was still working ten to twelve hours per day, six days per week, and was sore whenever he had to bend and lift or after a busy day of cooking. Mr. Singh also advised that due to his pain he was unable to attend Fitness World or play cricket. Dr. Love conducted a physical examination and found Mr. Singh exhibited pain to palpation in his lower back and his lumbar spine was still deviated to the right. Dr. Love again noted that he was overweight and advised him to start exercising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Dr. Love explained that while Mr. Singh was doing the specific exercises the physiotherapist gave him, he was not doing enough cardiovascular conditioning to enable him to lose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Karim Sanati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Sanati is a physiotherapist who works as a full-time associate at South Fraser Physiotherapy. Mr. Sanati first met with Mr. Singh on August 11, 2010 as a result of a referral from Dr. Imperial of Care Point Medical Centre. Between August 11, 2010 and January 14, 2011, Mr. Sanati treated Mr. Singh approximately 30 times, and his clinical notes detail the progression of the treatment. In his initial assessment, Mr. Sanati noted that Mr. Singh's chief complaint was a sharp pain in his back from his neck to the bottom of his back, as well as headache. Mr. Singh reported that he was in constant pain which decreased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Sanati testified that Mr. Singh had pain with movement of the lumbar spine but that mobility was different depending on the direction. He also noted that the range of motion in both neck and back was limited and painful. Mr. Sanati engaged different modalities to reduce the pain, spasm and inflammation including laser treatments, heat and inferential current therapy. He also showed Mr. Singh core strengthening exercises. Mr. Sanati testified that by August 31, 2010 Mr. Singh reported that pain was a little better, and that by December 2010 he continued to feel better, although the pain would increase after longer days of sitting and standing. Mr. Singh's symptoms significantly improved after attending treatment with Mr. Sanati. Mr. Sanati did not treat Mr. Singh after mid-January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Melissa Mercado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Mercado was a physiotherapist with Central Park Physiotherapy and Sports Injury Clinic. She began seeing Mr. Singh on August 23, 2012 based on a referral from Dr. Love. Ms. Mercado treated him on eight occasions between August 23, 2012 and September 25, 2012. At the first session, Mr. Singh advised Ms. Mercado that approximately two weeks earlier he started to have increased lumbar spine pain in the middle of the night and the pain always increased at night and towards the end of the day. During the examination, Mr. Mercado found that the lumbar spine range of motion was significantly limited and painful in all directions. Ms. Mercado's initial assessment was that Mr. Singh had sustained lumbar spine strain with potential injury to the lumbar spine discs. She recommended he continue with physiotherapy treatments as well as performing strength and conditioning exercises. During the course of her treatment, Ms. Mercado noted that Mr. Singh's condition did improve, although he continued to have some pain in the lumbar spine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Siu is a radiologist who was called as an expert by the defendant, Ms. Wu. Dr. Siu examined the August 25, 2010 lumbar spine x-ray report, the September 26, 2014 MRI lumbar spine report, as well as the Care Point Medical Centre records from July 20 to September 8, 2010 and the clinical records of both South Fraser Physiotherapy and Central Park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Siu found that the lumbar spine x-ray performed one month after the accident showed no evidence of traumatic injury. In particular, the L1 vertebral body was normal in height and contour with no fracture evidence. Dr. Siu found that the MRI performed in September 2014 showed the L1 vertebral body had a mild wedge compression deformity. The MRI appearance of the L1 vertebral body suggested the deformity was due to a fully healed fracture. Based on the amount of edema (swelling), the trauma that caused the L1 injury was likely at least six months prior to the MRI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Dr. Siu's opinion, if the accident had caused the L1 compression fracture, Mr. Singh would have experienced immediate, severe, debilitating pain with marked tenderness on palpation and decreased range of motion immediately following the accident, and the clinical records would reflect that. Considering that the July 20, 2010 clinical report of Dr. Bergman did not contain any reference to symptoms or signs related to the lumbar region; the force of the accident was not enough to cause the airbags to deploy; and there was only minor damage to the vehicles, Dr. Siu's opinion was that it was unlikely the collision had enough impact to cause a fracture to Mr. Singh's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Siu also considered the sudden increase lumbar spine pain noted in the August 2012 physiotherapy report as further support for his conclusion that the L1 compression fracture shown on the 2014 MRI was caused by a traumatic event sometime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Dr. Siu explained that he considered the reference to "later that night" in Dr. Love's August 5, 2010 clinical report to be a reference to August 4, 2010, and not the night of the accident. Dr. Siu testified that he would expect to see comments of "sore left side, lower back" in the July 20, 2010 clinical report if the former were the case. The fact that the August 5, 2010 report makes reference to lower back pain supports Dr. Siu's opinion that Mr. Singh had musculoskeletal ligamentous type injury known as whiplash. Dr. Siu was adamant that a person suffering from a compression fracture would immediately report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Siu maintained his opinion that the L1 fracture was not caused by the accident on July 19, 2010 and was likely caused by another traumatic event, possibly in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Jason Clement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Clement is a radiologist who was called as an expert by Mr. Singh. Dr. Clement examined the results of the August 25, 2010 x-ray of the lumbar spine and the September 26, 2014 MRI of the lumbar spine. In addition, he reviewed the medical/legal reports of Dr. William Siu dated November 27, 2014 and of Dr. C. Hershler dated October 15, 2014. Dr. Clement also reviewed the clinical notes of Care Point Medical Centre dated July 20, 2010 to November 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Clement's examination of the MRI report found a mild anterior wedge compression fracture of the superior portion of the L1 element, which is a fracture that involved the front portion of the L1 vertebral body. The L1 is the uppermost lumbar spine. Dr. Clement described the fracture as mild because of the degree of severity and, specifically, the anterior portion of the vertebral body lost approximately 15 percent of its height. Dr. Clement explained that these types of fractures are generally caused by violent forward flexion, such as in a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Clement explained after a traumatic injury there will be bone marrow edema, which is swelling which appears as increased fluid within that portion of the vertebral body that has been affected. After a period of time, sometimes weeks and usually months, the bone marrow edema subsides and the vertebral body usually turns to fat marrow. The MRI revealed that Mr. Singh's bone marrow had already been replaced by fat at the L1. In Dr. Clement's opinion, the fracture would have occurred anytime up to early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Clement also explained the x-ray imaging taken on August 25, 2010 revealed a mild curvature at the upper lumbar spine. However, due to the limitations of x-ray images, it would be easy to miss a compression fracture. Unlike the x-ray, the MRI provides a cross-sectional image which is more sensitive to detecting undisplaced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timing of the injuries, Dr. Clement's opinion states that Mr. Singh "fractured his L1 vertebral body between May 2010 and early 2014" and that "the trauma of July 19, 2010 was very likely responsible for the vertebral compression fracture demonstrated on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Clement's opinion was aggressively challenged on cross-examination, including the basis for Dr. Clement's assumption that these fractures are generally caused by "violent" forward flexion. Dr. Clement testified that he had read a description of the accident in Dr. Love's notes and Dr. Hershler's report, and that was part of what he relied on to form his opinion. Dr. Clement explained that he meant "in general, most patients who have vertebral compression fractures from MVA's that affect the anterior elements are from a flexion type mechanism which is violent".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Dr. Clement agreed that in general patients, even with a mild wedge compression fracture of the L1 vertebrae, would have significant pain on the day of the accident. Dr. Clement testified that it is likely that patients will complain of pain at the time and shortly afterwards of even a mildly displaced fracture assuming that there are not significant, distracting elements. Dr. Clement testified that in this particular case he assumed that Mr. Singh's greatest concern was the well-being of his young son immediately after the accident and that concern together with the pain in the left wrist could explain why Mr. Singh did not immediately report the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Clement further testified if the MRI had been performed immediately after the accident the MRI would have identified the fracture. Further, if the accident did cause the fracture it would not be unusual for the x-rays to look exactly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Clement agreed that a portion of Mr. Singh's injuries were soft tissue injuries but that usually someone's pain is multifactorial. In Mr. Singh's case, he could have soft tissue injuries in addition to the vertebrae fracture. Dr. Clement also agreed that the clinical records revealed that Mr. Singh's condition improved over the next five months as a result of physiotherapy, which is consistent with a resolution of a compression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Clement maintained his opinion that the trauma resulting in the MRI detected fracture occurred sometime after May 2010 and prior to early 2014. Further, Dr. Clement's opinion was it is almost certain that the July 19, 2010 trauma resulted in the L1 compression fracture.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Hershler was called as an expert witness by Mr. Singh and his evidence was tendered by way of a video deposition on consent. Dr. Hershler is a specialist in physical medicine and rehabilitation who provided an expert medical opinion regarding the nature and extent of the injuries sustained by Mr. Singh in relation to the accident. Dr. Hershler based his opinion on a single assessment of Mr. Singh on September 11, 2014, which included an interview and physical examination, a review of the clinical records provided to him as well as the x-ray and MRI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report, Dr. Hershler agreed that the x-ray performed one month after the accident did not show evidence of the compression fracture at L1. In his opinion, this was not uncommon because x-rays are limited with respect to the evaluation of undisplaced or mildly displaced compression fractures. As well, it is not uncommon, as deformity secondary to compression fractures can gradually develop and progress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MRI of the lower back showed a mild anterior wedge compression fracture of L1 with approximately 15 percent vertebral body height loss. In Dr. Hershler's opinion, the wedge compression fracture at L1 was more likely than not caused by the July 2010 accident. Dr. Hershler based his opinion on the fact that Mr. Singh had no history of trauma to the lower back prior to the motor vehicle accident in July 2010, nor had he ever complained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Hershler's prognosis was Mr. Singh would probably remain symptomatic for the foreseeable future, and it is more likely than not that his symptoms are permanent and will continue to impact on his ability to work in the future. Dr. Hershler recommended that Mr. Singh continue with his home based exercise program and ongoing assistance in his work environment. Dr. Hershler recommended various topical anti-inflammatory creams as a possible treatment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Hershler was challenged on cross-examination regarding the fact that Mr. Singh did not immediately report lower back pain. Dr. Hershler testified that it was not uncommon in his practice to have people who went through a certain traumatic event to report pain later, just as it was not uncommon for patients to report that they felt pain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Hershler testified that Mr. Singh appeared to him to be the type of person who would not go back to complain to his doctor every time he experiences pain, which accounts for the 14 month gap between doctor visits. With respect to the gaps in his physiotherapy treatments, Dr. Hershler testified that in his experience physiotherapy does provide patients improvement in pain but on a temporary basis, so they will often only resume physiotherapy to deal with an increase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 urges me to give little weight to Dr. Hershler's opinion for two main reasons. Firstly, Dr. Hershler relied on Mr. Singh's description with respect to the accident, the injuries, his recovery and ability to work, which could be self-serving. Secondly, Dr. Hershler did not review the clinical records in detail prior to meeting with Mr. Singh. While Dr. Hershler may not have reviewed all of the medical reports before he met with Mr. Singh, it is clear from his evidence that he did review the reports before writing his final opinion. Further, while Mr. Singh may not have told Dr. Hershler every detail of his recovery and the day to day working arrangements at the restaurant, I am not persuaded that the foundation for Dr. Hershler's report renders it unreliable. When considering the utility of a doctor's expert report it is helpful to consider the following passage from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88"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put, the doctor's job is to take the patient's complaints at face value and offer an opinion based on them. It is for the court to assess credibility. Of course,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9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If the plaintiff's account of his or her change in physical, mental and/or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and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the defendant submits that Mr. Singh's evidence is not consistent or reliable. The defendant cautioned me that Mr. Singh's complaints about pain levels are not objectively measureable and therefore I should be careful about accepting his evidence, absent some corroboration. In support of the submissions respecting the findings I should make in relation to Mr. Singh's credibility, counsel for the defendant relies on the cumulative impact of the following considerations: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did not seek immediate medical attention for his injuries on the night of the accident on July 19, 2010, despite the fact he attended VGH emergency department with his son. Nor did he report his lower back pain when he saw Dr. Bergman the next day;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did not report any lower back pain until he saw Dr. Love on August 5, 2010. The defendant argues this is inconsistent with an injury that was causing him constant excruciating pain. Further, the defendant argues when Mr. Singh reported that "later that night" he had significant back pain, it was in reference to August 4, 2010. Dr. Love noted that Mr. Singh had a moderately sore lower back;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from the physiotherapists was that Mr. Singh reported a reduction in pain with treatment and exercises. Physical examination of Mr. Singh also revealed an improvement in his condition. Yet Mr. Singh was reluctant to admit that he noticed any improvement from attending physiotherapy;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significant gaps in Mr. Singh's attendance at both his doctor and physiotherapy treatments. Mr. Singh did not request a prescription for pain medication between December 2010 and March 2012. Nor did he see a doctor during that period;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continued to work as a chef, although with some pain and discomfort. Mr. Singh usually had an assistant in the kitchen even before the accident;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Singh's evidence regarding the severity and frequency of his lower back pain was inconsistent with his examination for discovery;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testified that he exercised four to five times per week, but on examination for discovery he said he exercised two to three times per day. Further, the defendant argues the exercises he did were different from what the physiotherapist had recommended;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did not disclose during examination in chief that he lives with his mother-in-law and that she looks after his son and assists with the household chores while he and his spouse work full-time;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testified that Mr. Mehay bought his shares of the restaurant from Mr. Noor, when in fact the shares were purchased from Mr. Singh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found Mr. Singh to be an honest and straightforward witness who was doing his best to provide detailed testimony. I do not find that he exaggerated the nature and extent of his injuries, nor did he deliberately withhold details regarding his personal situation. I do not find a significant inconsistency or contradiction between Mr. Singh's evidence at trial and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pointed to the gaps in Mr. Singh's medical treatment and the lack of certain details in the clinical records to support the defendant's position that Mr. Singh had recovered from any injury incurred as a result of the accident. I disagree with the defendant's position that the medical treatment Mr. Singh sought was inconsistent with someone suffering from persistent lower back pain. I acknowledge that there may be cases where the plaintiff's failure to seek medical attention will result in the court drawing an adverse inference about the plaintiff's credibility. I do not consider this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 v. Storvick</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BCSC 1198</w:t>
        </w:r>
      </w:hyperlink>
      <w:r>
        <w:rPr>
          <w:rFonts w:ascii="arial" w:eastAsia="arial" w:hAnsi="arial" w:cs="arial"/>
          <w:color w:val="000000"/>
          <w:sz w:val="20"/>
          <w:lang w:val="en-US" w:eastAsia="en-US" w:bidi="ar-SA"/>
        </w:rPr>
        <w:t>, Madam Justice Gropper rejected a similar theory. At para. 100, Gropper J.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disagree with the defence's theory that the medical treatment sought by the plaintiff demonstrates that Mr. Roy's "problems were not as bad as [he] would lead us to believe." I expressed my view of this theory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at para. 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troubled by the gap in the plaintiff seeking treatment. His decision not to continue to see a doctor about his neck and back complaints was clearly based on a reasonable conclusion that the doctors could only provide temporary relief from the pain by prescribing medication and physiotherapy. The plaintiff did not consider either to be helpful. It is a sensible and practical approach to medical treatment. If continuous medical treatment can cure you, or make you feel better, then it is worthwhile to attend on a regular basis. If it cannot, there really is no point in taking the doctor's time. The purpose of a seeing a doctor is not to create a chronicle of complaints for the purpose of proving that you have ongoing pain from an injury arising from a motor-vehicle accident. Rather than detract from the accuracy of the plaintiff's complaint, I consider the plaintiff's course of conduct, in not seeing the doctor on a continuous basis, to enhance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Mr. Justice Smith expressed a similar view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noted above, I do not believe that Mr. Singh exaggerated the nature or extent of the pain he has experienced since the accident. I find the clinical records and testimony of Dr. Love and the physiotherapists Mr. Sanati and Ms. Mercado serve to corroborate Mr. Singh's testimony regarding his injury and recurring pain. Further, Dr. Hershler testified that in his experience treating patients with chronic pain, physiotherapy does provide relief from pain but often the symptoms return once a person goes back to a normal work routine. Thus, I decline to draw an adverse inference, and accept Mr. Singh's testimony relating to the nature and severity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Harris J. further outlines the principles of causation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special circumstances, the "but-for" test proves unworkable, and the law has applied a "material contribution" test. As Chief Justice McLachlin wrote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In accordance with the "thin skull rule", tortfeasors must take their victims as they find them, even if the plaintiff's injuries are more severe than they would be for a normal person. However, under the "crumbling skull rule", the defendant need not compensate the plaintiff for any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concedes that Mr. Singh suffered minor/mild soft tissue injuries as a result of the collision which resolved within six or seven months following the accident. The defendant argues the anterior wedge compression fracture of Mr. Singh's L1 vertebra and the finding noted in the September 2014 MRI are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Singh's position is that the defendant caused the multiple injuries he sustained, including the compression fracture of the L1 vertebra. Prior to the accident, Mr. Singh was a heathy, active and hard-working 33-year-old man who was performing all duties associated with the physically demanding job of a chef. According to Mr. Singh, there is no alternative explanation or cause for his injuries but-for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a significant difference in opinion between the two radiologists who testified at trial. Although their interpretations of the August 2010 x-ray and the September 2014 MRI images are essentially the same, they disagree in their opinions regarding the cause of the injuries. The defendant's witness, Dr. Siu, was adamant that any person who suffered a fracture of the spine would experience immediate, severe pain in the region of the fracture. Dr. Siu's conclusion was the mild compression fracture of the L1 vertebral body was not caused by the accident on July 19, 2010. Dr. Siu attributes his conclusion to a number of factors including Mr. Singh's lack of reporting of pain to the lumbar spine area to Dr. Bergman on July 20, 2010, and his view that the collision was of such low impact it was unlikely to cause a compression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Clement agreed that a compression fracture would normally result in immediate, severe pain which would cause a person to seek medical attention. However, in Dr. Clement's opinion it is reasonable to assume Mr. Singh had been distracted immediately after the accident due to his concern for his son and the pain from his other injuries. Based on his review of the medical evidence, including the fact that there had been no evidence of other significant trauma causing injury, Dr. Clement concluded that the trauma of July 19, 2010 was likely responsible for the compression fracture demonstrated on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Singh also called Dr. Hershler, who is an expert in physical medicine and rehabilitation, and the only expert who actually conducted a physical examination of Mr. Singh. Dr. Hershler found that Mr. Singh's history and physical findings are consistent with an injury to the lumbar spine. The injury includes ligaments, facet joints and discs of the lumbar spine. Dr. Hershler agreed that injuries to the neck, upper back, left wrist and hand have all resolved. In his report, Dr. Hershler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fact that Mr. Singh had no history of trauma to the low back prior to the motor vehicle accident on July 19, 2010, nor had he ever complained of back pain, it is my opinion that the wedge compression fracture at L1 was more likely than not caused by that accident. Although it is most certainly possible for the changes identified at L4/5 &amp; L5-S1 (on MRI) to have predated the accident, the fact that these changes indicate disc protrusion that are contacting nerve roots and the fact that there is an annular tear at L5-S1 leads me to opine that it is more likely than not the accident has resulted in these disc injuries, and that these injuries are the primary reasons why Mr. Singh (a) has been unable to return to his full functioning level as a chef, (b) has difficulty sitting and driving, and (c) now requires assistance, particularly with bending, lifting and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argues that the foundation upon which both Dr. Clement and Dr. Hershler base their opinions is flawed because they relied on Mr. Singh's description of the accident and his body movements following the collision. The defendant relies on a portion of the examination for discovery where Mr. Singh stated he did not know exactly what happened at the time. However, Mr. Singh also stated at the examination for discovery that there was a "sudden jolt". Dr. Hershler testified that Mr. Singh reported to him that he was "jolted by the impact" and Dr. Hershler inferred that meant Mr. Singh's body went forward and backwards but was somewhat restrained by the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prefer the opinion of Dr. Clement and Dr. Hershler to that of Dr. Siu. Of particular significance is the fact that Dr. Siu viewed the lack of mention of any symptoms or signs related to the lumbar region in the July 20, 2010 medical records as indicative of a lack of fracture to the lumbar region. However, the testimony of both Dr. Love and Mr. Singh established that he did report experiencing pain in the lumbar area the night of the accident. I accept the opinion of Dr. Clement that a person could be distracted by other events at the time immediately following the accident which could result in a delay in reporting the extent of the injuries. The evidence established that immediately following the accident, Mr. Singh was focused on the well-being of his young son. It was not until after his return from the emergency later that night that he first noted the pain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Mr. Singh has established on a balance of probabilities that the injuries, including the compression fracture of his L1 vertebra, were caused by the motor vehicle collision on July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Kirkpatrick J.A.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(recently quoted with approval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Mr. Singh submits that his injuries warrant an award for non-pecuniary damages of $100,000. Counsel cites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 v. Storvick</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BCSC 1198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Majer v. Beaudry et al</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2002 BCSC 746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Caldwell v. Ignas,</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2007 BCSC 1816</w:t>
        </w:r>
      </w:hyperlink>
      <w:r>
        <w:rPr>
          <w:rFonts w:ascii="arial" w:eastAsia="arial" w:hAnsi="arial" w:cs="arial"/>
          <w:color w:val="000000"/>
          <w:sz w:val="20"/>
          <w:lang w:val="en-US" w:eastAsia="en-US" w:bidi="ar-SA"/>
        </w:rPr>
        <w:t>, in support of a range of non-pecuniary loss of between $75,000 and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Counsel for the defendant contends that the award for this head of damages should be $35,000. In support of this submission, defendant's counsel cites </w:t>
      </w:r>
      <w:r>
        <w:rPr>
          <w:rFonts w:ascii="arial" w:eastAsia="arial" w:hAnsi="arial" w:cs="arial"/>
          <w:i/>
          <w:color w:val="000000"/>
          <w:sz w:val="20"/>
          <w:lang w:val="en-US" w:eastAsia="en-US" w:bidi="ar-SA"/>
        </w:rPr>
        <w:t>Gulbrandsen v. Mohr,</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2012 BCSC 1869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Lumley v. Balilo</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2013 BCSC 1052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2012 BCSC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Jones v. Ma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2010 BCSC 1125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have considered the impact of the injuries on Mr. Singh's general well-being in coming to a decision on the appropriate award under this category. I accept that Mr. Singh will continue to experience some periodic back pain which will impact on his mobility and overall well-being. With respect to the impact on Mr. Singh and his family, I accept that his relationship with his son has suffered due to his injuries from the motor vehicle accident, but only with respect to the manner in which he is able to physically interact with his son during playtime. There is no evidence to support a finding that the injuries have actually reduced the amount of time Mr. Singh can spend with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that Mr. Singh's recreational activities have been curtailed, but again, this is not entirely due to the results of the motor vehicle accident. Given the various demands on his time, including the number of hours Mr. Singh continues to work at the restaurant and his desire to spend time with his young son, there is little time left in his day for any other activities. Prior to the accident, Mr. Singh engaged in what can best be described as periodic or casual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accept Mr. Singh's submission that his ability to perform housekeeping chores, such as the laundry, justifies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Having reviewed the cases provided by both parties, I assess Mr. Singh's non-pecuniary damages at $75,000.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burden of proof of actual past events is a balance of probabilities. In contrast, an assessment of loss of both past and future earning capacity involves consideration of hypothetical events. The plaintiff is not required to prove these hypothetical events on a balance of probabilities; rather,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Singh seeks an award for past income loss totaling $72,000.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takes the position that Mr. Singh is not entitled to an award for past income loss, as Mr. Singh is self-employed and continued to work full-time at the restaurant following the accident. Further, the defendant argued there is no evidence before the Court to establish that the restaurant suffered any loss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Singh tendered a report prepared by Ronald Tidball, a Chartered Accountant and Chartered Business valuator, addressing past loss of net income. Mr. Tidball was called as a witness at trial. The key assumptions underlying Mr. Tidball's evidence is that the restaurant sustained a loss of revenue due to Mr. Singh's injuries and that the restaurant revenue would have grown at 5 percent per year if he had been injury-free. Mr. Tidball also assumed the loss of gross profit net of food costs to be 60 percent based on the actual gross profits achieved in 2010 to 2013. The estimated loss of gross profit was $60,000. Mr. Tidball also assumed that the lost revenue could have been earned injury-free without incurring additional labour costs. Mr. Tidball also assumed that the typical restaurant operating costs are one-third to food and one-third to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Tidball considered the cost of extra labour to be $68,000. This accounts for the cost of hiring Mr. Dhamrait and Mandeep Singh, who were hired to assist Mr. Singh with the heavy activities associated with the kitchen. In addition, Harminder Singh was hired in June 2012 when a decision was made to redesign the operation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Accordingly to Mr. Tidball, after accounting for the income reported by Mr. Singh in 2011 and a correction of some of the figures in his report, the past loss of earning capacity suffered by Mr. Singh up to December 31, 2013 was $56,500. Mr. Singh submits that if the losses incurred in 2014 are pro-rated based on the losses until December 31, 2013, the amount of damages for past loss of income should be $72,000.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tendered a report by Mark Szekely, an economist, addressing the findings in Mr. Tidball's report. Mr. Szekely was called as a witness at trial. Mr. Szekely was questioned on some of the assumptions Mr. Tidball relied upon in his report regarding gross profit margins and cost of additional wages. For example, Mr. Szekely explained that if the cost of additional wages was not a result of the accident, or even partially a result of the accident, then the loss calculated by Mr. Tidball would have to be reduced. As well, Mr. Szekely explained that Mr. Tidball did not seem to consider other contingencies that might affect the net profit, including things such as a downturn in business. According to Mr. Szekely, these factors would impact on the net profit, although there was no further evidence as to the potential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Singh testified both at trial and on examination for discovery that he always had others working with him in the restaurant. While I accept that Mr. Dhamrait and Mandeep Singh assisted him with tasks such as heavy lifting, I am not persuaded that the reason they were hired was solely as a result of Mr. Singh's injuries. Mr. Singh testified that Harminder Singh was hired in June 2012 when he and his business partner, Mr. Mehay, decided to redesign their operation. After that date, Mr. Mehay appears to have had limited involvement in the business and no longer took a share of the profits. While the reorganization may have been initiated as a result of Mr. Singh's injuries, it actually resulted in an increase in the profits in 2013. Therefore, it is appropriate to reduce the amount of loss of revenue from extra labour costs calculated by Mr. Tidball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Accordingly, I would award Mr. Singh $45,000 for past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is a matter of judgement that must be based on the evidence, rather than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supra,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There are two possible approaches to assessing loss of future earning capacity: the "earnings approach" discussed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and applied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and the "capital asset approach" outlined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Both approaches are acceptable. Reliance on the capital asset approach will be more useful where, as in this case, the loss in question is not easily measureable: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245-249.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para. 24-26.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essential task of the court is to compare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It is incumbent upon the plaintiff to demonstrate a real and substantial possibility of a future loss of earning capacity: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30-32. If the plaintiff discharges this burden and proves a real and substantial possibility that his or her lost capacity will result in pecuniary loss, the plaintiff may prove quantification of that loss. The award is based on a projection of the plaintiff's actual future income prospects at the time of the accident. As noted by McLachlin C.J.C. in </w:t>
      </w:r>
      <w:r>
        <w:rPr>
          <w:rFonts w:ascii="arial" w:eastAsia="arial" w:hAnsi="arial" w:cs="arial"/>
          <w:i/>
          <w:color w:val="000000"/>
          <w:sz w:val="20"/>
          <w:lang w:val="en-US" w:eastAsia="en-US" w:bidi="ar-SA"/>
        </w:rPr>
        <w:t>M.B</w:t>
      </w:r>
      <w:r>
        <w:rPr>
          <w:rFonts w:ascii="arial" w:eastAsia="arial" w:hAnsi="arial" w:cs="arial"/>
          <w:color w:val="000000"/>
          <w:sz w:val="20"/>
          <w:lang w:val="en-US" w:eastAsia="en-US" w:bidi="ar-SA"/>
        </w:rPr>
        <w:t>.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damages are not, then, based on a fixed value that has been assigned to an abstract capacity to earn. Rather, the value of a particular plaintiff's capacity to earn is equivalent to the value of the earnings that she or he would have received over time, had the tort not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Contrary to the submissions of the defendant, even if a plaintiff continues working at the same job for relatively the same rate of pay, he or she may still have a diminution of earning capacity and career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Finch J.A. discusses how trial judges can consider the factors outlined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to determine whether the plaintiff has suffered a loss of a capital asset. The plaintiff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continued to be employed at his prior workplace, and actually earned more per year than he did prior to the accident, although he had some limitations in what he could perform (at para. 38). Although there was no direct medical evidence showing that the plaintiff would have a diminished capacity to earn in that field, Finch J.A. noted the following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there is uncontradicted medical evidence of partial permanent physical disability which could have an effect on his capacity to work, and on his employability. I would conclude that his earning capacity has been reduced, even though he presently earns more than he did before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Finch J.A. concluded that despite the fact that the plaintiff continued to be employed by his pre-accident employer, and could continue to be so employed indefinitely, an award of $40,000 for loss of future earning capacity was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Fiust v. Centis</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2005 BCSC 1067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Fiust</w:t>
      </w:r>
      <w:r>
        <w:rPr>
          <w:rFonts w:ascii="arial" w:eastAsia="arial" w:hAnsi="arial" w:cs="arial"/>
          <w:color w:val="000000"/>
          <w:sz w:val="20"/>
          <w:lang w:val="en-US" w:eastAsia="en-US" w:bidi="ar-SA"/>
        </w:rPr>
        <w:t xml:space="preserve">], Madam Justice Fisher found that although the plaintiff had continued to receive wage increases post-accident, his on-going injuries had still limited his ability to advance his career and his future work choices would be limited, resulting in a loss of a capital asset. He was awarded $30,000 (at paras. 32-35). Also, in </w:t>
      </w:r>
      <w:r>
        <w:rPr>
          <w:rFonts w:ascii="arial" w:eastAsia="arial" w:hAnsi="arial" w:cs="arial"/>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Letourneau</w:t>
      </w:r>
      <w:r>
        <w:rPr>
          <w:rFonts w:ascii="arial" w:eastAsia="arial" w:hAnsi="arial" w:cs="arial"/>
          <w:color w:val="000000"/>
          <w:sz w:val="20"/>
          <w:lang w:val="en-US" w:eastAsia="en-US" w:bidi="ar-SA"/>
        </w:rPr>
        <w:t>], the plaintiff was awarded $72,000 in similar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Singh submits that as a result of the persistent back pain he continues to experience and the resulting functional limitations as a chef, he will continue to require assistance to perform his duties as a chef in the future. Mr. Singh relies on the opinion of Dr. Hershler that he will probably remain symptomatic for the foreseeable future and this will impact on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submits that the Court should not allow an award for loss of future earning capacity, as Mr. Singh has not shown a real and substantial possibility of a loss of earning capacity attributable to the accident. The defendant submits Mr. Singh was able to return to his job at the restaurant following the accident and continues to work full-time in his chosen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Singh urges me to calculate his loss under the earnings approach using the actuarial multipliers prepared by Mr. Lakhani. However, I find in the circumstances of the present case that the capital asset approach is appropriate. Mr. Singh is self-employed, and the nature of his business does not promote a consistent or reliable yearly salary. This is the very type of case that the capital asset approach contemplates, as it allows the Court to consider whether Mr. Singh has been rendered less capable or marketable overall due to a loss of his income earning capabilities, rather than rely upon a strict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capital asset approach does not, however, sanction an assessment at large without the need to explain the factual basis of the award. It is necessary for the Court to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make factual findings as to the nature and extent of Mr. Singh's loss of capacity and how that loss will probably impact his future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Mr. Singh has been rendered less capable overall from earning income from all types of employment, particularly employment that entails physically demanding work. While Mr. Singh may be able to continue to work in the restaurant industry, his ability to perform the physical demands of a full-time chef is reduced. As a result, Mr. Singh has lost the ability to take advantage of all job opportunities that might otherwise have been available to him had he not been injured, is less marketable or attractive as an employee to all potential employers and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Additionally, I find that the fact that the Mezbaan actually increased in profitability during 2013 does not deny Mr. Singh a remedy under this head of damages, as the court in </w:t>
      </w:r>
      <w:r>
        <w:rPr>
          <w:rFonts w:ascii="arial" w:eastAsia="arial" w:hAnsi="arial" w:cs="arial"/>
          <w:i/>
          <w:color w:val="000000"/>
          <w:sz w:val="20"/>
          <w:lang w:val="en-US" w:eastAsia="en-US" w:bidi="ar-SA"/>
        </w:rPr>
        <w:t>Pallos, Fuist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Letourneau</w:t>
      </w:r>
      <w:r>
        <w:rPr>
          <w:rFonts w:ascii="arial" w:eastAsia="arial" w:hAnsi="arial" w:cs="arial"/>
          <w:color w:val="000000"/>
          <w:sz w:val="20"/>
          <w:lang w:val="en-US" w:eastAsia="en-US" w:bidi="ar-SA"/>
        </w:rPr>
        <w:t xml:space="preserve"> have awarded damages to plaintiffs who similarly remained employed in their field or received pay increases following their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these circumstances, taking into account the negative and positive contingencies of life, I assess Mr. Singh's future loss of earning capacity at $150,000.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Mr. Singh is entitled to compensation for the cost of future care based on what is reasonably necessary to restore him to his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there must be a medical justification for the claim,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speculative, and thus requires a prediction as to what will happen in future. If a plaintiff has not used a particular item or service in the past, it may be inappropriate to include the cost of that service in a future care award. However, if the evidence shows that previously rejected services will not be rejected by the plaintiff in the future, he or she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Singh submits that an award of $12,000 ought to be granted for this head of damages. He submits that the cost of future care consists of $450 for Tylenol and/or other prescription medication, which would include the topical cream recommended by Dr. Hershler. Mr. Singh relies on the cost of future care multipliers provided in Mr. Lakhani's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submits that there is no evidence to suggest Mr. Singh will incur any future care costs. In particular, he has not purchased any prescription medication nor has he gone for physiotherapy since 2012. There is no evidence to indicate that Mr. Singh will require these items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Mr. Singh will experience occasional, non-debilitating low-back pain in the future due to the physically demanding nature of his work. I am satisfied that Mr. Singh will experience a relatively small pecuniary loss relating to future physiotherapy and/or rehabilitation treatments and pain medication. However, I find Mr. Singh's submission as to the quantum of future care costs to be excessive. Accordingly, I award $1,500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Singh submits that an award of $1,600 should be made based on the cost for physiotherapy and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submits that an award of $800 for special damages for expenses incurred before January 14, 2011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that Mr. Singh is entitled to reimbursement for his special damages in the amount of $1,600.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summary, I award Mr. Singh damages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$75,000;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 $45,000;</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$150,000;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$1,500;</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Total Damages Award = $273,100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Smith v. British Columbia, [2011] B.C.J. No. 425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and August 4-6,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S056492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Derrick Smith,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(163 paras.)</w:t>
      </w:r>
    </w:p>
    <w:p>
      <w:pPr>
        <w:jc w:val="both"/>
        <w:rPr>
          <w:rFonts w:ascii="arial" w:eastAsia="arial" w:hAnsi="arial" w:cs="arial"/>
          <w:sz w:val="20"/>
          <w:lang w:val="en-US" w:eastAsia="en-US" w:bidi="ar-SA"/>
        </w:rPr>
      </w:pPr>
      <w:bookmarkStart w:id="38" w:name="Counsel_5"/>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Kajoba.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Baumgard.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5"/>
      <w:bookmarkEnd w:id="39"/>
      <w:r>
        <w:pict>
          <v:line id="_x0000_s1045"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GRAY J."/>
            <w:bookmarkEnd w:id="40"/>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Smith was taken into custody at the Vancouver jail on April 28, 2004. Correctional staff at the jail removed items from Mr. Smith's person and lost them. Mr. Smith claims the value of the lost items, and punitive damages. Most items are clothing, but one is a ring ("Ring"), which Mr. Smith alleges was worth over $100,000. The defendant Crown argued that the Ring was worth far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alternative that the Ring is worth a substantial sum, the Crown seeks judgment against Mr. Smith for about $73,250 for repayment of social assistance benefits. Mr. Smith claims to have owned and had possession of the Ring for about ten years, from 1994 to 2004, during which time he received social assistance benefits but did not declare the Ring as an asset he owned. The Crown claims that if the Ring was as valuable as he claims, Mr. Smith was not entitled to any social assistance benefits, and that he must repay all of the benefits he received during the period that he had the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Smith's claim and the Crown's Counterclaim proceeded to a four-day trial. The trial was adjourned after the first day to enable Mr. Smith to provide expert evidence about the value of the Ring. During the period of the adjournment, the Crown was given liberty to file its Counterclaim. The Reasons for Judgment regarding liberty to file the Counterclaim are reported at </w:t>
      </w:r>
      <w:hyperlink r:id="rId152" w:history="1">
        <w:r>
          <w:rPr>
            <w:rFonts w:ascii="arial" w:eastAsia="arial" w:hAnsi="arial" w:cs="arial"/>
            <w:i/>
            <w:color w:val="0077CC"/>
            <w:sz w:val="20"/>
            <w:u w:val="single"/>
            <w:shd w:val="clear" w:color="auto" w:fill="FFFFFF"/>
            <w:lang w:val="en-US" w:eastAsia="en-US" w:bidi="ar-SA"/>
          </w:rPr>
          <w:t>2010 BCSC 928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damages for the Crown's failure to return Mr. Smith's items to him?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articles of what value did the Crown remove from Mr. Smith's person on April 28, 2004 and fail to return to him?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Smith entitled to non-remote consequential damage flowing from the fact of the conversion of his belongings?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Smith entitled to punitive and exemplary damages from the Crown?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Smith required to declare the Ring to the Crown in connection with his receipt of social assistance benefits?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Smith failed to declare the Ring to the Crown as required, what if any remedy is the Crown entitled to obtain against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Smith worked in the construction industry. He was injured in the 1990s and has been unable to work since that time. He is receiving social assistance on the basis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Smith has a good relationship with a cousin, Ms. Moyer. Mr. Smith's grandmother was a sister to Ms. Moyer's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Moyer went to Acapulco in 1970. At that time, a gentleman friend named Willie, who was a model, bought Ms. Moyer the Ring. It was a large stone in a large claw-shaped gold setting. Ms. Moyer thought the stone was an amethyst.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Later, after talking to Mr. Lucas, a jewellery store owner, Ms. Moyer thought that the stone in the Ring was Alexandrite.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Smith saw the Ring in around 1970, when he was around 15 years old, and particularly admired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Over the period of about 24 years when she had the Ring, 1970-1994, Ms. Moyer did not have it appraised or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Smith has a lengthy criminal record, including 32 offences over the 21 year period from 1973 to 1994. The offences include drug offences, weapons offences, robbery, theft and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Smith received social assistance payments commencing in about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or about 1994, Ms. Moyer gave Mr. Smith the Ring. At that time, Ms. Moyer was about 58 years old and Mr. Smith was about 39 years old. Ms. Moyer thought it was appropriate to give the Ring to Mr. Smith as something that he could pass on to his own descendants.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10 years that he had the Ring, Mr. Smith did not have it appraised or insured. He considered it an heirloom, and he intended to pass it to his descendants. Even when he was particularly short of money, he did not sell the Ring. He did not declare the Ring as an asset in connection with any of his applications for social assistance. Over the 10 years that he had the Ring, Mr. Smith received about $73,250 in benefits under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Smith has been convicted of only 2 criminal offences since 1994. In 2003, he was convicted of possession of drugs. In 2004, he was convicted of uttering threats to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Smith was taken into custody in the morning of April 28, 2004, in connection with being charged with uttering threats to a police officer. The Vancouver Police Jail Arrest Report, known as a "Jail 8" form, is incomplete. It lists the money that Mr. Smith had on his person, and lists that his wallet, keys, and insurance papers were taken to jail. It refers to Mr. Smith wearing a black leather jacket, black pants, and black shoes. The form has a place for listing the clothing and jewellery of the prisoner, but that has not been completed. Normally items should be listed on the Jail 8 Form by the searching officer, and in this case this seems to have been missed. The parties agreed that Vancouver Police Department members recall Mr. Smith having a black leather jacket and jewellery on him when he was placed in the "pre-hold"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Crown had a surveillance video ("Surveillance Video") in its possession, which showed bagged items being removed from the search area after Mr. Smith's search, and the bag being placed behind the booking desk. The Surveillance Video did not indicate what were the items in the 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agreed that Mr. Smith's belongings were lost on April 28, 2004 at the Vancouver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Smith was released from custody in the evening of April 28, 2004. The money he had with him on arrest was returned to him, but a number of other items were not. Mr. Smith complained about his missing items. Among the missing items were Mr. Smith's keys to his home. He was not able to get into his apartment when he first arrived home, and he climbed onto his apartment balcony and slept there. Later, a neighbour who had a set of his keys let Mr. Smith into his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Smith replaced his various cards and permits and keys, including the key to his motorcycle. He had to move his motorcycle from a parking spot until he could obtain a replacement key. He paid a towing fee he estimated at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Smith considered the Ring to be of significant sentimental value to him as an heirloom.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Smith wrote the Crown, seeking return of his personal effects, in August, 2004 and again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Negrin, Deputy Warden of the Vancouver Jail at the time, conducted an investigation. He interviewed the arresting officers by telephone, not in person. They recalled that Mr. Smith had some jewellery.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Negrin wrote Mr. Smith on April 7, 2005. Mr. Negrin reported that the police note of Mr. Smith's arrest refers to Mr. Smith's wallet, keys and papers. Mr. Negrin reported that the Surveillance Video shows a bag carried out of the search room to booking, after Mr. Smith's search, but that when it was Mr. Smith's turn to be booked in, his effects could not be found. Mr. Negrin reported that staff conducted a search of all areas, including other prisoner effects, and found nothing, and a video review of the area found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Negrin's April 7, 2005 letter offered to consider some form of compensation for Mr. Smith's wallet, keys and jacket. Mr. Negrin wrote that any other items noted in Mr. Smith's complaint "cannot be considered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parties agreed that the Surveillance Video was lost after it was reviewed by Mr. Negrin.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Smith wrote the Crown a letter which it received April 11, 2005. This led to an investigation by the Investigation and Standards Office, which is reported in a letter dated July 4, 2005. Inspector Boswell reported that the complaint was substantiated, and that Mr. Smith did lose some effects when he came into custody on April 28, 2004. Inspector Boswell wrote that he was unable to determine exactly what Mr. Smith lost. Inspector Boswell wrote that the role of his office was limited to investigating and reporting findings, and does not extend to finding replacements or financial reimbursement for substantiated claims. He wrote that Mr. Smith should pursue his claim with his legal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Smith commenced this lawsuit on December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What is the proper measure of damages for the Crown's failure to return Mr. Smith's items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Crown seized items from Mr. Smith on the basis that they would be returned to him when he was released from custody. As a result, the Crown was a "bailee", and Mr. Smith was the "bailor", and the legal relationship was that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traditional definition of bailment is set out in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xml:space="preserve"> 4th ed., vol. 2 (London: Butterworths, 1991) at 830,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bailment, traditionally defined, is a delivery of personal chattels on trust, usually on a contract, express or implied, that the trust shall be duly executed, and the chattels redelivered in either their original or an altered form, as soon as the time or use for, or condition on, which they were bailed shall have elapsed or been performed. Under modern law, a bailment arises whenever one person (the bailee) is voluntarily in possession of goods belonging to another person (the bailor). The legal relationship of bailor and bailee can exist independently of any contract, and is created by the voluntary taking into custody of goods which are the property of another, as in cases of sub-bailment or of bailment by finding. The element common to all types of bailment is the imposition of an obligation, because the taking of possession in the circumstances involves an assumption of responsibility for the safe keeping of the goods. An action against a bailee can be regarded as an action on its own, sui generis, arising out of the possession had by the bailee of the goods.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Traditionally, relationships of bailment are classified as "gratuitous" or "for reward". Mr. Smith was not paying the Crown to hold his items, and so this situation was a gratuitous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responsibility of a gratuitous bailor is discussed in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at 833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 various rights and duties of bailors and bailees, that most discussed is the degree of care and diligence required of the bailee in each kind of bailment. That degree has, from the time of the Roman Empire until fairly recent times, been held to vary according to the benefits derived from the bailment by the bailor and the bailee respectively. ... More recently, however, it has been recognised that the common law duty of every bailee is to take reasonable care of his bailor's goods, and not to convert them. The standard of care required is therefore the standard demanded by the circumstances of each particular case. To try to put a bailment into a watertight compartment, such as gratuitous bailment or bailment for reward, can be misleading. It must be remembered, however, that bailment is frequently a contract, and the parties may always vary the incidents by the terms of the contract.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set out in that passage, it is now appropriate to require a bailee, like the Crown, to exercise that degree of care which reason dictates in the circumstances of the case. The test is now one of what is "reasonable" in the circumstances. The former requirement for the proof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 longer the appropriate test. See </w:t>
      </w:r>
      <w:r>
        <w:rPr>
          <w:rFonts w:ascii="arial" w:eastAsia="arial" w:hAnsi="arial" w:cs="arial"/>
          <w:i/>
          <w:color w:val="000000"/>
          <w:sz w:val="20"/>
          <w:lang w:val="en-US" w:eastAsia="en-US" w:bidi="ar-SA"/>
        </w:rPr>
        <w:t>Kinsella v. Club "7"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(1993), 115 Nfld. &amp; P.E.I.R. 150</w:t>
        </w:r>
      </w:hyperlink>
      <w:r>
        <w:rPr>
          <w:rFonts w:ascii="arial" w:eastAsia="arial" w:hAnsi="arial" w:cs="arial"/>
          <w:color w:val="000000"/>
          <w:sz w:val="20"/>
          <w:lang w:val="en-US" w:eastAsia="en-US" w:bidi="ar-SA"/>
        </w:rPr>
        <w:t xml:space="preserve"> (Nfld. S.C.), and </w:t>
      </w:r>
      <w:r>
        <w:rPr>
          <w:rFonts w:ascii="arial" w:eastAsia="arial" w:hAnsi="arial" w:cs="arial"/>
          <w:i/>
          <w:color w:val="000000"/>
          <w:sz w:val="20"/>
          <w:lang w:val="en-US" w:eastAsia="en-US" w:bidi="ar-SA"/>
        </w:rPr>
        <w:t>Fairley &amp; Stevens (1966) Ltd. v. Goldsworthy</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(1973), 9 N.S.R. (2d) 600</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34 D.L.R. (3d) 554</w:t>
        </w:r>
      </w:hyperlink>
      <w:r>
        <w:rPr>
          <w:rFonts w:ascii="arial" w:eastAsia="arial" w:hAnsi="arial" w:cs="arial"/>
          <w:color w:val="000000"/>
          <w:sz w:val="20"/>
          <w:lang w:val="en-US" w:eastAsia="en-US" w:bidi="ar-SA"/>
        </w:rPr>
        <w:t xml:space="preserve"> (N.S.S.C.).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says as follows at 835 regarding the responsibility at law for gratuitous bailment: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soon, however, as the bailee actually accepts the chattel, he becomes in some degree responsible for it whilst it remains in his possession or under his control, and is also bound, upon demand, to redeliver it to the true owner or his nominee, unless he has good excuse in law for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 footnote to this passage,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chattels bailed are not forthcoming, or are damaged, the onus is in the first place upon the bailee to show circumstances negativing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Kinsella</w:t>
      </w:r>
      <w:r>
        <w:rPr>
          <w:rFonts w:ascii="arial" w:eastAsia="arial" w:hAnsi="arial" w:cs="arial"/>
          <w:color w:val="000000"/>
          <w:sz w:val="20"/>
          <w:lang w:val="en-US" w:eastAsia="en-US" w:bidi="ar-SA"/>
        </w:rPr>
        <w:t>, at para. 101, the bailee's "excuse in law" is "in essence equivalent to having taken 'reasonable care' of the goods, and the onus is on the bailee to establish that fact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Here, the Crown took possession of Mr. Smith's belongings. The Crown did not properly document the items it seized. Items were placed in a bag, and the Crown lost the bag. The Crown failed to take reasonable care of Mr. Smith's belongings. The Crown was negligent, and has failed to prove an "excuse in law" for the loss of Mr. Smith's belongings. Mr. Smith is entitled to damages for gratuitous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measure of damages for a breach of the bailee's responsibilities is available under the legal analysis of the tort of either conversion or detinue. It is not necessary here to discuss the differences between conversion and detinue. As set out in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at 987 and summarized by Puddester J. in </w:t>
      </w:r>
      <w:r>
        <w:rPr>
          <w:rFonts w:ascii="arial" w:eastAsia="arial" w:hAnsi="arial" w:cs="arial"/>
          <w:i/>
          <w:color w:val="000000"/>
          <w:sz w:val="20"/>
          <w:lang w:val="en-US" w:eastAsia="en-US" w:bidi="ar-SA"/>
        </w:rPr>
        <w:t>Kinsella</w:t>
      </w:r>
      <w:r>
        <w:rPr>
          <w:rFonts w:ascii="arial" w:eastAsia="arial" w:hAnsi="arial" w:cs="arial"/>
          <w:color w:val="000000"/>
          <w:sz w:val="20"/>
          <w:lang w:val="en-US" w:eastAsia="en-US" w:bidi="ar-SA"/>
        </w:rPr>
        <w:t xml:space="preserve"> at para. 124, "practically speaking, the measure in either conversion or detinue will amount to the value of the chattels as at the date of trial, together with any non-remote consequential damage flowing from the fact of the conversion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court can take into account replacement cost. In </w:t>
      </w:r>
      <w:r>
        <w:rPr>
          <w:rFonts w:ascii="arial" w:eastAsia="arial" w:hAnsi="arial" w:cs="arial"/>
          <w:i/>
          <w:color w:val="000000"/>
          <w:sz w:val="20"/>
          <w:lang w:val="en-US" w:eastAsia="en-US" w:bidi="ar-SA"/>
        </w:rPr>
        <w:t>Bendera v. C.E. and V. Holdings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(1983), 43 B.C.L.R. 96</w:t>
        </w:r>
      </w:hyperlink>
      <w:r>
        <w:rPr>
          <w:rFonts w:ascii="arial" w:eastAsia="arial" w:hAnsi="arial" w:cs="arial"/>
          <w:color w:val="000000"/>
          <w:sz w:val="20"/>
          <w:lang w:val="en-US" w:eastAsia="en-US" w:bidi="ar-SA"/>
        </w:rPr>
        <w:t xml:space="preserve"> (C.A.), the plaintiffs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loss of jewellery which they had left with an innkeeper for safekeeping. The trial judge awarded damages which reflected the retail cost of replacing the specific items of jewellery. A majority of the Court of Appeal confirmed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Nan v. Black Pine Manufacturing Ltd.</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(1991), 80 D.L.R. (4th) 153</w:t>
        </w:r>
      </w:hyperlink>
      <w:r>
        <w:rPr>
          <w:rFonts w:ascii="arial" w:eastAsia="arial" w:hAnsi="arial" w:cs="arial"/>
          <w:color w:val="000000"/>
          <w:sz w:val="20"/>
          <w:lang w:val="en-US" w:eastAsia="en-US" w:bidi="ar-SA"/>
        </w:rPr>
        <w:t xml:space="preserve"> at 157, </w:t>
      </w:r>
      <w:hyperlink r:id="rId156" w:history="1">
        <w:r>
          <w:rPr>
            <w:rFonts w:ascii="arial" w:eastAsia="arial" w:hAnsi="arial" w:cs="arial"/>
            <w:i/>
            <w:color w:val="0077CC"/>
            <w:sz w:val="20"/>
            <w:u w:val="single"/>
            <w:shd w:val="clear" w:color="auto" w:fill="FFFFFF"/>
            <w:lang w:val="en-US" w:eastAsia="en-US" w:bidi="ar-SA"/>
          </w:rPr>
          <w:t>55 B.C.L.R. (2d) 241</w:t>
        </w:r>
      </w:hyperlink>
      <w:r>
        <w:rPr>
          <w:rFonts w:ascii="arial" w:eastAsia="arial" w:hAnsi="arial" w:cs="arial"/>
          <w:color w:val="000000"/>
          <w:sz w:val="20"/>
          <w:lang w:val="en-US" w:eastAsia="en-US" w:bidi="ar-SA"/>
        </w:rPr>
        <w:t xml:space="preserve"> (B.C.C.A.), Wood, J.A., for the court,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find anything in the three judgments in </w:t>
      </w:r>
      <w:r>
        <w:rPr>
          <w:rFonts w:ascii="arial" w:eastAsia="arial" w:hAnsi="arial" w:cs="arial"/>
          <w:i/>
          <w:color w:val="000000"/>
          <w:sz w:val="20"/>
          <w:lang w:val="en-US" w:eastAsia="en-US" w:bidi="ar-SA"/>
        </w:rPr>
        <w:t>Bendera</w:t>
      </w:r>
      <w:r>
        <w:rPr>
          <w:rFonts w:ascii="arial" w:eastAsia="arial" w:hAnsi="arial" w:cs="arial"/>
          <w:color w:val="000000"/>
          <w:sz w:val="20"/>
          <w:lang w:val="en-US" w:eastAsia="en-US" w:bidi="ar-SA"/>
        </w:rPr>
        <w:t xml:space="preserve">, that would require this court now to resile from the long-established general principles applicable to damages in tort actions. The first of those principles is reflected by the maxim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the damages shall be such as will, so far as money can, put the plaintiff in the same position as he would have been had the tort not occurred. The second is that the damages awarded must be reasonable to both the plaintiff and to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of the application of these principles, in most cases involving the tortious loss of or damage to property, will be that replacement costs will at least be the starting point for the assessment of damages. Whether or not the damages based on such costs should then be adjusted, either for pre-loss depreciation or post-reinstatement betterment, will depend on what is reasonable in the circumstances. No rules can be fashioned by which it can invariably be determined when such allowances should be made. It must, in all cases, turn on the facts peculiar to the case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Smith argued that the award for the Ring should take into account the sentimental value of the Ring to him. Generally speaking, the court does not take into account sentimental value in assessing damages for breach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are some special circumstances in which the court can consider sentimental value. For example, the court can consider sentimental value in a claim for breach of a "peace of mind" contract, as discussed in </w:t>
      </w:r>
      <w:r>
        <w:rPr>
          <w:rFonts w:ascii="arial" w:eastAsia="arial" w:hAnsi="arial" w:cs="arial"/>
          <w:i/>
          <w:color w:val="000000"/>
          <w:sz w:val="20"/>
          <w:lang w:val="en-US" w:eastAsia="en-US" w:bidi="ar-SA"/>
        </w:rPr>
        <w:t>Wharton v. Tom Harris Chevrolet Oldsmobile Cadillac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at para. 56. The court can take sentimental value into account when awarding damages for mental distress for deliberate acts of wrongdoing, as discussed in </w:t>
      </w:r>
      <w:r>
        <w:rPr>
          <w:rFonts w:ascii="arial" w:eastAsia="arial" w:hAnsi="arial" w:cs="arial"/>
          <w:i/>
          <w:color w:val="000000"/>
          <w:sz w:val="20"/>
          <w:lang w:val="en-US" w:eastAsia="en-US" w:bidi="ar-SA"/>
        </w:rPr>
        <w:t>Mason v. Westside Cemeteries Ltd.</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(1996), 135 D.L.R. (4th) 361</w:t>
        </w:r>
      </w:hyperlink>
      <w:r>
        <w:rPr>
          <w:rFonts w:ascii="arial" w:eastAsia="arial" w:hAnsi="arial" w:cs="arial"/>
          <w:color w:val="000000"/>
          <w:sz w:val="20"/>
          <w:lang w:val="en-US" w:eastAsia="en-US" w:bidi="ar-SA"/>
        </w:rPr>
        <w:t xml:space="preserve"> (Ont. C.J.). Where punitive damages are available, the loss of items of sentimental value may be taken into account, as discussed in </w:t>
      </w:r>
      <w:r>
        <w:rPr>
          <w:rFonts w:ascii="arial" w:eastAsia="arial" w:hAnsi="arial" w:cs="arial"/>
          <w:i/>
          <w:color w:val="000000"/>
          <w:sz w:val="20"/>
          <w:lang w:val="en-US" w:eastAsia="en-US" w:bidi="ar-SA"/>
        </w:rPr>
        <w:t>Clarke v. Fullerton</w:t>
      </w:r>
      <w:r>
        <w:rPr>
          <w:rFonts w:ascii="arial" w:eastAsia="arial" w:hAnsi="arial" w:cs="arial"/>
          <w:color w:val="000000"/>
          <w:sz w:val="20"/>
          <w:lang w:val="en-US" w:eastAsia="en-US" w:bidi="ar-SA"/>
        </w:rPr>
        <w:t xml:space="preserve"> (1871), 8 N.S.R. 348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None of those special circumstances exist in this present case. Here, the relationship of bailment is not like a "peace of mind" contract. The evidence did not establish deliberate acts of wrongdoing by the Crown, or that Mr. Smith suffered the kind of mental distress required for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Nan</w:t>
      </w:r>
      <w:r>
        <w:rPr>
          <w:rFonts w:ascii="arial" w:eastAsia="arial" w:hAnsi="arial" w:cs="arial"/>
          <w:color w:val="000000"/>
          <w:sz w:val="20"/>
          <w:lang w:val="en-US" w:eastAsia="en-US" w:bidi="ar-SA"/>
        </w:rPr>
        <w:t xml:space="preserve">, the usual starting point for damages in tort is the replacement cost. The value at replacement cost is most likely to restore the party who suffered the loss to the position he or she would have been in if the loss had not occurred. Whether the loss was from a breach of bailment, as here, or for example from destruction of goods in a car accident, sentimental value cannot be taken into account. As discussed in </w:t>
      </w:r>
      <w:r>
        <w:rPr>
          <w:rFonts w:ascii="arial" w:eastAsia="arial" w:hAnsi="arial" w:cs="arial"/>
          <w:i/>
          <w:color w:val="000000"/>
          <w:sz w:val="20"/>
          <w:lang w:val="en-US" w:eastAsia="en-US" w:bidi="ar-SA"/>
        </w:rPr>
        <w:t>Lippa v. Barnable</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(2002), 210 Nfld &amp; P.E.I.R. 260</w:t>
        </w:r>
      </w:hyperlink>
      <w:r>
        <w:rPr>
          <w:rFonts w:ascii="arial" w:eastAsia="arial" w:hAnsi="arial" w:cs="arial"/>
          <w:color w:val="000000"/>
          <w:sz w:val="20"/>
          <w:lang w:val="en-US" w:eastAsia="en-US" w:bidi="ar-SA"/>
        </w:rPr>
        <w:t xml:space="preserve"> (Newf. Prov. Ct.) and </w:t>
      </w:r>
      <w:r>
        <w:rPr>
          <w:rFonts w:ascii="arial" w:eastAsia="arial" w:hAnsi="arial" w:cs="arial"/>
          <w:i/>
          <w:color w:val="000000"/>
          <w:sz w:val="20"/>
          <w:lang w:val="en-US" w:eastAsia="en-US" w:bidi="ar-SA"/>
        </w:rPr>
        <w:t>Jennings v. Wolfe</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[1950] 3 D.L.R. 442</w:t>
        </w:r>
      </w:hyperlink>
      <w:r>
        <w:rPr>
          <w:rFonts w:ascii="arial" w:eastAsia="arial" w:hAnsi="arial" w:cs="arial"/>
          <w:color w:val="000000"/>
          <w:sz w:val="20"/>
          <w:lang w:val="en-US" w:eastAsia="en-US" w:bidi="ar-SA"/>
        </w:rPr>
        <w:t xml:space="preserve"> (Alta. Sup. Ct.), giving effect to sentimental value would make the court's assessment of damages too imprecise and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 result, the court must try to restore Mr. Smith to the position he would have been in if the Crown had not lost his belongings, and award Mr. Smith damages for the loss of his belongings which are reasonable to both him and the Crown. Replacement cost will at least be the starting point, but may be adjusted on the basis of considerations like betterment and deprivation, but not for sentimental value. In addition, Mr. Smith is entitled to damages for "any non-remote consequential damage flowing from the fact of the conversion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What articles of what value did the Crown remove from Mr. Smith's person on April 28, 2004 and fail to return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Crown admits that it lost Mr. Smith's wallet, driver's license, fishing license, and bus pass. The Crown admits that the wallet was worth $45, and that the cost to replace the driver's license was $15, to replace the fishing license was $35, and to replace the bus pass was $25. That is a total of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contentious both what other items Mr. Smith had which the Crown lost, and the value of those items. The Crown challenged Mr. Smith's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Smith lived a criminal lifestyle until 1994, and his convictions include convictions for crimes of dishonesty, like forgery. Since 1994, Mr. Smith has essentially turned his life around, and stopped living a criminal lifestyle. His convictions in 2003 and 2004 were not for crimes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Smith was the only witness at trial as to what he was wearing and what he had on his person when he was taken into custody. Mr. Smith gave his evidence in a straightforward way. He called witnesses whose evidence supported aspects of Mr. Smith's testimony. In general, Mr. Smith's evidence was both credible and reliable, although his memory of what he paid for certain items was not clear, and he is not an expert gemologist with expert knowledge about the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to the items with an agreed value of $120, Mr. Smith also lost the following: the Ring, a leather jacket, shoes, keys, two wrist bracelets, a belt, a key chain, earrings, a nipple ring, a neck chain, and a front door swipe card. The assessment of value relevant to the assessment of damages begins with the replacement cost, adjusted as required to be reasonable between the parties. Because the lost items were all personal effects which Mr. Smith is likely to replace, in most cases, the appropriate value is the replacement cost.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about the value of the Ring included evidence from Mr. Smith, Ms. Moyer, Ms. Miller, and two expert gemologists.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Smith wore the Ring for about nine years either on his finger or on a leather or metal chain around his neck. He described the Ring in a handwritten note sent to the Vancouver Jail in August, 2004, as a "[h]andmade gold ring with a purple coloured stone which will turn from purple to red, blues and greens in different types of light. The stone is Alexandrite." Alexandrites are a type of gemstone known for their colour change qualities.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trial Mr. Smith testified the stone's colour was usually purple, and that in natural light, it was greenish-blue and purple. He testified that in dark light, such as in a dimly lit restaurant, the stone could be a red, ruby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Smith testified that in around 1996, using a chart that he had picked up from a jewellery store showing gemstone sizes, he determined that the stone in the Ring was 3.5 carats in weight. His reason for trying to measure the stone at this time was that he had considered incorporating the Ring into a piece of his artwork.</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Ms. Moyer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Moyer was in a jewellery shop in Acapulco with Willie when he bought the Ring. Willie admired the Ring and bought it for Ms. Moyer. She did not learn the price he paid for the Ring. She did not get any paperwork with the Ring, such as a certificate of authenticity or bill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Moyer testified that the stone's predominant colour was similar to an amethyst, which is a stone which tends to be purple in colour. Ms. Moyer said that in outdoor light the stone could take on a green or blue colour with undertones of other colours.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Some years ago, a jeweller friend of Ms. Moyer's named Mr. Lucas noticed the Ring on her finger and told her it was valuable. Ms. Moyer testified that she did not think the stone was synthetic, based on Mr. Lucas's reaction to the Ring. Ms. Moyer said that Mr. Lucas told her the stone was an Alexandrite, although Mr. Lucas did not use any kind of microscope when looking at the Ring, and the Ring stayed on Ms. Moyer's finger the whole time. Mr. Lucas' opinion is inadmissible, first because it is hearsay through Ms. Moyer, rather than the evidence of a witness at trial who can be cross-examined, and second, because it is opinion evidence, and could be admitted only by following the rules regarding expert evidence, which were not followed at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Ms.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Miller, a long-time friend of Mr. Smith, testified that the stone was large and raspberry pink.</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parties called the evidence of an expert gemologist. Both experts struggled to try to assign a value to a ring that they have not seen. I found both witnesses to be credible and experienced. Both testified that the stone could have been one of various different kinds of stones, including a synthetic colour change sapphire, a synthetic Alexandrite, or a natural Alexandrite.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 Mr.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Cook is a gemologist who testified on behalf of Mr. Smith. On May 30, 2008, Mr. Cook wrote a letter to Mr. Smith in which he provided an estimate of $75,000 to $100,000 for the value of the Ring. He gave this opinion assuming that the Ring was in fact a natural Alexandrite of approximately 3.75 carats which was "eye clean" with good colour change, set into 18 carat gold with a weight of 13 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Cook testified that the market for gemstones fluctuates, and that at the time of trial, the market had recently fallen. In Mr. Cook's opinion, a ring with the features he assumed would be worth 15% to 20% less than his initial estimate. As a result the Ring's value at trial, if Mr. Cook's assumptions were correct, would have been about $60,000 to $85,000.</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b. Mr. Deljanin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Deljanin testified on behalf of the Crown. He provided a report dated May 26, 2010 in which he gave an estimate of the value of the Ring based on several assumptions. He made assumptions about the Ring by looking at photographs in evidence, which showed the Ring hanging around Mr. Smith's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Deljanin assessed the market value of a 3.75 carat natural Alexandrite which was "eye clean" and of good colour change as $18,000 to $75,000. However, Mr. Deljanin was of the opinion that such stones "are extremely rare, and it is unlikely that the stone shown in the photos [of the Ring] is such a stone".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Both experts agreed that the value of the stone would depend heavily on the weight and clarity of the stone and its colour change quality. In determining whether the stone was a natural Alexandrite, the experts agreed that the stone's colour change quality was particularly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Deljanin reviewed enlarged photographs of the Ring, and by comparing the size of the stone with a pictured cigarette, he concluded that the stone's weight was less than half of the weight claimed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Cook testified that the photos relied upon by Mr. Deljanin do not allow for a determination of all of the stone's dimensions, and that therefore it was impossible to determine the stone's weight from the photos alone. Mr. Cook testified that given the dimensions that could be determined from the photos, it is possible that the stone could have weighed 3.75 carats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 that the stone was close to 3.75 carats.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Cook testified that natural Alexandrites are green in natural light and that those of a very high quality will turn strawberry red under artificial light. Stones of a lesser quality would turn a light pink colour under artificial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report, Mr. Deljanin opined that Mr. Smith's description of the colour change quality of the stone was contrary to the characteristics of natural Alexandrites.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alleges that his purple stone "will turn from purple to red, blues and greens in different types of light". This is contrary to the case of natural Alexandrite, which changes from green to purple (or red if it is of the finest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Deljanin testified that synthetic Alexandrites and synthetic colour-change sapphires show inferior colour change characteristics to natural Alexandrites, often showing purple colour mixed with green when viewed in daylight, and changing to purple in artificial light. He contrasted this with the colour change qualities of natural Alexandrites.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Deljanin's evidence about the colour of natural Alexandrites was similar to Mr. Cook's. Mr. Deljanin testified that they are green or bluish green in natural light and will change to purple or red (in the case of the finest quality stones) in artificial light. On the basis of the photographs available of the Ring, Mr. Deljanin was of the opinion that the stone was purple in artificial light. This is consistent with Mr. Smith's description that the Ring was "usually purple" and with Ms. Moyer's evidence that the stone's predominant colour was similar to an amethyst. This evidence suggests that the stone was not a natural Alexandrite, which, as Mr. Deljanin explained, tend to have green as their dominant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Deljanin testified that many stones in the gem trade are sold as Alexandrites when they are in fact synthetic Alexandrites or other imitation gems. Mr. Deljanin testified that the stone was likely a synthetic colour change sapphire, a stone which is much more common than synthetic Alexandrites. He placed the value of a 3.75 carat synthetic colour change sapphire which was eye clean and of good colour change and set in 18 carat gold at around $40 to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Imitation or synthetic Alexandrites are often indistinguishable from natural Alexandrites to the naked eye. I accept Mr. Deljanin's evidence that even an experienced gemologist would need to use light refraction to distinguish a natural Alexandrite from a synthetic Alexandrite.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factor which supports Mr. Smith's belief that the Ring contained a natural Alexandrite stone is that it was an unusual colour change stone bought in a jewellery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factors which suggest that the stone was not a real Alexandrite include the absence of any paperwork authenticating the stone, the fact that it was bought at a tourist location, and the rarity of such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the stone changed colour. I accept the evidence that natural Alexandrites change from green in daylight to purple in artificial light, or where the stone is of the finest quality, to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the rarity of such a stone, it is unlikely that the Ring contained a natural Alexandrite. The Court is required to make its determination of the value of the Ring on the balance of probabilities. It is probable that the stone in Mr. Smith's ring was a good quality synthetic stone, either a synthetic Alexandrite, or a colour change sapphire.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Deljanin's opinion was that a synthetic Alexandrite of the size and quality described by Mr. Smith was worth $700 to $1,000. This estimate does not include the value of the gold setting. Mr. Deljanin's opinion was that the value of a setting of 18 carat gold with a weight of 13 grams was $1,300. The total value would therefore be $2,000 to $2,200.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assess the value of the Ring at $2,200. That reflects the replacement cost at trial.</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Leather Jacket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handwritten note sent to the Vancouver Jail in August 2004, Mr. Smith described the jacket as a "[b]lack Horsehide leather motorcycle jacket, made by Ripley's leather, Van. B.C." valued at $800 plus tax. At trial Mr. Smith testified that the jacket had cost him $800, and was extra thick leather. He intended to keep it for years. He bought it from a pawn shop about 3 months before the Crown lost it, and it was nearly new, although it had a spot of white paint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Crown introduced evidence that leather jackets are available for prices between $200 to $500. However, the evidence did not establish that those jackets were similar to Mr. Smith's lost jacket. It is likely that Mr. Smith's jacket suffered only modest wear and tear in the few months between the time Mr. Smith bought it and the Crown lost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assess the value of Mr. Smith's leather jacket at April 28, 2004, when it was lost, at $750.</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 handwritten note sent to the Vancouver Jail, Mr. Smith described the shoes as "a pair of Rockport Pro-Walker shoes" valued at $245.00 plus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trial Mr. Smith testified that the shoes had been bought for him by his friend, Ms. Miller and had cost $150. Ms. Miller testified that she paid around $145 for the shoes. Ms. Miller was not able to produce a receipt for the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Crown suggested that it might be possible to buy the shoes for less on sale. Mr. Smith is entitled to the replacement cost of the shoes, even if they are not on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assess the value of Mr. Smith's shoes at $145.</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Smith was forced to replace keys, including his motorcycle keys. There was no evidence about the replacement cost. I assess the value at $10.</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Wrist Bracelets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Smith was wearing two wrist bracelets at the time of his arrest. He had purchased one for about $160, and the other for about $80. I assess the value of these two items at $240.</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Smith listed the value of his belt as $40. He testified that the buckle was expensive. I assess the value at $40.</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Key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Smith testified that he lost a Mexican silver key chain, although he apparently retained the fob. There was little evidence regarding the value. I assess the value of the lost key chain at $10.</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Earrings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Smith lost earrings. I assess the total value at $40.</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Nipple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Smith lost a nipple ring. I assess the value at $70, including tax.</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Neck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Smith wore a neck chain at the time of his arrest, and the Ring was hanging on it. He bought it for $85 plus tax. I assess the value at $90.</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Front Door Swipe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Smith paid $25 to replace the front door swipe card for his apartment. He is entitled to $25 for the loss of this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summary, the Crown lost Mr. Smith's wallet, driver's license, fishing license, bus pass, Ring, leather jacket, shoes, keys, wrist bracelets, belt, key chain, earrings, nipple ring, neck chain, and front door swipe card. The total value of those items at the time of loss was $3,740 (being $120 plus $2,200 plus $750 plus $145 plus $10 plus $240 plus $40 plus $10 plus $40 plus $70 plus $90 plus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Is Mr. Smith entitled to non-remote consequential damage flowing from the fact of the conversion of his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Smith was receiving social assistance benefits at the time of the arrest. While replacing the lost items was an inconvenience, it did not require Mr. Smith to miss work and lose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Smith's payment of $100 for towing the motorcycle was a consequence of the loss of his keys, and is not too remote for recovery. He is entitled to recover the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Is Mr. Smith entitled to punitive and exemplary damages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Smith argued at trial that he should receive punitive and exemplary damages in the sum of about $25,000. The Crown argued that the Court should not award anything for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196, Mr. Justice Cory, for the majority, summarized the general test for an award of punitive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This test was described more recently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paras. 36-37, </w:t>
      </w:r>
      <w:hyperlink r:id="rId16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by Mr. Justice Binnie for the majority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Punitive damages are awarded against a defendant in exceptional cases for "malicious, oppressive and high-handed" misconduct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196. The test thus limits the award to misconduct that represents a marked departure from ordinary standards of decent behaviour. Because their objective is to punish the defendant rather than compensate a plaintiff (whose just compensation will already have been assessed), punitive damages straddle the frontier between civil law (compensation) and criminal law (punishment).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Punishment is a legitimate objective not only of the criminal law but of the civil law as well. Punitive damages serve a need that is not met either by the pure civil law or the pure criminal law.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At trial, Mr. Smith's counsel argued that Mr. Smith should recover punitive damages because the Crown either stole his property, or intended to lose Mr. Smith's property. However, Mr. Smith pleaded his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did not allege that the Crown stole his property or intentionally lost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Smith alleged in paragraph 8 of his Statement of Claim that "the Corrections Branch (Vancouver Jail) has acted negligently in losing his property itemised in Paragraph 5 of the Statement of Claim, and has acted without justification and/or colour of right in failing or refusing to return the Plaintiff's above said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paragraph 9, Mr. Smith alleged that certain property had been "lost by the Vancouver Jail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paragraph 13, Mr. Smith alleged that he "has suffered, and continues to suffer, loss and damage by reason of the Defendants' actions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losing the Plaintiff's possessions and refusing to compensate the Plaintiff for the loss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Corrections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any event, the evidence supports the conclusion that the Crown simply lost Mr. Smith's property, and acted negligently when taking possession of his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Smith also argued that the Crown engaged in a cover-up. He referred to the fact that the Crown not only lost Mr. Smith's articles, but also lost the Surveillance Video, and that Mr. Negrin did not conduct certain interviews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Crown lost the Surveillance Video. It would have been better if the Surveillance Video had been available for review by Mr. Smith and the Court. In any event, the evidence does not establish that any further information would have been obtained by review of the Surveillance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Smith did not plead that there was a cover-up.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Crown's conduct in losing Mr. Smith's articles and the Surveillance Video was simply negligent. The Crown's conduct was not malicious, oppressive, or high-handed. While Mr. Smith was vulnerable because he was in the control of people taking him into custody, the Crown's conduct here was not such that it offends the court's sense of decency. Mr. Smith is not entitled to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Was Mr. Smith required to declare the Ring to the Crown in connection with his receipt of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value of the Ring at trial was $2,200. The evidence focussed on the value of the Ring at trial and at the time of the experts' reports. The evidence did not include assessments of value at the times relevant to the legislation regarding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Crown alleged as follows in its Counterclaim at paragraphs 10 and 13:</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action, the plaintiff alleges that, in or about 1994, he was given an Alexandrite ring ("the Ring") valued at $100,000 or more and that he retained the ring in his possession until April 28, 2004.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1994 - 2004, the defendant paid to the plaintiff income assistance payments totalling $75,042.42. If the allegation recited in paragraph 10 is correct, the defendant made those payments as a result of mistake of fact (i.e. the mistaken belief that the plaintiff lacked any assets of value), which mistake of fact was induced by the plaintiff's failure to discharge his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has not proven the allegation in paragraph 10 that the Ring was valued at $100,000 or more. As the Counterclaim is drafted, it appears that the Crown's Counterclaim was contingent on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However, if the Counterclaim intended to assert that Mr. Smith ought to have declared the Ring even if it were worth less than $100,000, the applicable analysis follows.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1994 to July 23, 1998: GAIN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From October 2, 1986 to July 23, 1998, Mr. Smith applied for and received social assistance payments under the </w:t>
      </w:r>
      <w:r>
        <w:rPr>
          <w:rFonts w:ascii="arial" w:eastAsia="arial" w:hAnsi="arial" w:cs="arial"/>
          <w:i/>
          <w:color w:val="000000"/>
          <w:sz w:val="20"/>
          <w:lang w:val="en-US" w:eastAsia="en-US" w:bidi="ar-SA"/>
        </w:rPr>
        <w:t>Guaranteed Available Income for Need Act</w:t>
      </w:r>
      <w:r>
        <w:rPr>
          <w:rFonts w:ascii="arial" w:eastAsia="arial" w:hAnsi="arial" w:cs="arial"/>
          <w:color w:val="000000"/>
          <w:sz w:val="20"/>
          <w:lang w:val="en-US" w:eastAsia="en-US" w:bidi="ar-SA"/>
        </w:rPr>
        <w:t>, R.S.B.C. 1979, c. 158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During the period commencing in 1994, Mr. Smith owned and had possession of the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For a period including 1994 to September 15, 1995, the </w:t>
      </w:r>
      <w:r>
        <w:rPr>
          <w:rFonts w:ascii="arial" w:eastAsia="arial" w:hAnsi="arial" w:cs="arial"/>
          <w:i/>
          <w:color w:val="000000"/>
          <w:sz w:val="20"/>
          <w:lang w:val="en-US" w:eastAsia="en-US" w:bidi="ar-SA"/>
        </w:rPr>
        <w:t>GAIN Regulations,</w:t>
      </w:r>
      <w:r>
        <w:rPr>
          <w:rFonts w:ascii="arial" w:eastAsia="arial" w:hAnsi="arial" w:cs="arial"/>
          <w:color w:val="000000"/>
          <w:sz w:val="20"/>
          <w:lang w:val="en-US" w:eastAsia="en-US" w:bidi="ar-SA"/>
        </w:rPr>
        <w:t xml:space="preserve"> B.C. Reg. 479/76 provided that an applicant of Mr. Smith's circumstances would not be eligible for income assistance if he had assets exceeding $2,500 in value. From September 15, 1995 to October 8, 1996, the ineligibility value for assets was reduced to $500. The regulations during the relevant periods are quoted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For a period including 1994 to October 8, 1996, s. 19(1) of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provided that persons receiving income assistance or social services shall give notice of changes in circumstances affecting eligibility and notice of income or resources in excess of the amount previously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For the same period, s. 21 of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provided that if, due to nondisclosure of facts, false misrepresentation, error or any other cause, a person received income assistance or social services to which he was not entitled, the Crown might recover that amount from the person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Sections 19(1) and 21 are set out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It was not entirely clear on the evidence which legislation governed the benefits Mr. Smith received during the period October 8, 1996 to July 23, 1998.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GAIN Regulations</w:t>
      </w:r>
      <w:r>
        <w:rPr>
          <w:rFonts w:ascii="arial" w:eastAsia="arial" w:hAnsi="arial" w:cs="arial"/>
          <w:color w:val="000000"/>
          <w:sz w:val="20"/>
          <w:lang w:val="en-US" w:eastAsia="en-US" w:bidi="ar-SA"/>
        </w:rPr>
        <w:t xml:space="preserve"> were repealed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Mr. Smith argued that the Ring was an heirloom, and was not an "asset". The term "assets" is defined in the </w:t>
      </w:r>
      <w:r>
        <w:rPr>
          <w:rFonts w:ascii="arial" w:eastAsia="arial" w:hAnsi="arial" w:cs="arial"/>
          <w:i/>
          <w:color w:val="000000"/>
          <w:sz w:val="20"/>
          <w:lang w:val="en-US" w:eastAsia="en-US" w:bidi="ar-SA"/>
        </w:rPr>
        <w:t>GAIN Regulations</w:t>
      </w:r>
      <w:r>
        <w:rPr>
          <w:rFonts w:ascii="arial" w:eastAsia="arial" w:hAnsi="arial" w:cs="arial"/>
          <w:color w:val="000000"/>
          <w:sz w:val="20"/>
          <w:lang w:val="en-US" w:eastAsia="en-US" w:bidi="ar-SA"/>
        </w:rPr>
        <w:t xml:space="preserve"> at s. 2(1)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form of cash, or equity in property, stocks, bonds, certificates or other possessions that could be converted to cash, and includes any beneficial interest in real or personal property held in trust, but does not include those items referred to in sections 8(3) and (4) of these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ring is an item which can be converted to cash. There is no exclusion for heirlooms. Any asset could be an heirloom. It would be contrary to the intent of the legislation if people could, by choosing to consider their assets to be "heirlooms", avoid declaring them to the provincial government and converting them to cash. If the Ring exceeded $2,500 or $500 at the relevant times, Mr. Smith was required to declare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evidence did not address the value of the Ring over the period 1994 to July 23, 1998. It was worth $2,200 in 2010, 12-16 years later. The Crown bore the burden of proving that its value exceeded $2,500 or $500 in the period 1994 to July 23, 1998, and it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July 23, 1998 to March 17, 1999: Special Needs Benefits under BC Benefits (Income Assistance)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From July 23, 1998 through to March 17, 1999, Mr. Smith applied for and received social assistance payments as an individual with Special Needs Status under the </w:t>
      </w:r>
      <w:r>
        <w:rPr>
          <w:rFonts w:ascii="arial" w:eastAsia="arial" w:hAnsi="arial" w:cs="arial"/>
          <w:i/>
          <w:color w:val="000000"/>
          <w:sz w:val="20"/>
          <w:lang w:val="en-US" w:eastAsia="en-US" w:bidi="ar-SA"/>
        </w:rPr>
        <w:t>BC Benefits (Income Assistance)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Throughout that period, s. 8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that persons applying for assistance must provide the minister with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that if assistance were provided to a person who was not entitled to it, the person was liable to repay the government and the government might recover the amount in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Sections 8 and 12 are set out in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Throughout the period from July 23, 1998 through March 17, 1999, s. 9 of the </w:t>
      </w:r>
      <w:r>
        <w:rPr>
          <w:rFonts w:ascii="arial" w:eastAsia="arial" w:hAnsi="arial" w:cs="arial"/>
          <w:i/>
          <w:color w:val="000000"/>
          <w:sz w:val="20"/>
          <w:lang w:val="en-US" w:eastAsia="en-US" w:bidi="ar-SA"/>
        </w:rPr>
        <w:t>Income Assistance Regulation</w:t>
      </w:r>
      <w:r>
        <w:rPr>
          <w:rFonts w:ascii="arial" w:eastAsia="arial" w:hAnsi="arial" w:cs="arial"/>
          <w:color w:val="000000"/>
          <w:sz w:val="20"/>
          <w:lang w:val="en-US" w:eastAsia="en-US" w:bidi="ar-SA"/>
        </w:rPr>
        <w:t>, B.C. Reg. 75/97 provided that a person in Mr. Smith's circumstances was ineligible for income assistance if he had assets amounting to more than $500. The regulation is set out in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Again, Mr. Smith argued that the Ring was an heirloom, and was not an "asset". The term "asset" is defined in the </w:t>
      </w:r>
      <w:r>
        <w:rPr>
          <w:rFonts w:ascii="arial" w:eastAsia="arial" w:hAnsi="arial" w:cs="arial"/>
          <w:i/>
          <w:color w:val="000000"/>
          <w:sz w:val="20"/>
          <w:lang w:val="en-US" w:eastAsia="en-US" w:bidi="ar-SA"/>
        </w:rPr>
        <w:t>Income Assistance Regulation</w:t>
      </w:r>
      <w:r>
        <w:rPr>
          <w:rFonts w:ascii="arial" w:eastAsia="arial" w:hAnsi="arial" w:cs="arial"/>
          <w:color w:val="000000"/>
          <w:sz w:val="20"/>
          <w:lang w:val="en-US" w:eastAsia="en-US" w:bidi="ar-SA"/>
        </w:rPr>
        <w:t xml:space="preserve"> at s. 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form of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cash, 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in property, stocks, bonds, certificates or other possessions that could be converted to cash,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any beneficial interest in real or personal property held in trust, but does not include the items referred to in section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Again, a ring is an item which can be converted to cash. There is no exclusion for heirlooms. If the Ring exceeded $500 at the applicable time, Mr. Smith was required to declare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evidence did not address the value of the Ring over the period July 23, 1998 through March 17, 1999. It was worth $2,200 in 2010, 11 to 12 years later. The Crown bore the burden of proving that its value exceeded $500 in the period July 23, 1998 through March 17, 1999, and it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March 17, 1999 to September 30, 2002: Disability Benefits under the Disability Benefits Program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From March 17, 1999 through to September 30, 2002, Mr. Smith applied for and received social assistance payments as an individual with Disability status under the </w:t>
      </w:r>
      <w:r>
        <w:rPr>
          <w:rFonts w:ascii="arial" w:eastAsia="arial" w:hAnsi="arial" w:cs="arial"/>
          <w:i/>
          <w:color w:val="000000"/>
          <w:sz w:val="20"/>
          <w:lang w:val="en-US" w:eastAsia="en-US" w:bidi="ar-SA"/>
        </w:rPr>
        <w:t>Disability Benefits Program Act,</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R.S.B.C. 1996, c. 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Throughout that period, s. 4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that persons applying for a disability allowance or benefit must provide the minister with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During the same period, s. 7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further provided that if an allowance or benefit was provided to a person who was not entitled to it, the person was liable to repay the government and the government might recover the amount in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Sections 4 and 7 are set out in Appendix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Throughout the period March 17, 1999 to September 30, 2022, s. 6 (1) of the </w:t>
      </w:r>
      <w:r>
        <w:rPr>
          <w:rFonts w:ascii="arial" w:eastAsia="arial" w:hAnsi="arial" w:cs="arial"/>
          <w:i/>
          <w:color w:val="000000"/>
          <w:sz w:val="20"/>
          <w:lang w:val="en-US" w:eastAsia="en-US" w:bidi="ar-SA"/>
        </w:rPr>
        <w:t>Disability Benefits Program Regulation</w:t>
      </w:r>
      <w:r>
        <w:rPr>
          <w:rFonts w:ascii="arial" w:eastAsia="arial" w:hAnsi="arial" w:cs="arial"/>
          <w:color w:val="000000"/>
          <w:sz w:val="20"/>
          <w:lang w:val="en-US" w:eastAsia="en-US" w:bidi="ar-SA"/>
        </w:rPr>
        <w:t>, B.C. Reg. 79/97 provided that a person in Mr. Smith's circumstances was ineligible for assistance if he had assets amounting to more than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regulation is set out in Appendix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Again, Mr. Smith argued that the Ring was an heirloom, and was not an "asset". The term asset is defined in the </w:t>
      </w:r>
      <w:r>
        <w:rPr>
          <w:rFonts w:ascii="arial" w:eastAsia="arial" w:hAnsi="arial" w:cs="arial"/>
          <w:i/>
          <w:color w:val="000000"/>
          <w:sz w:val="20"/>
          <w:lang w:val="en-US" w:eastAsia="en-US" w:bidi="ar-SA"/>
        </w:rPr>
        <w:t>Disability Benefits Program Regulation</w:t>
      </w:r>
      <w:r>
        <w:rPr>
          <w:rFonts w:ascii="arial" w:eastAsia="arial" w:hAnsi="arial" w:cs="arial"/>
          <w:color w:val="000000"/>
          <w:sz w:val="20"/>
          <w:lang w:val="en-US" w:eastAsia="en-US" w:bidi="ar-SA"/>
        </w:rPr>
        <w:t xml:space="preserve"> at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form of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cash,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in property, stocks, bonds, certificates or other possessions that could be converted to cash,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any beneficial interest in real or personal property held in trust, but does not include the items referred to in section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Again, a ring is an item which can be converted to cash. There is no exclusion for heirlooms. If the Ring exceeded $3,000 at the applicable time, Mr. Smith was required to declare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did not address the value of the Ring over the period March 17, 1999 to September 30, 2002. It was worth less than $3,000 in 2010, 8 to 11 years later. The Crown bore the burden of proving that its value exceeded $3,000 in the period March 17, 1999 to September 30, 2002, and it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September 30, 2002 through April 28, 2004: Disability Benefits under Employment and Assistance for Persons with Disabilities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From the period including September 30, 2002 through April 28, 2004, Mr. Smith applied for and received social assistance payments as an individual with Disability status under the </w:t>
      </w:r>
      <w:r>
        <w:rPr>
          <w:rFonts w:ascii="arial" w:eastAsia="arial" w:hAnsi="arial" w:cs="arial"/>
          <w:i/>
          <w:color w:val="000000"/>
          <w:sz w:val="20"/>
          <w:lang w:val="en-US" w:eastAsia="en-US" w:bidi="ar-SA"/>
        </w:rPr>
        <w:t>Employment and Assistance for Persons with Disabilities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40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Throughout that period, s. 11 of the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provided that for a family unit to be eligible for disability assistance, a recipient must provide the prescribed information and notify the minister of any information that may affect eligibility.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provided that if assistance is provided to a family unit that was not eligible for it, the recipient is liable to repay that amount. Section 19 provided that the government may recover that amount in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Sections 11 and 18 of the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are set out in Appendix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Throughout the period September 30, 2002 through April 28, 2004, s. 10(2) of the </w:t>
      </w:r>
      <w:r>
        <w:rPr>
          <w:rFonts w:ascii="arial" w:eastAsia="arial" w:hAnsi="arial" w:cs="arial"/>
          <w:i/>
          <w:color w:val="000000"/>
          <w:sz w:val="20"/>
          <w:lang w:val="en-US" w:eastAsia="en-US" w:bidi="ar-SA"/>
        </w:rPr>
        <w:t>Employment and Assistance for Persons with Disabilities Regulation,</w:t>
      </w:r>
      <w:r>
        <w:rPr>
          <w:rFonts w:ascii="arial" w:eastAsia="arial" w:hAnsi="arial" w:cs="arial"/>
          <w:color w:val="000000"/>
          <w:sz w:val="20"/>
          <w:lang w:val="en-US" w:eastAsia="en-US" w:bidi="ar-SA"/>
        </w:rPr>
        <w:t xml:space="preserve"> B.C. Reg. 265/2002 provided that a sole applicant with no dependent children and assets with a total value of more than $3,000 is not eligible for disability assistance. The regulation is set out in Appendix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Again, Mr. Smith argued that the Ring was an heirloom, and was not an "asset". The term "asset" is defined in the </w:t>
      </w:r>
      <w:r>
        <w:rPr>
          <w:rFonts w:ascii="arial" w:eastAsia="arial" w:hAnsi="arial" w:cs="arial"/>
          <w:i/>
          <w:color w:val="000000"/>
          <w:sz w:val="20"/>
          <w:lang w:val="en-US" w:eastAsia="en-US" w:bidi="ar-SA"/>
        </w:rPr>
        <w:t>Employment and Assistance for Persons with Disabilities Regulation</w:t>
      </w:r>
      <w:r>
        <w:rPr>
          <w:rFonts w:ascii="arial" w:eastAsia="arial" w:hAnsi="arial" w:cs="arial"/>
          <w:color w:val="000000"/>
          <w:sz w:val="20"/>
          <w:lang w:val="en-US" w:eastAsia="en-US" w:bidi="ar-SA"/>
        </w:rPr>
        <w:t xml:space="preserve"> at s. 1(1)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in any real or personal property that can be converted to cash,</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beneficial interest in real or personal property held in trust,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cash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Again, a ring is an item which can be readily converted to cash. There is no exclusion for heirlooms. If the Ring exceeded $3,000 at the applicable time, Mr. Smith was required to declare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evidence did not address the value of the Ring over the period September 30, 2002 through April 28, 2004. However, even at trial, 6 to 8 years later, it was worth less than $3,000. The Crown bore the burden of proving that its value exceeded $3,000 in the period September 30, 2002 through April 28, 2004, and it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If Mr. Smith failed to declare the Ring to the Crown as required, what if any remedy is the Crown entitled to obtain against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Crown's position at trial was that if a social assistance benefit recipient fails to report a valuable asset, even if that person innocently believed that asset was of insufficient value to require reporting, the person must repay all benefits received while they owned the asset, not just up to the value of the unreported asset. On this basis, the Crown's claim was for about $73,250.</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1994 to July 23,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Section 21 of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provided that the amount of income assistance received by an individual "may be" recovered from that individual as a debt due to the Crown. This gives the Court discretion in whether to make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Mr. Smith did not know the monetary value of the Ring from 1994 to July 23, 1998. He frequently wore the Ring at meetings with government workers regarding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benefits. He did not intentionally withhold information about the value of the Ring. Given the value at trial in 2010 of $2,200, even if the Ring exceeded $500 in value in the period 1994 to July 23, 1998, which was the lowest value that required reporting during that time period, it would not likely have exceeded $500 by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these circumstances, even if the Ring had been worth over $500 in the period 1994 through July 23, 1998, I would not exercise my discretion to require Mr. Smith to repay the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xml:space="preserve"> benefits which he received in this period.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July 23, 1998 to March 17,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Section 12(4) of the </w:t>
      </w:r>
      <w:r>
        <w:rPr>
          <w:rFonts w:ascii="arial" w:eastAsia="arial" w:hAnsi="arial" w:cs="arial"/>
          <w:i/>
          <w:color w:val="000000"/>
          <w:sz w:val="20"/>
          <w:lang w:val="en-US" w:eastAsia="en-US" w:bidi="ar-SA"/>
        </w:rPr>
        <w:t>BC Benefits (Income Assistance) Act</w:t>
      </w:r>
      <w:r>
        <w:rPr>
          <w:rFonts w:ascii="arial" w:eastAsia="arial" w:hAnsi="arial" w:cs="arial"/>
          <w:color w:val="000000"/>
          <w:sz w:val="20"/>
          <w:lang w:val="en-US" w:eastAsia="en-US" w:bidi="ar-SA"/>
        </w:rPr>
        <w:t xml:space="preserve"> provided that income assistance received "may be recovered" by the Crown in a court of competent jurisdiction. Again, this gives the Court discretion in whether to make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Again, Mr. Smith did not know the monetary value of the Ring in the period July 23, 1998 to March 17, 1999. Again, he frequently wore the Ring at meetings with government workers regarding </w:t>
      </w:r>
      <w:r>
        <w:rPr>
          <w:rFonts w:ascii="arial" w:eastAsia="arial" w:hAnsi="arial" w:cs="arial"/>
          <w:i/>
          <w:color w:val="000000"/>
          <w:sz w:val="20"/>
          <w:lang w:val="en-US" w:eastAsia="en-US" w:bidi="ar-SA"/>
        </w:rPr>
        <w:t>BC Benefits (Income Assistance) Act</w:t>
      </w:r>
      <w:r>
        <w:rPr>
          <w:rFonts w:ascii="arial" w:eastAsia="arial" w:hAnsi="arial" w:cs="arial"/>
          <w:color w:val="000000"/>
          <w:sz w:val="20"/>
          <w:lang w:val="en-US" w:eastAsia="en-US" w:bidi="ar-SA"/>
        </w:rPr>
        <w:t xml:space="preserve"> benefits. He did not intentionally withhold information about the value of the Ring. Given the value at trial in 2010 of $2,200, even if the Ring exceeded $500 in value in the period July 23, 1998 to March 17, 1999, it would not likely have exceeded $500 by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these circumstances, even if the Ring had been worth over $500 in the period July 23, 1998 to March 17, 1999, I would not exercise my discretion to require Mr. Smith to repay the </w:t>
      </w:r>
      <w:r>
        <w:rPr>
          <w:rFonts w:ascii="arial" w:eastAsia="arial" w:hAnsi="arial" w:cs="arial"/>
          <w:i/>
          <w:color w:val="000000"/>
          <w:sz w:val="20"/>
          <w:lang w:val="en-US" w:eastAsia="en-US" w:bidi="ar-SA"/>
        </w:rPr>
        <w:t>BC Benefits (Income Assistance) Act</w:t>
      </w:r>
      <w:r>
        <w:rPr>
          <w:rFonts w:ascii="arial" w:eastAsia="arial" w:hAnsi="arial" w:cs="arial"/>
          <w:color w:val="000000"/>
          <w:sz w:val="20"/>
          <w:lang w:val="en-US" w:eastAsia="en-US" w:bidi="ar-SA"/>
        </w:rPr>
        <w:t xml:space="preserve"> benefits which he received in this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March 17, 1999 to September 30,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Section 7(4) of the </w:t>
      </w:r>
      <w:r>
        <w:rPr>
          <w:rFonts w:ascii="arial" w:eastAsia="arial" w:hAnsi="arial" w:cs="arial"/>
          <w:i/>
          <w:color w:val="000000"/>
          <w:sz w:val="20"/>
          <w:lang w:val="en-US" w:eastAsia="en-US" w:bidi="ar-SA"/>
        </w:rPr>
        <w:t>Disability Benefits Program Act</w:t>
      </w:r>
      <w:r>
        <w:rPr>
          <w:rFonts w:ascii="arial" w:eastAsia="arial" w:hAnsi="arial" w:cs="arial"/>
          <w:color w:val="000000"/>
          <w:sz w:val="20"/>
          <w:lang w:val="en-US" w:eastAsia="en-US" w:bidi="ar-SA"/>
        </w:rPr>
        <w:t xml:space="preserve"> provided that the amount of disability benefits received "may be recovered" by the Crown in a court of competent jurisdiction. Again, this gives the Court discretion in whether to make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Again, Mr. Smith did not know the monetary value of the Ring in the period March 17, 1999 to September 30, 2001. Again, he frequently wore the Ring at meetings with government workers regarding </w:t>
      </w:r>
      <w:r>
        <w:rPr>
          <w:rFonts w:ascii="arial" w:eastAsia="arial" w:hAnsi="arial" w:cs="arial"/>
          <w:i/>
          <w:color w:val="000000"/>
          <w:sz w:val="20"/>
          <w:lang w:val="en-US" w:eastAsia="en-US" w:bidi="ar-SA"/>
        </w:rPr>
        <w:t>Disability Benefits Program Act</w:t>
      </w:r>
      <w:r>
        <w:rPr>
          <w:rFonts w:ascii="arial" w:eastAsia="arial" w:hAnsi="arial" w:cs="arial"/>
          <w:color w:val="000000"/>
          <w:sz w:val="20"/>
          <w:lang w:val="en-US" w:eastAsia="en-US" w:bidi="ar-SA"/>
        </w:rPr>
        <w:t xml:space="preserve"> benefits. He did not intentionally withhold information about the value of the Ring. Given the value at trial in 2010 of $2,200, it is unlikely that the Ring exceeded $3,000 in value in the period March 17, 1999 to September 30, 2002. Even if it did, it would not likely have exceeded $3,000 by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these circumstances, even if the Ring had been worth over $3,000 in the period March 17, 1999 to September 30, 2002, I would not exercise my discretion to require Mr. Smith to repay the </w:t>
      </w:r>
      <w:r>
        <w:rPr>
          <w:rFonts w:ascii="arial" w:eastAsia="arial" w:hAnsi="arial" w:cs="arial"/>
          <w:i/>
          <w:color w:val="000000"/>
          <w:sz w:val="20"/>
          <w:lang w:val="en-US" w:eastAsia="en-US" w:bidi="ar-SA"/>
        </w:rPr>
        <w:t>Disability Benefits Program Act</w:t>
      </w:r>
      <w:r>
        <w:rPr>
          <w:rFonts w:ascii="arial" w:eastAsia="arial" w:hAnsi="arial" w:cs="arial"/>
          <w:color w:val="000000"/>
          <w:sz w:val="20"/>
          <w:lang w:val="en-US" w:eastAsia="en-US" w:bidi="ar-SA"/>
        </w:rPr>
        <w:t xml:space="preserve"> benefits which he received in this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September 30, 2002 through April 28,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Section 19(1) of the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provides that the disability assistance received "may be recovered" by the Crown in a court of competent jurisdiction. Again, this gives the Court discretion in whether to make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Again, Mr. Smith did not know the monetary value of the Ring in the period September 30, 2002 through April 28, 2004. Again, he frequently wore the Ring at meetings with government workers regarding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benefits. He did not intentionally withhold information about the value of the Ring. Given the value at trial in 2010 of $2,200, even if the Ring exceeded $3,000 in value in the period September 30, 2002 through April 28, 2004, it would not likely have exceeded $3,000 by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these circumstances, even if the Ring had been worth over $3,000 in the period September 30, 2002 through April 28, 2004, I would not exercise my discretion to require Mr. Smith to repay the </w:t>
      </w:r>
      <w:r>
        <w:rPr>
          <w:rFonts w:ascii="arial" w:eastAsia="arial" w:hAnsi="arial" w:cs="arial"/>
          <w:i/>
          <w:color w:val="000000"/>
          <w:sz w:val="20"/>
          <w:lang w:val="en-US" w:eastAsia="en-US" w:bidi="ar-SA"/>
        </w:rPr>
        <w:t>EAPDA</w:t>
      </w:r>
      <w:r>
        <w:rPr>
          <w:rFonts w:ascii="arial" w:eastAsia="arial" w:hAnsi="arial" w:cs="arial"/>
          <w:color w:val="000000"/>
          <w:sz w:val="20"/>
          <w:lang w:val="en-US" w:eastAsia="en-US" w:bidi="ar-SA"/>
        </w:rPr>
        <w:t xml:space="preserve"> benefits which he received in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a result, the Crown's counterclaim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summary, Mr. Smith is entitled to judgment for $3,840, consisting of $3,740 for his lost articles, and $100 for the cost of towing his motorcycle. His claim for punitive and exemplary damages is dismissed. The Crown's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Crown sought leave to address the question of costs following release of these Reasons for Judgment. If the parties are unable to agree on costs, they should arrange a one-hour hearing before me through the registry.</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1994 to October 8, 1996, the </w:t>
      </w:r>
      <w:r>
        <w:rPr>
          <w:rFonts w:ascii="arial" w:eastAsia="arial" w:hAnsi="arial" w:cs="arial"/>
          <w:i/>
          <w:color w:val="000000"/>
          <w:sz w:val="20"/>
          <w:lang w:val="en-US" w:eastAsia="en-US" w:bidi="ar-SA"/>
        </w:rPr>
        <w:t>Guaranteed Available Income for Need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GAIN</w:t>
      </w:r>
      <w:r>
        <w:rPr>
          <w:rFonts w:ascii="arial" w:eastAsia="arial" w:hAnsi="arial" w:cs="arial"/>
          <w:color w:val="000000"/>
          <w:sz w:val="20"/>
          <w:lang w:val="en-US" w:eastAsia="en-US" w:bidi="ar-SA"/>
        </w:rPr>
        <w:t>"), R.S.B.C. 1979, c. 158 included the following paragraphs 19(1) and 21:</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receiving income assistance or social services shall, in accordance with the regulations, forthwith give notice of</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change in circumstances affecting his or his dependents' eligibility;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or resources in excess of the amount previously reported.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this Act or the regulations, but subject to subsection (2), where, due to nondisclosure of facts, false misrepresentation, error or any other cause, an individual has received income assistance or social services to which he is not entitled, the amount so received or the cost of the social services may be recovered from that individual in court as a debt due to the Crown, or may be deducted from subsequent payments of income assistance.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deduction may be made under subsection (1)</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for which the payment is made, the individual or any of the individual's dependents receive income that, but for this section, would be exempted when determining in accordance with the regulations the amount of the income assistance payment,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deducted is not more than the amount of the income referred to in paragraph (a).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April 29, 1992 to September 15, 1995, the </w:t>
      </w:r>
      <w:r>
        <w:rPr>
          <w:rFonts w:ascii="arial" w:eastAsia="arial" w:hAnsi="arial" w:cs="arial"/>
          <w:i/>
          <w:color w:val="000000"/>
          <w:sz w:val="20"/>
          <w:lang w:val="en-US" w:eastAsia="en-US" w:bidi="ar-SA"/>
        </w:rPr>
        <w:t>GAIN Regulations</w:t>
      </w:r>
      <w:r>
        <w:rPr>
          <w:rFonts w:ascii="arial" w:eastAsia="arial" w:hAnsi="arial" w:cs="arial"/>
          <w:color w:val="000000"/>
          <w:sz w:val="20"/>
          <w:lang w:val="en-US" w:eastAsia="en-US" w:bidi="ar-SA"/>
        </w:rPr>
        <w:t>, B.C. Reg. 479/76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Except as otherwise provided in these regulations, there is no eligibility for income assistance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individual under 55 years of age who has no dependants and has assets exceeding $2,500 in value ...</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September 15, 1995 until October 8, 1996, the </w:t>
      </w:r>
      <w:r>
        <w:rPr>
          <w:rFonts w:ascii="arial" w:eastAsia="arial" w:hAnsi="arial" w:cs="arial"/>
          <w:i/>
          <w:color w:val="000000"/>
          <w:sz w:val="20"/>
          <w:lang w:val="en-US" w:eastAsia="en-US" w:bidi="ar-SA"/>
        </w:rPr>
        <w:t>GAIN Regulations</w:t>
      </w:r>
      <w:r>
        <w:rPr>
          <w:rFonts w:ascii="arial" w:eastAsia="arial" w:hAnsi="arial" w:cs="arial"/>
          <w:color w:val="000000"/>
          <w:sz w:val="20"/>
          <w:lang w:val="en-US" w:eastAsia="en-US" w:bidi="ar-SA"/>
        </w:rPr>
        <w:t xml:space="preserve"> provided included the following: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these regulations, the following persons are not eligible for income assistance: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 under 55 years of age who</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a handicapped person,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 dependants,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assets of more than $500.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B</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July 23, 1998 to March 17, 1999, the </w:t>
      </w:r>
      <w:r>
        <w:rPr>
          <w:rFonts w:ascii="arial" w:eastAsia="arial" w:hAnsi="arial" w:cs="arial"/>
          <w:i/>
          <w:color w:val="000000"/>
          <w:sz w:val="20"/>
          <w:lang w:val="en-US" w:eastAsia="en-US" w:bidi="ar-SA"/>
        </w:rPr>
        <w:t>BC Benefits (Income Assistance)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27</w:t>
        </w:r>
      </w:hyperlink>
      <w:r>
        <w:rPr>
          <w:rFonts w:ascii="arial" w:eastAsia="arial" w:hAnsi="arial" w:cs="arial"/>
          <w:color w:val="000000"/>
          <w:sz w:val="20"/>
          <w:lang w:val="en-US" w:eastAsia="en-US" w:bidi="ar-SA"/>
        </w:rPr>
        <w:t xml:space="preserve">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For the purpose of determining or auditing eligibility for income assistance, hardship assistance or benefits or referring youth to employability programs or auditing their participation in those programs, the minister may do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an applicant or recipient to supply the minister with information within the time and in the manner specified by the minister;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 verification of any information supplied to the minister by an applicant or recipient;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an applicant or recipient to supply verification of any information supplied to the minister by the applicant or recipient.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recipient must notify the minister, in the manner and within the time specified by regulation, of any change of circumstances affecting the eligibility, under this Act, of the recipient or a dependant.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fails to comply with a direction under subsection (1) (a) or (c) or with subsection (2), the minister may do one or more of the following: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the person and any dependants ineligible for income assistance, hardship assistance or benefits until the person complies;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any income assistance or benefits provided to or for the person or a dependant.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If income assistance, hardship assistance or a benefit is provided to or for a person who is not entitled to it, that person is liable to repay to the government the amount of income assistance or hardship assistance or the value of the benefit to which the person was not entitled.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that a person is liable to repay under subsection (1) or under an agreement entered into under subsection (2) is a debt due to the government and may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recovered by it in a court of competent jurisdiction,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deducted by it from any subsequent income assistance or benefit of that person or from an amount payable to that person by the government under a prescribed enactment.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minister's decision about the amount a person is liable to repay under subsection (1) or under an agreement entered into under subsection (2) is not open to appeal under section 11 (3).</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July 23, 1998 to March 17, 1999, the </w:t>
      </w:r>
      <w:r>
        <w:rPr>
          <w:rFonts w:ascii="arial" w:eastAsia="arial" w:hAnsi="arial" w:cs="arial"/>
          <w:i/>
          <w:color w:val="000000"/>
          <w:sz w:val="20"/>
          <w:lang w:val="en-US" w:eastAsia="en-US" w:bidi="ar-SA"/>
        </w:rPr>
        <w:t>Income Assistance Regulation</w:t>
      </w:r>
      <w:r>
        <w:rPr>
          <w:rFonts w:ascii="arial" w:eastAsia="arial" w:hAnsi="arial" w:cs="arial"/>
          <w:color w:val="000000"/>
          <w:sz w:val="20"/>
          <w:lang w:val="en-US" w:eastAsia="en-US" w:bidi="ar-SA"/>
        </w:rPr>
        <w:t>, B.C. Reg. 75/97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The following persons are not eligible for income assistance: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under 55 years of age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has no dependants,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whose assets amount to more than $500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C</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March 17, 1999 to September 30, 2002, the </w:t>
      </w:r>
      <w:r>
        <w:rPr>
          <w:rFonts w:ascii="arial" w:eastAsia="arial" w:hAnsi="arial" w:cs="arial"/>
          <w:i/>
          <w:color w:val="000000"/>
          <w:sz w:val="20"/>
          <w:lang w:val="en-US" w:eastAsia="en-US" w:bidi="ar-SA"/>
        </w:rPr>
        <w:t>Disability Benefits Program Act,</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R.S.B.C. 1996, c. 97</w:t>
        </w:r>
      </w:hyperlink>
      <w:r>
        <w:rPr>
          <w:rFonts w:ascii="arial" w:eastAsia="arial" w:hAnsi="arial" w:cs="arial"/>
          <w:color w:val="000000"/>
          <w:sz w:val="20"/>
          <w:lang w:val="en-US" w:eastAsia="en-US" w:bidi="ar-SA"/>
        </w:rPr>
        <w:t xml:space="preserve">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For the purpose of determining or auditing eligibility for disability allowances or benefits, the minister may do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 person who has applied for a disability allowance or benefit, or to or for whom a disability allowance or benefit is provided, to supply the minister with information within the time and in the manner specified by the minister;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 verification of any information supplied by a person referred to in paragraph (a);</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 person referred to in paragraph (a) to supply verification of any information supplied by that person.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to or for whom a disability allowance or benefit is provided must notify the minister, within the time and in the manner specified by regulation, of any change of circumstances affecting the eligibility, under this Act, of that person or a dependant.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fails to comply with a direction under subsection (1)(a) or (c) or with subsection (2), the minister may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person and any dependants ineligible for a disability allowance or benefit until the person complies, 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a disability allowance or benefit provided to or for the person or any dependant.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If a disability allowance or benefit is provided to a person who is not entitled to it, that person is liable to repay to the government the amount of the allowance or the value of the benefit to which the person was not entitled.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that a person is liable to repay under subsection (1) or under an agreement entered into under subsection (2) is a debt due to the government and may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recovered by it in a court of competent jurisdiction, or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deducted by it from a subsequent disability allowance or benefit of that person or from an amount payable to that person by the government under a prescribed enactment.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minister's decision about the amount a person is liable to repay under subsection (1) or under an agreement entered into under subsection (2) is not open to appeal under section 6 (3).</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March 17, 1999 to September 30, 2002, the </w:t>
      </w:r>
      <w:r>
        <w:rPr>
          <w:rFonts w:ascii="arial" w:eastAsia="arial" w:hAnsi="arial" w:cs="arial"/>
          <w:i/>
          <w:color w:val="000000"/>
          <w:sz w:val="20"/>
          <w:lang w:val="en-US" w:eastAsia="en-US" w:bidi="ar-SA"/>
        </w:rPr>
        <w:t>Disability Benefits Program Regulation</w:t>
      </w:r>
      <w:r>
        <w:rPr>
          <w:rFonts w:ascii="arial" w:eastAsia="arial" w:hAnsi="arial" w:cs="arial"/>
          <w:color w:val="000000"/>
          <w:sz w:val="20"/>
          <w:lang w:val="en-US" w:eastAsia="en-US" w:bidi="ar-SA"/>
        </w:rPr>
        <w:t>, B.C. Reg. 79/97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The following are not eligible for assistance: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no dependents and has assets amounting to more than $3,000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D</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September 30, 2002 to January 1, 2003, the </w:t>
      </w:r>
      <w:r>
        <w:rPr>
          <w:rFonts w:ascii="arial" w:eastAsia="arial" w:hAnsi="arial" w:cs="arial"/>
          <w:i/>
          <w:color w:val="000000"/>
          <w:sz w:val="20"/>
          <w:lang w:val="en-US" w:eastAsia="en-US" w:bidi="ar-SA"/>
        </w:rPr>
        <w:t>Employment and Assistance for Persons with Disabilities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40</w:t>
      </w:r>
      <w:r>
        <w:rPr>
          <w:rFonts w:ascii="arial" w:eastAsia="arial" w:hAnsi="arial" w:cs="arial"/>
          <w:color w:val="000000"/>
          <w:sz w:val="20"/>
          <w:lang w:val="en-US" w:eastAsia="en-US" w:bidi="ar-SA"/>
        </w:rPr>
        <w:t xml:space="preserve">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For a family unit to be eligible for disability assistance, a recipient, in the manner and within the time specified by regulation,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to the minister a report that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the prescribed form,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prescribed information,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 the minister of any change in circumstances or information that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affect the eligibility of the family unit,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previously provided to the minister.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under subsection (1) (a) is deemed not to have been submitted unless the accuracy of the information provided in it is affirmed by the signature of each recipient.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If disability assistance, hardship assistance or a supplement is provided to or for a family unit that is not eligible for it, recipients who are members of the family unit during the period for which the overpayment is provided are liable to repay to the government the amount or value of the overpayment provided for that period.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An amount that a person is liable to repay under this Act or the regulations is a debt due to the government that may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recovered in a court that has jurisdiction, or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deducted, in accordance with the regulations from any subsequent disability assistance, hardship assistance or supplement for which the person's family unit is eligible or from an amount payable to the person by the government under a prescribed enactment.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 2003, an amendment came into force amending s. 11(1)(a)(i) to read "is in the form prescribed by the minister". Otherwise, sections 11(1), 18(1) and 19(1) remained the same through April 28, 2004.</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including September 30, 2002 to April 28, 2004, the </w:t>
      </w:r>
      <w:r>
        <w:rPr>
          <w:rFonts w:ascii="arial" w:eastAsia="arial" w:hAnsi="arial" w:cs="arial"/>
          <w:i/>
          <w:color w:val="000000"/>
          <w:sz w:val="20"/>
          <w:lang w:val="en-US" w:eastAsia="en-US" w:bidi="ar-SA"/>
        </w:rPr>
        <w:t>Employment and Assistance for Persons with Disabilities Regulation,</w:t>
      </w:r>
      <w:r>
        <w:rPr>
          <w:rFonts w:ascii="arial" w:eastAsia="arial" w:hAnsi="arial" w:cs="arial"/>
          <w:color w:val="000000"/>
          <w:sz w:val="20"/>
          <w:lang w:val="en-US" w:eastAsia="en-US" w:bidi="ar-SA"/>
        </w:rPr>
        <w:t xml:space="preserve"> B.C. Reg. 265/2002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A family unit is not eligible for disability assistance if any of the following apply: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sole applicant or recipient has no dependent children and has assets with a total value of more than $3,000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Stein v. Allan, [2019] B.C.J. No. 1911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Milman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and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S190466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Cheryl Stein, Plaintiff, and Elizabeth J. Allan and Norton Rose Fulbright Canada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jc w:val="both"/>
        <w:rPr>
          <w:rFonts w:ascii="arial" w:eastAsia="arial" w:hAnsi="arial" w:cs="arial"/>
          <w:sz w:val="20"/>
          <w:lang w:val="en-US" w:eastAsia="en-US" w:bidi="ar-SA"/>
        </w:rPr>
      </w:pPr>
      <w:bookmarkStart w:id="41" w:name="Counsel_6"/>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C. 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Hinkson, M. Gillespie.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6"/>
      <w:bookmarkEnd w:id="42"/>
      <w:r>
        <w:pict>
          <v:line id="_x0000_s1048"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Background Facts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Related Litigation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Origins of the Litigation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Compensation Proceedings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Human Rights Proceedings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Freeze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Retaliation Complaint Proceedings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Accommodation Complaint Proceedings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Keebler Action No. 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Keebler Action No. 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9. Petitions Seeking to Revive the Previously Dismissed Judicial Review Applications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New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This Action</w:t>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Application to Strike the Claim under Rule 9-5(1)</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9-5(1)</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9-5(1)(a)</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9-5(1)(b) and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Application under s. 18 of the SCA</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W.B. MILMAN J."/>
            <w:bookmarkEnd w:id="43"/>
            <w:r>
              <w:rPr>
                <w:rFonts w:ascii="arial" w:eastAsia="arial" w:hAnsi="arial" w:cs="arial"/>
                <w:b/>
                <w:color w:val="000000"/>
                <w:sz w:val="30"/>
                <w:lang w:val="en-US" w:eastAsia="en-US" w:bidi="ar-SA"/>
              </w:rPr>
              <w:t>W.B. MILMAN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Elizabeth J. Allan and Norton Rose Fulbright Canada LLP, to have the claim struck, without leave to amend, under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to have the plaintiff, Ms. Stein, declared a vexatious litigant and barred, as such, from commencing further proceedings without leave of the Court,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Stein opposes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have concluded that the relief sought should be granted essentially on the terms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Related Litigation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Origins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is the latest in a long series of proceedings commenced by Ms. Stein in this Court and elsewhere through which she has been seeking redress for alleged mistreatment at the hands of her former employers, Dr. Conrad G. Keebler, his wife, Lois Keebler (the "Keeblers") and others. Ms. Stein worked in the Keeblers' medical office as a cardiac technologist for a period of time between December 12, 2011 and February 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Stein's central allegation against the Keeblers is that they forced her to administer too many stress tests, as many as ten or twelve per day, after promising in September 2012 or earlier to accommodate her by limiting the number of stress tests she must administer each day to eight. She alleges that the excess work that she was made to do in this way caused her various kinds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Stein has also alleged that the Keeblers, in an effort to suppress the truth of the matter, lied in their testimony in various fora and have falsified records (in particular, day sheets and a medical services plan ["MSP"] billing record) purporting to show the number of stress tests that she actually administered during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Stein has been unsuccessful in every one of these proceedings, although a few remain under appeal. I canvass the related proceedings and their procedural history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Workers' Compensation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18, 2013, Ms. Stein initiated a "teleclaim" with WorkSafeBC. In it, she alleged that she had developed a mental health injury on March 13, 2013 while working for the Keeblers due to the impact on her of having to administer five stress tests in a row with no break. She also complained of having been bullied by a co-worker and Ms. Keebler, who was the office manager. WorkSafeBC denied her claim by letter dated April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Stein appealed that decision to the Workers' Compensation Board Review Division and from there to the Workers' Compensation Appeal Tribunal ("WCAT"). She was unsuccessful at both levels on the grounds that she had not suffered a compensable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November 21, 2014, she sought judicial review of the WCAT decision in this Court (S194004 - the "Workers' Compensation Proceedings"). The petition was dismissed by Justice Saunders on May 14, 2018, in reasons indexed as </w:t>
      </w:r>
      <w:r>
        <w:rPr>
          <w:rFonts w:ascii="arial" w:eastAsia="arial" w:hAnsi="arial" w:cs="arial"/>
          <w:i/>
          <w:color w:val="000000"/>
          <w:sz w:val="20"/>
          <w:lang w:val="en-US" w:eastAsia="en-US" w:bidi="ar-SA"/>
        </w:rPr>
        <w:t>Stein v. British Columbia (Workers Compensation Appeal Tribunal)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2018 BCSC 778</w:t>
        </w:r>
      </w:hyperlink>
      <w:r>
        <w:rPr>
          <w:rFonts w:ascii="arial" w:eastAsia="arial" w:hAnsi="arial" w:cs="arial"/>
          <w:color w:val="000000"/>
          <w:sz w:val="20"/>
          <w:lang w:val="en-US" w:eastAsia="en-US" w:bidi="ar-SA"/>
        </w:rPr>
        <w:t>. Ms. Stein has since appealed that decision to the Court of Appeal. The appeal was heard on March 14, 2019 and remains under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context of those proceedings, Ms. Stein brought a number of interlocutory applications, including four applications seeking unredacted MSP billing records and day sheets and an application to amend her pleading to include an allegation of perjury against Ms. Keebler and another former co-worker.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Human Rights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proceedings began with a complaint that Ms. Stein made to the British Columbia Human Rights Tribunal ("BCHRT") after having been denied employment at Vancouver General Hospital on two occasions, the first in 2010 and the second in 2011. She alleged that in refusing her employment, the health authority had discriminated against her on the basis of age, ancestry, place of origin, race and, as the complaint was later amended, mental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May 31, 2013, by a decision indexed as </w:t>
      </w:r>
      <w:r>
        <w:rPr>
          <w:rFonts w:ascii="arial" w:eastAsia="arial" w:hAnsi="arial" w:cs="arial"/>
          <w:i/>
          <w:color w:val="000000"/>
          <w:sz w:val="20"/>
          <w:lang w:val="en-US" w:eastAsia="en-US" w:bidi="ar-SA"/>
        </w:rPr>
        <w:t>Stein v. Vancouver Coastal Health Authority and another (No. 1)</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2013 BCHRT 145</w:t>
        </w:r>
      </w:hyperlink>
      <w:r>
        <w:rPr>
          <w:rFonts w:ascii="arial" w:eastAsia="arial" w:hAnsi="arial" w:cs="arial"/>
          <w:color w:val="000000"/>
          <w:sz w:val="20"/>
          <w:lang w:val="en-US" w:eastAsia="en-US" w:bidi="ar-SA"/>
        </w:rPr>
        <w:t>, the BCHRT summarily dismissed that aspect of the complaint alleging discrimination based on ancestry, place of origin, race or mental disability, on the grounds that there was no reasonable likelihood that Ms. Stein would succeed with that aspect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complaint of age discrimination proceeded to a hearing. On October 9, 2014, by a decision indexed as </w:t>
      </w:r>
      <w:r>
        <w:rPr>
          <w:rFonts w:ascii="arial" w:eastAsia="arial" w:hAnsi="arial" w:cs="arial"/>
          <w:i/>
          <w:color w:val="000000"/>
          <w:sz w:val="20"/>
          <w:lang w:val="en-US" w:eastAsia="en-US" w:bidi="ar-SA"/>
        </w:rPr>
        <w:t>Stein v. Vancouver Coastal Health Authority and another (No. 2)</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2014 BCHRT 227</w:t>
        </w:r>
      </w:hyperlink>
      <w:r>
        <w:rPr>
          <w:rFonts w:ascii="arial" w:eastAsia="arial" w:hAnsi="arial" w:cs="arial"/>
          <w:color w:val="000000"/>
          <w:sz w:val="20"/>
          <w:lang w:val="en-US" w:eastAsia="en-US" w:bidi="ar-SA"/>
        </w:rPr>
        <w:t>, the BCHRT dismissed that aspect of the complaint as well. In doing so, the BCHRT awarded costs against Ms. Stein, on the basis that, among other things, she had advanced "completely baseless allegations of improper conduct by ... counsel for the respondent." Those allegations included a complaint, later withdrawn, that her email account had been hacked by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Stein applied to the BCHRT for a reconsideration of that decision but was unsuccessful: </w:t>
      </w:r>
      <w:r>
        <w:rPr>
          <w:rFonts w:ascii="arial" w:eastAsia="arial" w:hAnsi="arial" w:cs="arial"/>
          <w:i/>
          <w:color w:val="000000"/>
          <w:sz w:val="20"/>
          <w:lang w:val="en-US" w:eastAsia="en-US" w:bidi="ar-SA"/>
        </w:rPr>
        <w:t>Stein v. Vancouver Coastal Health Authority and another (No. 3)</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2015 BCHRT 180</w:t>
        </w:r>
      </w:hyperlink>
      <w:r>
        <w:rPr>
          <w:rFonts w:ascii="arial" w:eastAsia="arial" w:hAnsi="arial" w:cs="arial"/>
          <w:color w:val="000000"/>
          <w:sz w:val="20"/>
          <w:lang w:val="en-US" w:eastAsia="en-US" w:bidi="ar-SA"/>
        </w:rPr>
        <w:t xml:space="preserve">. She sought judicial review in this Court (S149482 - the "Human Rights Proceedings"), but was unsuccessful. Her subsequent appeal to the Court of Appeal was likewise unsuccessful: </w:t>
      </w:r>
      <w:r>
        <w:rPr>
          <w:rFonts w:ascii="arial" w:eastAsia="arial" w:hAnsi="arial" w:cs="arial"/>
          <w:i/>
          <w:color w:val="000000"/>
          <w:sz w:val="20"/>
          <w:lang w:val="en-US" w:eastAsia="en-US" w:bidi="ar-SA"/>
        </w:rPr>
        <w:t>Stein v. British Columbia (Human Rights Tribunal)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2018 BCCA 264</w:t>
        </w:r>
      </w:hyperlink>
      <w:r>
        <w:rPr>
          <w:rFonts w:ascii="arial" w:eastAsia="arial" w:hAnsi="arial" w:cs="arial"/>
          <w:color w:val="000000"/>
          <w:sz w:val="20"/>
          <w:lang w:val="en-US" w:eastAsia="en-US" w:bidi="ar-SA"/>
        </w:rPr>
        <w:t>. From there, she sought leave to appeal from that decision to the Supreme Court of Canada, which application was dismissed with costs on March 28, 2019.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Freeze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July 8, 2016, Ms. Stein commenced an action in this Court (S166283 - the "Freeze Action") against Mr. Freeze, one of the respondents in the Human Rights Proceedings, alleging that he had defamed her by lying in his testimony before the BCHRT. In an oral ruling pronounced on January 29, 2018, Justice Mayer dismissed the action under Rules 9-5(1)(a) and 9-6(5)(a). In awarding costs against her, Mayer J. stated as follows at paras. 36-37 of his oral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your allegations of defamation, in my view, are offensive ... I am ordering costs against you in this case because you commenced this action. I believe that it was fatally flawed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The Retaliation Complaint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proceedings began with a fresh complaint to the BCHRT that the Keeblers had improperly retaliated against her in various ways for the Human Rights Proceedings (including by terminating her employment and opposing the relief she sought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May 12, 2015, the BCHRT dismissed the complaint: </w:t>
      </w:r>
      <w:r>
        <w:rPr>
          <w:rFonts w:ascii="arial" w:eastAsia="arial" w:hAnsi="arial" w:cs="arial"/>
          <w:i/>
          <w:color w:val="000000"/>
          <w:sz w:val="20"/>
          <w:lang w:val="en-US" w:eastAsia="en-US" w:bidi="ar-SA"/>
        </w:rPr>
        <w:t>Stein v. Keebler and another</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2015 BCHRT 82</w:t>
        </w:r>
      </w:hyperlink>
      <w:r>
        <w:rPr>
          <w:rFonts w:ascii="arial" w:eastAsia="arial" w:hAnsi="arial" w:cs="arial"/>
          <w:color w:val="000000"/>
          <w:sz w:val="20"/>
          <w:lang w:val="en-US" w:eastAsia="en-US" w:bidi="ar-SA"/>
        </w:rPr>
        <w:t xml:space="preserve">. Her subsequent application for a reconsideration of that decision was likewise dismissed: </w:t>
      </w:r>
      <w:hyperlink r:id="rId178" w:history="1">
        <w:r>
          <w:rPr>
            <w:rFonts w:ascii="arial" w:eastAsia="arial" w:hAnsi="arial" w:cs="arial"/>
            <w:i/>
            <w:color w:val="0077CC"/>
            <w:sz w:val="20"/>
            <w:u w:val="single"/>
            <w:shd w:val="clear" w:color="auto" w:fill="FFFFFF"/>
            <w:lang w:val="en-US" w:eastAsia="en-US" w:bidi="ar-SA"/>
          </w:rPr>
          <w:t>2015 BCHRT 122</w:t>
        </w:r>
      </w:hyperlink>
      <w:r>
        <w:rPr>
          <w:rFonts w:ascii="arial" w:eastAsia="arial" w:hAnsi="arial" w:cs="arial"/>
          <w:color w:val="000000"/>
          <w:sz w:val="20"/>
          <w:lang w:val="en-US" w:eastAsia="en-US" w:bidi="ar-SA"/>
        </w:rPr>
        <w:t xml:space="preserve">. The BCHRT awarded costs against her in reasons indexed as </w:t>
      </w:r>
      <w:r>
        <w:rPr>
          <w:rFonts w:ascii="arial" w:eastAsia="arial" w:hAnsi="arial" w:cs="arial"/>
          <w:i/>
          <w:color w:val="000000"/>
          <w:sz w:val="20"/>
          <w:lang w:val="en-US" w:eastAsia="en-US" w:bidi="ar-SA"/>
        </w:rPr>
        <w:t>Stein v. Keebler and another (No. 3)</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2015 BCHRT 193</w:t>
        </w:r>
      </w:hyperlink>
      <w:r>
        <w:rPr>
          <w:rFonts w:ascii="arial" w:eastAsia="arial" w:hAnsi="arial" w:cs="arial"/>
          <w:color w:val="000000"/>
          <w:sz w:val="20"/>
          <w:lang w:val="en-US" w:eastAsia="en-US" w:bidi="ar-SA"/>
        </w:rPr>
        <w:t>. The rationale for the adverse costs award was said to include, among other things, her "improper conduct ... in repeatedly making improper allegations of perjury against the Respondents and that their legal counsel had fabricated a document which was introduced into the proceeding." The decision goes on to state that the allegations against counsel were "of significant concern" because, among other things, she "has made such allegations against counsel previously ... for which an order of costs was made" and the previous costs award "has clearly not deterred her from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9, 2015, Ms. Stein filed a petition in this Court (S158397 - the "Retaliation Complaint Proceedings") seeking judicial review of the decision. That proceeding ended with a consent order dated January 24, 2019 dismissing the petition as if judgment had been pronounced following a hearing on the merits, but with no costs to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Retaliation Complaint Proceedings were extant, Ms. Stein applied to this Court for production of day sheets and MSP records from the Keeblers and to have a judge review the unredacted versions of those documents. The application came on for hearing on June 22, 2017 but was adjourned generally and never reset.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The Accommodation Complaint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These proceedings began with yet another complaint brought by Ms. Stein to the BCHRT. In it, she alleged that the Keeblers and Ms. Derrick (a former co-worker) had discriminated against her based on her mental disability when she was made to administer more than eight stress tests on each of January 28, March 4 and March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context of that proceeding, the BCHRT ordered Dr. Keebler to produce certain MSP billing records and day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By decisions dated May 7, 2015 and May 11, 2016, the BCHRT dismissed the complaint because of Ms. Stein's failure to produce certain records that she had been ordered to produce. On July 8, 2016, Ms. Stein filed a petition in this Court (S166287 - the "Accommodation Complaint Proceedings") seeking judicial review of the dismissal. The petition was ultimately dismissed by Justice Myers on July 22, 2019 in reasons indexed as </w:t>
      </w:r>
      <w:r>
        <w:rPr>
          <w:rFonts w:ascii="arial" w:eastAsia="arial" w:hAnsi="arial" w:cs="arial"/>
          <w:i/>
          <w:color w:val="000000"/>
          <w:sz w:val="20"/>
          <w:lang w:val="en-US" w:eastAsia="en-US" w:bidi="ar-SA"/>
        </w:rPr>
        <w:t>Stein v. Keebler</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2019 BCSC 1194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the course of the judicial review proceeding in this Court, Ms. Stein applied on several occasions for production of documents, including the MSP billing records and day sheets, to seal the court file and anonymize the style of cause. The first document production application was dismissed by Justice McEwan, with leave to reapply. The second was dismissed by Justice Winteringham by order made December 10, 2018. Ms. Stein sought but was refused leave from the Court of Appeal to appeal from that decision. The remainder of the interlocutory relief sought was dismissed, along with the petition itself, by Myers J. in his decision. He explained the basis for his earlier refusal to order any further production of documents as follows at paras. 51-57: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first category of documents sought by Ms. Stein are MSP records from the Province and day sheets from Dr. Keebler's practice logging the patients seen on certain dates. The rationale for this is to enable Ms. Stein to prove that she performed more than eight stress tests on those dates.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This is at least the third time that Ms. Stein has applied in this or other proceedings in this court for these documents: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3, 2017, McEwan J. dismissed an application seeking the production of MSP records in Ms. Stein's petition for judicial review of a Workers' Compensation Appeal Tribunal (WCAT) decision, with leave to re-apply. The basis for re-application was not specified in the order.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10, 2018, an application in this proceeding for the production of MSP records and day sheets was heard and dismissed by Winteringham J., unpublished, (10 December 2018), VA S166287, Ms. Stein applied for leave to appeal the order and applied for no-fee status. Fitch J.A. dismissed the application for leave on the basis that the appeal lacked merit.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7, 2019, in the WCAT judicial review, Ms. Stein re-applied for the documents which McEwan J. refused to order be produced. Justice Brundrett dismissed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Further, as noted above, the Tribunal, on an application by Ms. Stein to produce the MSP records, determined that the production of MSP records and day sheets of the medical practice would be required for specified dates. That decision was not judicially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the application heard by Winteringham J., Ms. Stein argued that the MSP records produced should be un-redacted and that further records should be produced. Justice Winteringham denied both aspects of the application,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I have reviewed the material filed on this application for disclosure of records. I am dismissing the petitioner's application for production of the specified records. In my view, the documents sought have, at least in part, been produced. The petitioner has not satisfied me that the redactions are in any way improper. I am told and I accept that these records contain personal and private information relating to third parties who are not before the court and who have not had an opportunity to make submissions to protect their privacy interests. In other words, in my view, the records sought, in an unredacted form, are not relevant to the issues before the chambers judge on this judicial review.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I am also not satisfied, based on the materials presented on this application, that the MSP records are admissible on the issue before the chambers judge. That being a review of the decision to dismiss the complaint on a preliminary application. That is the decision to be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 the application before me, Ms. Stein applied for further MSP records. She also asked that the previously produced records be produced in un-redacted form for my review because, she submitted, they had been altered. She argued that further MSP records be produced, which she acknowledged could be redacted, and she applied for the production of un-redacted day sheets. She added the Province as a respondent to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first reason for dismissing the application is that Winteringham J. had already ruled on it. The issue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may not be re-litigated. (It is unnecessary for me to decide whether the application is also an abuse of process because of the rulings in the judicial review of the WCAT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second reason for dismissing the application is that, as Winteringham J. stated, the documents are not relevant to the judicial review, which dismissed the complaint for lack of document compliance and not on its merits. Ms. Stein in this application and throughout the hearing failed to accept the narrow basis of the Tribunal's decision and this judicial review.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Keebler Action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18, 2016, Ms. Stein filed a notice of civil claim against the Keeblers (S166600 - "Keebler Action No. 1"). The allegations in the claim included perjury and production of fraudulently concocted documents in previous proceedings with the intention of defaming her and causing her harm of various kinds.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December 28, 2016, the claim was struck in its entirety by Justice Affleck under Rule 9-5(1)(a) as disclosing no valid cause of action, in reasons indexed as </w:t>
      </w:r>
      <w:r>
        <w:rPr>
          <w:rFonts w:ascii="arial" w:eastAsia="arial" w:hAnsi="arial" w:cs="arial"/>
          <w:i/>
          <w:color w:val="000000"/>
          <w:sz w:val="20"/>
          <w:lang w:val="en-US" w:eastAsia="en-US" w:bidi="ar-SA"/>
        </w:rPr>
        <w:t>Stein v. Keebler</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2016 BCSC 2422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Keeblers also applied at the same time to have Ms. Stein declared a vexatious litigant under s. 18 of the SCA. Justice Affleck dismissed the application, explaining his decision in that regard as follows at paras. 12-18: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defendants rely on ten legal proceedings initiated by the plaintiff to demonstrate she is a vexatious litigant. Three were before the B.C. Human Rights Tribunal (HRT), one before the Workers Compensation Appeal Tribunal (WCAT) and six before this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HRT matters each involved the plaintiff's allegations of various types of improper discrimination by the Vancouver Coastal Health Authority and Sean Freeze. Each of those matters was dismissed, one with costs which have not been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WCAT matter involved alleged bullying and a failure to "accommodate" the plaintiff in her employment with the defendant, Dr. Keebler. The person the plaintiff particularly criticized for bullying and "bossiness" was Diane Derrick, who is alleged in the notice of civil claim in the present action to have become "a big stressor" for the plaintiff when she was employed by the defendant Dr. Keebler. Much of the notice of civil claim is focussed on the alleged misconduct of Diane Derrick, although she is not a party. Mr. Freeze is not mentioned in the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six proceedings in this Court are: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number S149004 in which Ms. Stein seeks judicial review of the WCAT decision;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number S149482 in which Ms. Stein seeks judicial review of the HRT decision;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number S158397 in which Ms. Stein seeks judicial review of a HRT decision in file number 12649 in which the defendants in the present action were respondents. The petition complains of much of the conduct alleged in the present action which, as a result of these reasons, will be dismissed;</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petition number S166287 in which Ms. Stein seeks judicial review of an HRT decision number 11968 dated May 11, 2016. This petition features many of the allegations in the notice of civil claim before me, which will be struck;</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claim number S166283 in this Court names Sean Freeze as the defendant. The notice of civil claim also complains about the evidence of Nancy Lord. The allegations appear to complain about matters that were before the HRT. That action may be an abuse of process but I have no application before me to strike it out; and</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of the six proceedings relied upon by the defendants to demonstrate vexatiousness is the present civil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judicial review proceedings brought by Ms. Stein although at best inartistic in my opinion cannot, on this application, be said to have been taken in "the absence of objectively reasonable ground", to use the language of Brown J.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In my opinion they cannot be said to be "doomed to fail", to adopt the phrase used by Harris J. in </w:t>
      </w:r>
      <w:r>
        <w:rPr>
          <w:rFonts w:ascii="arial" w:eastAsia="arial" w:hAnsi="arial" w:cs="arial"/>
          <w:i/>
          <w:color w:val="000000"/>
          <w:sz w:val="20"/>
          <w:lang w:val="en-US" w:eastAsia="en-US" w:bidi="ar-SA"/>
        </w:rPr>
        <w:t>Vancouver City Savings Credit Union</w:t>
      </w:r>
      <w:r>
        <w:rPr>
          <w:rFonts w:ascii="arial" w:eastAsia="arial" w:hAnsi="arial" w:cs="arial"/>
          <w:color w:val="000000"/>
          <w:sz w:val="20"/>
          <w:lang w:val="en-US" w:eastAsia="en-US" w:bidi="ar-SA"/>
        </w:rPr>
        <w:t>. In short they cannot be the basis for a declaration pursuant to s. 18 of the Supreme Court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Nor can I find the plaintiff has brought proceedings "habitually and persistently", as that phrase has been considered in the authorities. In </w:t>
      </w:r>
      <w:r>
        <w:rPr>
          <w:rFonts w:ascii="arial" w:eastAsia="arial" w:hAnsi="arial" w:cs="arial"/>
          <w:i/>
          <w:color w:val="000000"/>
          <w:sz w:val="20"/>
          <w:lang w:val="en-US" w:eastAsia="en-US" w:bidi="ar-SA"/>
        </w:rPr>
        <w:t>Vancouver City Savings Credit Union</w:t>
      </w:r>
      <w:r>
        <w:rPr>
          <w:rFonts w:ascii="arial" w:eastAsia="arial" w:hAnsi="arial" w:cs="arial"/>
          <w:color w:val="000000"/>
          <w:sz w:val="20"/>
          <w:lang w:val="en-US" w:eastAsia="en-US" w:bidi="ar-SA"/>
        </w:rPr>
        <w:t>, Harris J., referred to proceedings obstinately pursued "despite judicial criticism and clear statements by other judges of the relevant principles applicable to the matters before the court". None of the plaintiff's several proceedings in this Court have elicited judicial comment except in regard to the present action which I have ordered be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An application pursuant to s. 18 of the Supreme Court Act is a serious matter. If successful it precludes a person from access to the courts unless on application permission is granted. Access to the courts is a matter of grave importance and should be withheld only in limited circumstances such as when it can be clearly shown that a person has become a vexatious litigant. In my view that has not been shown on the present application.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 Keebler Action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27, 2019, Ms. Stein commenced a second action against the Keeblers (S192099 - "Keebler Action No. 2"), this time alleging a breach of her employment contract. There was, as well, an additional corporate defendant named. The claim alleged, among other things, that the Keeblers "acted in bad faith ... [by] refusing to disclose documents, [and] falsifying records" and that they ought to be found liable for, among other things, "failing to disclose material documents, falsifying or deleting or otherwise changing material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Stein applied in the context of that action as well for production of the unredacted MSP billing records and an order for anonymity.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reasons released August 12, 2019 and indexed as </w:t>
      </w:r>
      <w:r>
        <w:rPr>
          <w:rFonts w:ascii="arial" w:eastAsia="arial" w:hAnsi="arial" w:cs="arial"/>
          <w:i/>
          <w:color w:val="000000"/>
          <w:sz w:val="20"/>
          <w:lang w:val="en-US" w:eastAsia="en-US" w:bidi="ar-SA"/>
        </w:rPr>
        <w:t>Stein v. Keebler</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2019 BCSC 1338</w:t>
        </w:r>
      </w:hyperlink>
      <w:r>
        <w:rPr>
          <w:rFonts w:ascii="arial" w:eastAsia="arial" w:hAnsi="arial" w:cs="arial"/>
          <w:color w:val="000000"/>
          <w:sz w:val="20"/>
          <w:lang w:val="en-US" w:eastAsia="en-US" w:bidi="ar-SA"/>
        </w:rPr>
        <w:t>, Justice Dillon struck the claim under Rule 9-5(1)(d) as an abuse of process (in effect, an attempt to re-litigate the claim previously struck by Affleck J.) and awarded special costs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explained her decision in that regard as follows at paras. 25-30: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accept that the plaintiff's action should be dismissed as an abuse of process. It is an attempt to relitigate the first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facts as pleaded here are essentially the same as in the first action. I agree with the defendants that, while these pleadings are more artful than in the first action, they are essentially the same. The substance of the dispute is the same. It is a matter of the substance of the dispute and not how it is framed ... The characterization of the allegations as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or breach of a duty of good faith does not change the fact that the factual allegations are essentially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plaintiff did not appeal the decision of Mr. Justice Affleck and now seeks to avoid the consequence of that decision by bringing the present action. The doctrine of collateral attack is intended to prevent a party from circumventing the effect of a decision rendered against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To allow the plaintiff to proceed in this action would be to violate principles of judicial economy, consistency, finality and the integrity of the administration of justice ... There needs to be an end to this litigation. It is not appropriate to allow amendment of pleadings in this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It is not necessary for this Court to reason as to whether the present action also constitutes a collateral attack upon the accommodation decision of the Tribunal. I am of the view that the proceeding should be struck as a collateral attack upon that administrative tribunal decision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It is not necessary to decide this matter under Rule 9-5(1)(a).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Justice Dillon explained the basis of the costs award against Ms. Stein as follows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defendants sought special costs in the amount of $3,000, alleging that the plaintiff has engaged in reprehensible conduct deserving of rebuke. Conduct that is an abuse of process is, by its nature reprehensible and deserving of rebuke (</w:t>
      </w:r>
      <w:r>
        <w:rPr>
          <w:rFonts w:ascii="arial" w:eastAsia="arial" w:hAnsi="arial" w:cs="arial"/>
          <w:i/>
          <w:color w:val="000000"/>
          <w:sz w:val="20"/>
          <w:lang w:val="en-US" w:eastAsia="en-US" w:bidi="ar-SA"/>
        </w:rPr>
        <w:t>Hollander v. Mooney</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2017 BCCA 238</w:t>
        </w:r>
      </w:hyperlink>
      <w:r>
        <w:rPr>
          <w:rFonts w:ascii="arial" w:eastAsia="arial" w:hAnsi="arial" w:cs="arial"/>
          <w:color w:val="000000"/>
          <w:sz w:val="20"/>
          <w:lang w:val="en-US" w:eastAsia="en-US" w:bidi="ar-SA"/>
        </w:rPr>
        <w:t xml:space="preserve"> at para.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Stein says that she has filed a notice of appeal from that decision, but it has not yet been served.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9. Petitions Seeking to Revive the Previously Dismissed Judicial Review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May 13, 2019, Ms. Stein filed two new petitions in this Court (S195493 and S195494) apparently seeking to "overturn" certain BCHRT decisions and a retroactive order to anonymize the previously reported decisions in those other matters. The petition indexed as S195494 was amended on May 31,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has as yet been no hearing in those proceedings.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 New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conclusion of the hearing of this matter, both parties sought to reopen the hearing to bring forward new argument (in the case of Ms. Stein) or new evidence (in the case of the defendants). I am not satisfied that it would be appropriate to do so. Ms. Stein had an adequate opportunity to make her arguments during the hearing. The defendants wish to bring to my attention the fact that Ms. Stein had, after the conclusion of the hearing, commenced yet another action against the Keeblers and certain of the lawyers who have acted for them (other than the defendants in this action). In light of the conclusion I have come to on the evidence that was before me during the hearing, it is unnecessary for me consider that proposed new evidence and I have not done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action was commenced by way of a notice of civil claim filed January 15, 2019. The defendant, Ms. Allan, acted as counsel for the Keeblers at certain stages in certain of the proceedings described above. At the time, she was an associate with the defendant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essence, Ms. Stein alleges, once again, that the day sheets and MSP billing records, in their original, unredacted form, confirm her version of events in those other proceedings. She alleges that Ms. Allan, before producing them as ordered, improperly redacted out not just private patient information but also a critical number of stress test entries in order to convey the false impression that the documents supported the Keeblers'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setting out those allegations, the notice of civil claim pleads as follows, at para. 12 of Part 1:</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over-redacted MSP records, tampering of evidence, Misconduct and acting in Bad Faith by Ms. Allan, the Plaintiff sustained injuries including but not limited to:</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prepare properly for court proceedings and fight cases.</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indignity when saying she did 9-12 stress/day with proof on average, not 6-9 as presented.</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duress and physical and mental trauma, mental distress and PTSD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cases, dismissals of BCHRT hearing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applications to produce MSP documents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monetary loss of court proceeding</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injuries lasting and still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Paras. 13-15 allege that:</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and remains seeking these MSP documents and Daysheets unredacted or at minimum not over redacted (to mislead), to use in her cases against Keeblers.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Allan has at minimum the unredacted MSP given thus far (about 10) in her office "in a box somewhere." I would like these or at minimum a Justice to view the unredacted MSP and daysheets.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add, Ms. Allan has shown misconduct throughout proceedings with Plaintiff as also with Justice Grauer saying Plaintiff lied to Justice (no proof) and Keeblers not consent to seal order when in fact they did (proof of - in an email). This misconduct caused the Plaintiff much grief and injury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following relief sought is listed in Part 2:</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an order that the Defendants pay the Plaintiff and the following happens: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bar and license of Ms. Elizabeth J. Allan due to Misconduct and Bad Faith and Improperly altering evidence.</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court cases and litigation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associated with future alternative training/schooling due to lost career</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the Court Order [sic] Act, R.S.B.C., 1996, Chapter 79</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"Legal Basis" of the claim is set out in Part 3 as follows:</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in contract to provide assurance that there be no misconduct on their end when dealing with cases or litigation in court, this is part of the oath taken and process to bar.</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Ms. Allan was grossly negligent and deceptive when I [sic] participated in over-redacting the MSP and Daysheets, documents to read less work than the work Plaintiff had performed, matching it to Keeblers Original handwritten documents.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neglected duty of care and acted in Bad Faith in over-redacting the MSP records and Daysheets.</w:t>
      </w:r>
    </w:p>
    <w:p>
      <w:pPr>
        <w:numPr>
          <w:numId w:val="4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are liable to the Plaintiff in tort for injuries and loss sustained by the Plaintiff as direct result of the Defendants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would include deceiving the courts along the way and causing the Plaintiff loss to dignity, physical &amp; mental duress, mental disorder trauma and costs, etc.</w:t>
      </w:r>
    </w:p>
    <w:p>
      <w:pPr>
        <w:numPr>
          <w:numId w:val="4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also liable to the Plaintiff in tort for not providing said records of documented stress tests the Plaintiff did, which would include private business records showing private stress tests as well as daysheets being over-redacted too when ordered unredacted by BCSC.</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daysheets were ordered Feb 3, 2017, finally by a Justice and they were over -redacted to match the earlier handwritten document provided which was false. As well the MSP documents ordered in Jan 13, 2016 by BCHRT were also overly redacted to match the first document and made untrue (falsifying record), clear deception and fraud on behalf of defendant.</w:t>
      </w:r>
    </w:p>
    <w:p>
      <w:pPr>
        <w:numPr>
          <w:numId w:val="5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Thee defendants breached it's duties to fair and due process in contract and under oath and tort, particulars of which are as follows:</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Misconduct</w:t>
      </w:r>
    </w:p>
    <w:p>
      <w:pPr>
        <w:numPr>
          <w:numId w:val="5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Bad Faith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Deception by omission, fraud, falsifying records altering evidence</w:t>
      </w:r>
    </w:p>
    <w:p>
      <w:pPr>
        <w:numPr>
          <w:numId w:val="5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documents in proceeding showing exact number of stress tests (work performed)</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duty of care and truth owed to Plaintiff</w:t>
      </w:r>
    </w:p>
    <w:p>
      <w:pPr>
        <w:numPr>
          <w:numId w:val="5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and intentionally deceiving the courts and hurting the Plaintiffs cases</w:t>
      </w:r>
    </w:p>
    <w:p>
      <w:pPr>
        <w:numPr>
          <w:numId w:val="5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Accusing Plaintiff of Misconduct when Ms. Allan was being deceptive and lying.</w:t>
      </w:r>
    </w:p>
    <w:p>
      <w:pPr>
        <w:numPr>
          <w:numId w:val="5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breach,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reach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of statutory duty as Plaintiff and/or counsel may advise later on.</w:t>
      </w:r>
    </w:p>
    <w:p>
      <w:pPr>
        <w:numPr>
          <w:numId w:val="5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Norton Rose Fulbright Canada LLP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duty of their servants, agent, and employees. Ms. Allan is personally liable for actions she elected to take willingly.</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pleads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bad faith, fraud, altering evidence and misconduct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Application to Strike the Claim under Rule 9-5(1)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apply to have the claim struck in its entirety under Rule 9-5(1)(a), (b) and (d). That rule states as follows:</w:t>
      </w:r>
      <w:r>
        <w:rPr>
          <w:rFonts w:ascii="arial" w:eastAsia="arial" w:hAnsi="arial" w:cs="arial"/>
          <w:sz w:val="20"/>
          <w:lang w:val="en-US" w:eastAsia="en-US" w:bidi="ar-SA"/>
        </w:rPr>
        <w:cr/>
      </w:r>
    </w:p>
    <w:p>
      <w:pPr>
        <w:numPr>
          <w:numId w:val="6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6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6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has been held that a claim should be ordered struck under Rule 9-5(1)(a) if, assuming the facts pleaded are true, it is plain and obvious that the claim discloses no reasonable cause of action as currently pleaded or as it might be amended. No evidence is admissible on an application under this rule</w:t>
      </w:r>
      <w:r>
        <w:rPr>
          <w:rFonts w:ascii="arial" w:eastAsia="arial" w:hAnsi="arial" w:cs="arial"/>
          <w:i/>
          <w:color w:val="000000"/>
          <w:sz w:val="20"/>
          <w:lang w:val="en-US" w:eastAsia="en-US" w:bidi="ar-SA"/>
        </w:rPr>
        <w:t>: Odhavji Estate v. Woodhouse</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Justice Fisher (as she then was) added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rule that material facts in a notice of civil claim must be taken as true does not mean that allegations based on assumption and speculation must be taken as true. This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Dickson J. (as he then was) stated that '[n]o violence is done to the rule where allegations, incapable of proof, are not taken as proven'.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stated (at paras. 30-31)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but it is not fundamentally wrong to look behind allegations in some cases, and it may be appropriate to subject the allegations in the pleadings to a sceptical analysis. It was considered appropriate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the plaintiff made sweeping allegations of things like intolerance, deceit, harassment, intimidation and falsifying documents against the defendants, which the court concluded could only be viewed as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Singh v. Nielsen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2016 BCSC 2420</w:t>
        </w:r>
      </w:hyperlink>
      <w:r>
        <w:rPr>
          <w:rFonts w:ascii="arial" w:eastAsia="arial" w:hAnsi="arial" w:cs="arial"/>
          <w:color w:val="000000"/>
          <w:sz w:val="20"/>
          <w:lang w:val="en-US" w:eastAsia="en-US" w:bidi="ar-SA"/>
        </w:rPr>
        <w:t>, Justice Verhoeven had occasion to consider the application of the rule in the context of a claim, such as this one, that had been brought against a lawyer who had represented a party adverse to the plaintiff in other litigation. He stated as follows at paras.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Although for the purposes of an application under R. 9-5(1)(a) the material facts as pleaded in the [claim] are assumed to be true, this principle is not absolute or unqualified. As noted above in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xml:space="preserve"> at para. 22, some facts alleged may be "manifestly incapable of being proven." In addition, in </w:t>
      </w:r>
      <w:r>
        <w:rPr>
          <w:rFonts w:ascii="arial" w:eastAsia="arial" w:hAnsi="arial" w:cs="arial"/>
          <w:i/>
          <w:color w:val="000000"/>
          <w:sz w:val="20"/>
          <w:lang w:val="en-US" w:eastAsia="en-US" w:bidi="ar-SA"/>
        </w:rPr>
        <w:t>Acumar Consulting Engineers Ltd. v. The Association of Professional Engineers and Geoscientists of British Columbia</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2014 BCSC 814</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Acumar</w:t>
      </w:r>
      <w:r>
        <w:rPr>
          <w:rFonts w:ascii="arial" w:eastAsia="arial" w:hAnsi="arial" w:cs="arial"/>
          <w:color w:val="000000"/>
          <w:sz w:val="20"/>
          <w:lang w:val="en-US" w:eastAsia="en-US" w:bidi="ar-SA"/>
        </w:rPr>
        <w:t>] I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principle that facts alleged in the pleading must be assumed to be true is not absolute and unqualified. In some cases it is necessary to look behind the allegations and to subject them to a "sceptical analysis in order to determine their true character":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at para. 49, citing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et al, </w:t>
      </w:r>
      <w:hyperlink r:id="rId1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Here, the petition includes vague, general references to bad faith, discrimination, criminality, fraud, and abuse, among other things. In the context of this case these references cannot be taken as true. They are only language, unconnected to any real pleaded facts or causes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As stated by Mr. Justice Masuhara in Seattle Environmental Consulting Ltd. v. Workers' Compensation Board of British Columbia, </w:t>
      </w:r>
      <w:hyperlink r:id="rId191" w:history="1">
        <w:r>
          <w:rPr>
            <w:rFonts w:ascii="arial" w:eastAsia="arial" w:hAnsi="arial" w:cs="arial"/>
            <w:i/>
            <w:color w:val="0077CC"/>
            <w:sz w:val="20"/>
            <w:u w:val="single"/>
            <w:shd w:val="clear" w:color="auto" w:fill="FFFFFF"/>
            <w:lang w:val="en-US" w:eastAsia="en-US" w:bidi="ar-SA"/>
          </w:rPr>
          <w:t>2016 BCSC 557</w:t>
        </w:r>
      </w:hyperlink>
      <w:r>
        <w:rPr>
          <w:rFonts w:ascii="arial" w:eastAsia="arial" w:hAnsi="arial" w:cs="arial"/>
          <w:color w:val="000000"/>
          <w:sz w:val="20"/>
          <w:lang w:val="en-US" w:eastAsia="en-US" w:bidi="ar-SA"/>
        </w:rPr>
        <w:t xml:space="preserve"> [Seattle] at para.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to the application of [R. 9-5(1)(a) and (d)] is to take the material facts pleaded as true. However, this does not mean that allegations based upon assumption and speculation must be taken as true. Such allegations may be subject to a skeptical analysis: Willow v. Chong, </w:t>
      </w:r>
      <w:hyperlink r:id="rId186"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Bare allegations of wrongdoing, supported only by assumptions and speculation, are not material facts that support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Justice Verhoeven went on to discuss the viability of claims against opposing lawyers, at paras 17-20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Generally speaking, the only party to whom a lawyer owes an actionable duty is his or her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striking out and dismissing claims against opposing counsel based upon their representation of their clients in litigation against the plaintiffs, Madam Justice Wedge summarized the law as follows in </w:t>
      </w:r>
      <w:r>
        <w:rPr>
          <w:rFonts w:ascii="arial" w:eastAsia="arial" w:hAnsi="arial" w:cs="arial"/>
          <w:i/>
          <w:color w:val="000000"/>
          <w:sz w:val="20"/>
          <w:lang w:val="en-US" w:eastAsia="en-US" w:bidi="ar-SA"/>
        </w:rPr>
        <w:t>Lawrence et al v. Sandilands et al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[77] It is well established that in the course of counsel's representation of his or her clients interests, it is to be expected that "...much may be done that is intentionally and necessarily directed toward injuring the opposing party's interests."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(BCSC) at paragraph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the Court of Appeal said at page 291 and 292: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asserted, were it to be upheld, would be one imposing on the solicitors for one party an obligation of care to all others involved in the transaction to see the transaction properly carried into effect, even though the solicitors were retained and paid only by one of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only damage foreseeable is damage to another's pocket or estate -- where there is no foreseeable risk of personal injury or physical property damage -- foreseeability of such economic loss, while essential to the existence of a duty of care, cannot, it now seems clear, generally be regarded as sufficient to create proximity and thus impose such a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While a solicitor may owe an ethical duty to the court to be candid and fair, the only party to whom a solicitor owes an actionable duty is his or her client (</w:t>
      </w:r>
      <w:r>
        <w:rPr>
          <w:rFonts w:ascii="arial" w:eastAsia="arial" w:hAnsi="arial" w:cs="arial"/>
          <w:i/>
          <w:color w:val="000000"/>
          <w:sz w:val="20"/>
          <w:lang w:val="en-US" w:eastAsia="en-US" w:bidi="ar-SA"/>
        </w:rPr>
        <w:t>Jensen v. MacGregor</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(1992), 65 B.C.L.R. (2d) 224</w:t>
        </w:r>
      </w:hyperlink>
      <w:r>
        <w:rPr>
          <w:rFonts w:ascii="arial" w:eastAsia="arial" w:hAnsi="arial" w:cs="arial"/>
          <w:color w:val="000000"/>
          <w:sz w:val="20"/>
          <w:lang w:val="en-US" w:eastAsia="en-US" w:bidi="ar-SA"/>
        </w:rPr>
        <w:t xml:space="preserve"> at p. 228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court in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found that in the absence of a contractual obligation and any duty of care owed between counsel for one party and the party adverse in interest, there was no recognizable cause of action, no plausible argument and no triable issue raised on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There are no facts pleaded that would render these principles inapplicable in this case. For example, no facts are pleaded which could establish that it was clear to both Nielsen and the plaintiffs that the plaintiffs were relying on Nielsen's special skill and knowledge, or that Nielsen knew or ought to have known that the plaintiffs were relying on his special skill and knowledge. In the circumstances of this case such a pleading would be untenable,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particular, </w:t>
      </w:r>
      <w:r>
        <w:rPr>
          <w:rFonts w:ascii="arial" w:eastAsia="arial" w:hAnsi="arial" w:cs="arial"/>
          <w:color w:val="000000"/>
          <w:sz w:val="20"/>
          <w:u w:val="single"/>
          <w:lang w:val="en-US" w:eastAsia="en-US" w:bidi="ar-SA"/>
        </w:rPr>
        <w:t>allegations that counsel for the opposing party has misled or intentionally deceived the court resulting in decisions or rulings unfavourable to the claimant do not found actionable breaches of any private duty owed to the claimant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Gateway Building Management Limited v. Manjit Singh Randhawa</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at paras. 23 - 26. If it were otherwise, there would be no end to such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Awad v. Salna</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2017 BCSC 429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Awad</w:t>
      </w:r>
      <w:r>
        <w:rPr>
          <w:rFonts w:ascii="arial" w:eastAsia="arial" w:hAnsi="arial" w:cs="arial"/>
          <w:color w:val="000000"/>
          <w:sz w:val="20"/>
          <w:lang w:val="en-US" w:eastAsia="en-US" w:bidi="ar-SA"/>
        </w:rPr>
        <w:t>], Justice Greyell struck a claim against a lawyer who had acted for a party adverse to the plaintiff on the basis that it disclosed no reasonable cause of action and was otherwise vexatious for the purpose of this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Dr. Awad's claims against Mr. Gold and Mr. Maltz, the attorneys who represented Mr. Salna and Dover in the various court cases brought in British Columbia, Alberta and Ontario, are rather obliquely set out in the notice of civil claim. Generally, Dr. Awad alleges the defendants' counsel have been involved in a conspiracy with their client to provide fraudulent accounts to the court by making false statements to the court, by not producing relevant documents and by generally breaching their fiduciary duty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light of these authorities, it is apparent that Ms. Stein can have no valid claim against the defendants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having been no contract between them and no duty of care owed. Insofar as she seeks relief pertaining to Ms. Allan's professional accreditation, it is outside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Ms. Stein also can have no claim in defamation (insofar as she seeks to recover for damage done to her reputation) because there is an absolute privilege protecting submissions made by counsel in court: </w:t>
      </w:r>
      <w:r>
        <w:rPr>
          <w:rFonts w:ascii="arial" w:eastAsia="arial" w:hAnsi="arial" w:cs="arial"/>
          <w:i/>
          <w:color w:val="000000"/>
          <w:sz w:val="20"/>
          <w:lang w:val="en-US" w:eastAsia="en-US" w:bidi="ar-SA"/>
        </w:rPr>
        <w:t>Duncan v. Lessing</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2018 BCCA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Foote v. Hallen</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2014 BCSC 564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2012 BCSC 1830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allegations advanced in this case resemble most closely those that were before Greyell J. in </w:t>
      </w:r>
      <w:r>
        <w:rPr>
          <w:rFonts w:ascii="arial" w:eastAsia="arial" w:hAnsi="arial" w:cs="arial"/>
          <w:i/>
          <w:color w:val="000000"/>
          <w:sz w:val="20"/>
          <w:lang w:val="en-US" w:eastAsia="en-US" w:bidi="ar-SA"/>
        </w:rPr>
        <w:t>Awad</w:t>
      </w:r>
      <w:r>
        <w:rPr>
          <w:rFonts w:ascii="arial" w:eastAsia="arial" w:hAnsi="arial" w:cs="arial"/>
          <w:color w:val="000000"/>
          <w:sz w:val="20"/>
          <w:lang w:val="en-US" w:eastAsia="en-US" w:bidi="ar-SA"/>
        </w:rPr>
        <w:t>. What is alleged here is a kind of conspiracy between Ms. Allan and her clients, pursuant to which Ms. Allan falsified documents in an effort to mislead administrative tribunals and the courts by having them accept her clients' perjured testimony and, on that basis, make or uphold factual findings in her clients' favour. Such a claim is, on the authorities cited above, bound to fail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Stein says her allegations are not vague, general or speculative but specific, precise and supported by facts. She submits that there must be some legal recourse available to an aggrieved litigant against an opposing lawyer who has strayed so far beyond the bounds of her ethical duties. I am not persuaded that is so. The proper forum for attacking the validity of the evidence placed before a decision-maker in an administrative or judicial proceeding is in that proceeding (as was done here), not a subsequent action against opposing counsel seeking to have a different judge come to a different conclusion on that evidence. Were it otherwise, there would indeed be "no end to such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in any event, another, more appropriate forum for making complaints about the professional misconduct of lawyers acting for opposing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Insofar as the claim could be characterised as an action for discovery alone, it is likewise fatally flawed. That appears to be the nature of the claim advanced in para. 13 of Part 1 of the notice of civil claim. In that paragraph, Ms. Stein pleads that she wants to have the unredacted day sheets and MSP billing records produced for use in other litigation against the Keeblers.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elements of that cause of action, the existence of which was first recognised by the House of Lords in </w:t>
      </w:r>
      <w:r>
        <w:rPr>
          <w:rFonts w:ascii="arial" w:eastAsia="arial" w:hAnsi="arial" w:cs="arial"/>
          <w:i/>
          <w:color w:val="000000"/>
          <w:sz w:val="20"/>
          <w:lang w:val="en-US" w:eastAsia="en-US" w:bidi="ar-SA"/>
        </w:rPr>
        <w:t>Norwich Pharmacal v. Customs and Excise Commissioners</w:t>
      </w:r>
      <w:r>
        <w:rPr>
          <w:rFonts w:ascii="arial" w:eastAsia="arial" w:hAnsi="arial" w:cs="arial"/>
          <w:color w:val="000000"/>
          <w:sz w:val="20"/>
          <w:lang w:val="en-US" w:eastAsia="en-US" w:bidi="ar-SA"/>
        </w:rPr>
        <w:t xml:space="preserve">, [1973] 2 All E.R. 943, [1974] A.C. 133, were discussed by the Ontario Court of Appeal in </w:t>
      </w:r>
      <w:r>
        <w:rPr>
          <w:rFonts w:ascii="arial" w:eastAsia="arial" w:hAnsi="arial" w:cs="arial"/>
          <w:i/>
          <w:color w:val="000000"/>
          <w:sz w:val="20"/>
          <w:lang w:val="en-US" w:eastAsia="en-US" w:bidi="ar-SA"/>
        </w:rPr>
        <w:t>Straka v. Humber River Regional Hospital</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(2000), 51 O.R. (3d) 1</w:t>
        </w:r>
      </w:hyperlink>
      <w:r>
        <w:rPr>
          <w:rFonts w:ascii="arial" w:eastAsia="arial" w:hAnsi="arial" w:cs="arial"/>
          <w:color w:val="000000"/>
          <w:sz w:val="20"/>
          <w:lang w:val="en-US" w:eastAsia="en-US" w:bidi="ar-SA"/>
        </w:rPr>
        <w:t>. There, Morden J.A., writing for the Court, described the "threshold requirements" for such an action as follows at paras. 37-39: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i/>
          <w:color w:val="000000"/>
          <w:sz w:val="20"/>
          <w:lang w:val="en-US" w:eastAsia="en-US" w:bidi="ar-SA"/>
        </w:rPr>
        <w:t>Norwich Pharmacal</w:t>
      </w:r>
      <w:r>
        <w:rPr>
          <w:rFonts w:ascii="arial" w:eastAsia="arial" w:hAnsi="arial" w:cs="arial"/>
          <w:color w:val="000000"/>
          <w:sz w:val="20"/>
          <w:lang w:val="en-US" w:eastAsia="en-US" w:bidi="ar-SA"/>
        </w:rPr>
        <w:t xml:space="preserve"> has been helpfully analyzed by Stone J.A. in </w:t>
      </w:r>
      <w:r>
        <w:rPr>
          <w:rFonts w:ascii="arial" w:eastAsia="arial" w:hAnsi="arial" w:cs="arial"/>
          <w:i/>
          <w:color w:val="000000"/>
          <w:sz w:val="20"/>
          <w:lang w:val="en-US" w:eastAsia="en-US" w:bidi="ar-SA"/>
        </w:rPr>
        <w:t>Glaxo Wellcome PLC v. M.N.R.</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[1998] 4 F.C. 439</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162 D.L.R. (4th) 433</w:t>
        </w:r>
      </w:hyperlink>
      <w:r>
        <w:rPr>
          <w:rFonts w:ascii="arial" w:eastAsia="arial" w:hAnsi="arial" w:cs="arial"/>
          <w:color w:val="000000"/>
          <w:sz w:val="20"/>
          <w:lang w:val="en-US" w:eastAsia="en-US" w:bidi="ar-SA"/>
        </w:rPr>
        <w:t xml:space="preserve"> (C.A.), leave to appeal to the Supreme Court of Canada refused December 10, 1998, </w:t>
      </w:r>
      <w:hyperlink r:id="rId203" w:history="1">
        <w:r>
          <w:rPr>
            <w:rFonts w:ascii="arial" w:eastAsia="arial" w:hAnsi="arial" w:cs="arial"/>
            <w:i/>
            <w:color w:val="0077CC"/>
            <w:sz w:val="20"/>
            <w:u w:val="single"/>
            <w:shd w:val="clear" w:color="auto" w:fill="FFFFFF"/>
            <w:lang w:val="en-US" w:eastAsia="en-US" w:bidi="ar-SA"/>
          </w:rPr>
          <w:t>[1998] S.C.C.A. No. 422</w:t>
        </w:r>
      </w:hyperlink>
      <w:r>
        <w:rPr>
          <w:rFonts w:ascii="arial" w:eastAsia="arial" w:hAnsi="arial" w:cs="arial"/>
          <w:color w:val="000000"/>
          <w:sz w:val="20"/>
          <w:lang w:val="en-US" w:eastAsia="en-US" w:bidi="ar-SA"/>
        </w:rPr>
        <w:t xml:space="preserve">. At pp. 448-49 D.L.R., Stone J.A. stated two "threshold requirements" related to the granting of an order for discovery in a proceeding seeking discovery alone. They are: (1) the person seeking discovery must have a bona fide claim against the alleged wrongdoers; and (2) the person seeking discovery must share some sort of relationship with the person from whom discovery is sought. This second requirement was expressed in different ways in </w:t>
      </w:r>
      <w:r>
        <w:rPr>
          <w:rFonts w:ascii="arial" w:eastAsia="arial" w:hAnsi="arial" w:cs="arial"/>
          <w:i/>
          <w:color w:val="000000"/>
          <w:sz w:val="20"/>
          <w:lang w:val="en-US" w:eastAsia="en-US" w:bidi="ar-SA"/>
        </w:rPr>
        <w:t>Norwich Pharmacal</w:t>
      </w:r>
      <w:r>
        <w:rPr>
          <w:rFonts w:ascii="arial" w:eastAsia="arial" w:hAnsi="arial" w:cs="arial"/>
          <w:color w:val="000000"/>
          <w:sz w:val="20"/>
          <w:lang w:val="en-US" w:eastAsia="en-US" w:bidi="ar-SA"/>
        </w:rPr>
        <w:t xml:space="preserve">, where it was said that a person against whom discovery is sought should be "mixed up in the tortious acts of others so as to facilitate their wrongdoing" even though this is "through no fault of its own" (p. 175 A.C.) -- or should be "involved in the transaction" (p. 188 A.C.). A person fitting these descriptions is not a "mere witness" against whom, it is clear, no right of pre-action discovery lies. A "mere witness" can, of course, be compelled to testify at the trial, but not before. In Ontario, this is subject to obtaining, in an action, leave to examine a non-party: rule 31.10 of the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Stone J.A. also said that a "basic condition" for this kind of discovery "is that the person from whom discovery is sought must be the only practical source of information available to" the person seeking discovery (at p. 449 D.L.R.).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For the purpose of addressing the issues on this appeal, I accept the foregoing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With respect to the first of these requirements, I am not persuaded that Ms. Stein continues to have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claim against the Keeblers. Even on her own pleading it is clear that she has already commenced numerous administrative and legal proceedings against them on these same facts and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second requirement, the defendants argue that there is no relationship alleged between Ms. Stein and Ms. Allan, at least not one that would be sufficient to meet that requirement. It is possible, however, that it could be satisfied, at least on the pleadings, on the basis that Ms. Allan was "mixed up in the tortious acts of others so as to facilitate their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But I find that the third requirement is also not met here. There are no facts pleaded to support an inference that Ms. Allan is the "only practical source" of the documents that Ms. Stein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therefore find that this action cannot be advanced as a viable claim for discovery alone. In any event, it is doubtful that that is what Ms. Stein really seeks. In oral argument, Ms. Stein submitted that her main objective in advancing this claim is not to recover damages. She says she would abandon her claims altogether if the unredacted records were simply produced to her or a judge. In the end, she simply wants the Court to uncover the truth as she sees it - in effect, to "set the record straight." That, in itself, is not a valid cause of action either,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therefore striking the claim in its entirety under Rule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Rule 9-5(1)(b)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Even if there were a valid cause of action pleaded or capable of being pleaded, I would also strike the claim under Rule 9-5(1)(b) and (d) as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Simon v. Canada (Attorney General)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2015 BCSC 924</w:t>
        </w:r>
      </w:hyperlink>
      <w:r>
        <w:rPr>
          <w:rFonts w:ascii="arial" w:eastAsia="arial" w:hAnsi="arial" w:cs="arial"/>
          <w:color w:val="000000"/>
          <w:sz w:val="20"/>
          <w:lang w:val="en-US" w:eastAsia="en-US" w:bidi="ar-SA"/>
        </w:rPr>
        <w:t>, Justice Donegan had occasion to enumerate the considerations that may bear on whether a claim should be characterized as "vexatious" for the purpose of this Rule. She stated as follows in that regard,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nature of a vexatious action was described by Henry J. in </w:t>
      </w:r>
      <w:r>
        <w:rPr>
          <w:rFonts w:ascii="arial" w:eastAsia="arial" w:hAnsi="arial" w:cs="arial"/>
          <w:i/>
          <w:color w:val="000000"/>
          <w:sz w:val="20"/>
          <w:lang w:val="en-US" w:eastAsia="en-US" w:bidi="ar-SA"/>
        </w:rPr>
        <w:t>Re Lang Michener</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(Ont. H.C.J.) at 691: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decisions the following principles may be extracted:</w:t>
      </w:r>
    </w:p>
    <w:p>
      <w:pPr>
        <w:numPr>
          <w:numId w:val="6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6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6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7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7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72"/>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73"/>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do not allege that Ms. Stein has any unpaid costs awards outstanding against her. In addition, I accept that Ms. Stein is not pursuing this action for an "improper purpose" - in the sense that she appears to be asserting what she believes to be her legitimate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other hand, the other factors support a finding that the claim is vexatious. This action appears to be yet another iteration of Ms. Stein's seemingly endless campaign to establish the validity of her original complaint, now dismissed many times, about the number of stress tests she was made to administer while working for the Keeblers. At the heart of the matter is a repetition of her unsuccessful applications in earlier proceedings to have the unredacted versions of the day sheets and MSP billing records produced to her or a judge with a view, ultimately, to relitigating her original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appreciate that Ms. Stein genuinely believes that she has been wronged and that she has not seen justice. No judge has been willing to order production of the unredacted versions of the documents she seeks or even to look at them to determine if her allegations have merit. She presented the evidence that she relies on in support of her "over-redaction" allegation during the hearing before me. I am not persuaded that it would justify revisiting the orders previously made, even if the claim she is advancing in this action otherwise had merit. Most of the evidence I was taken to went to Ms. Stein's own contemporaneous impressions of the number of stress tests she had been administering in the relevant period. Her argument appears to be that because she believed at the time she was administering more than ten stress tests per day, the records showing otherwise must have been improperly altered. I was also taken to a reference letter dated September 20, 2012, written for her by Dr. Keebler, which states that Ms. Stein "performs between eight and ten stress tests a day," among other things. None of that evidence goes directly to the question of whether the impugned documents were improperly altered, and all of it may readily be explained in other ways. In any event, the matter has already been considered and ruled upon several times in this Court and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same factors also justify characterizing this action as an abuse of process for the purpose of Rule 9-5(1)(d):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In that case, Justice LeBel, writing for the Court, explained the nature of the doctrine as follows at paras. 39-41:</w:t>
      </w:r>
      <w:r>
        <w:rPr>
          <w:rFonts w:ascii="arial" w:eastAsia="arial" w:hAnsi="arial" w:cs="arial"/>
          <w:sz w:val="20"/>
          <w:lang w:val="en-US" w:eastAsia="en-US" w:bidi="ar-SA"/>
        </w:rPr>
        <w:cr/>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Arbour J. wrote for the majority of this Court that the doctrine of abuse of process has its roots in a judge's inherent and residual discretion to prevent abuse of the court's process: para. 35; see also P.M. Perell, "A Survey of Abuse of Process", in T.L. Archibald and R.S. Echlin, eds., </w:t>
      </w:r>
      <w:r>
        <w:rPr>
          <w:rFonts w:ascii="arial" w:eastAsia="arial" w:hAnsi="arial" w:cs="arial"/>
          <w:i/>
          <w:color w:val="000000"/>
          <w:sz w:val="20"/>
          <w:lang w:val="en-US" w:eastAsia="en-US" w:bidi="ar-SA"/>
        </w:rPr>
        <w:t>Annual Review of Civil Litigation</w:t>
      </w:r>
      <w:r>
        <w:rPr>
          <w:rFonts w:ascii="arial" w:eastAsia="arial" w:hAnsi="arial" w:cs="arial"/>
          <w:color w:val="000000"/>
          <w:sz w:val="20"/>
          <w:lang w:val="en-US" w:eastAsia="en-US" w:bidi="ar-SA"/>
        </w:rPr>
        <w:t xml:space="preserve"> 2007 (2007), 243. Abuse of process was described in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xml:space="preserve">, at p. 616, as the bringing of proceedings that are "unfair to the point that they are contrary to the interest of justice", and in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[page245] at p. 1667, as "oppressive treatment". In addition to proceedings that are oppressive or vexatious and that violate the principles of justice, McLachlin J. (as she then was) said in her dissent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xml:space="preserve">, at p. 1007, that the doctrine of abuse of process evokes the "public interest in a fair and just trial process and the proper administration of justice". Arbour J. observed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that the doctrine is not limited to criminal law, but applies in a variety of legal contexts: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doctrine of abuse of process is characterized by its flexibility. Unlike the concepts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abuse of process is unencumbered by specific requirements. In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Goudge J.A., who was dissenting, but whose reasons this Court subsequently approved (</w:t>
      </w:r>
      <w:hyperlink r:id="rId212"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stated at paras. 55-56 that the doctrine of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engages the inherent power of the court </w:t>
      </w:r>
      <w:r>
        <w:rPr>
          <w:rFonts w:ascii="arial" w:eastAsia="arial" w:hAnsi="arial" w:cs="arial"/>
          <w:color w:val="000000"/>
          <w:sz w:val="20"/>
          <w:u w:val="single"/>
          <w:lang w:val="en-US" w:eastAsia="en-US" w:bidi="ar-SA"/>
        </w:rPr>
        <w:t>to prevent the misuse of its procedure, in a way that would be manifestly unfair to a party to the litigation before it or would in some other way bring the administration of justice into disrepute</w:t>
      </w:r>
      <w:r>
        <w:rPr>
          <w:rFonts w:ascii="arial" w:eastAsia="arial" w:hAnsi="arial" w:cs="arial"/>
          <w:color w:val="000000"/>
          <w:sz w:val="20"/>
          <w:lang w:val="en-US" w:eastAsia="en-US" w:bidi="ar-SA"/>
        </w:rPr>
        <w:t xml:space="preserve">. It is a flexible doctrine unencumbered by the specific requirements of concepts such as issue estoppel.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[(C.A.)], at p. 358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circumstance in which abuse of process has been applied is where the litigation before the court is found to be in essence an attempt to relitigate a claim which the court has already determined. See </w:t>
      </w:r>
      <w:r>
        <w:rPr>
          <w:rFonts w:ascii="arial" w:eastAsia="arial" w:hAnsi="arial" w:cs="arial"/>
          <w:i/>
          <w:color w:val="000000"/>
          <w:sz w:val="20"/>
          <w:lang w:val="en-US" w:eastAsia="en-US" w:bidi="ar-SA"/>
        </w:rPr>
        <w:t>Solomon v. Smith</w:t>
      </w:r>
      <w:r>
        <w:rPr>
          <w:rFonts w:ascii="arial" w:eastAsia="arial" w:hAnsi="arial" w:cs="arial"/>
          <w:color w:val="000000"/>
          <w:sz w:val="20"/>
          <w:lang w:val="en-US" w:eastAsia="en-US" w:bidi="ar-SA"/>
        </w:rPr>
        <w:t>, supra. It is on that basis that Nordheimer J. found that this third party claim ought to be terminated as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Lebel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As can be seen from the case law, the administration of justice and fairness are at the heart of the doctrine of abuse of process. In </w:t>
      </w:r>
      <w:r>
        <w:rPr>
          <w:rFonts w:ascii="arial" w:eastAsia="arial" w:hAnsi="arial" w:cs="arial"/>
          <w:i/>
          <w:color w:val="000000"/>
          <w:sz w:val="20"/>
          <w:lang w:val="en-US" w:eastAsia="en-US" w:bidi="ar-SA"/>
        </w:rPr>
        <w:t>Canam Enterprises</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the doctrine was used to preclude relitigation of an issue in circumstances in which the requirements for issue estoppel were not met. But it is not limited to preventing relitigation. For example, in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color w:val="000000"/>
          <w:sz w:val="20"/>
          <w:lang w:val="en-US" w:eastAsia="en-US" w:bidi="ar-SA"/>
        </w:rPr>
        <w:t>, the Court held that an unreasonable delay that causes serious prejudice could amount to an abuse of process (paras. 101-21). The doctrine of abuse of process is flexible, and it exists to ensure that the administration of justice is not brought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this action is vexatious and an abuse of process, as those concepts are explained in these authorities. I am therefore striking the claim in its entirety also under Rules 9-5(1)(b) and (d).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The Application under s. 18 of the </w:t>
      </w:r>
      <w:r>
        <w:rPr>
          <w:rFonts w:ascii="arial" w:eastAsia="arial" w:hAnsi="arial" w:cs="arial"/>
          <w:b/>
          <w:i/>
          <w:color w:val="000000"/>
          <w:sz w:val="20"/>
          <w:lang w:val="en-US" w:eastAsia="en-US" w:bidi="ar-SA"/>
        </w:rPr>
        <w:t>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seek to have Ms. Stein declared a vexatious litigant under s. 18 of the </w:t>
      </w:r>
      <w:r>
        <w:rPr>
          <w:rFonts w:ascii="arial" w:eastAsia="arial" w:hAnsi="arial" w:cs="arial"/>
          <w:i/>
          <w:color w:val="000000"/>
          <w:sz w:val="20"/>
          <w:lang w:val="en-US" w:eastAsia="en-US" w:bidi="ar-SA"/>
        </w:rPr>
        <w:t>SCA</w:t>
      </w:r>
      <w:r>
        <w:rPr>
          <w:rFonts w:ascii="arial" w:eastAsia="arial" w:hAnsi="arial" w:cs="arial"/>
          <w:color w:val="000000"/>
          <w:sz w:val="20"/>
          <w:lang w:val="en-US" w:eastAsia="en-US" w:bidi="ar-SA"/>
        </w:rPr>
        <w:t xml:space="preserve"> and to bar her from instituting further proceedings in this Court and the Provincial Court of B.C. without leave. That provision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is the second time that Ms. Stein has been the target of this kind of application. On the first occasion, as mentioned above, the Keeblers applied in Keebler Action No. 1 for such an order before Affleck J.. In his decision of December 28, 2016, Affleck J. struck the claim before him under Rule 9-5(1)(a) but refused to grant the s. 18 relief, for reasons that are reproduced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doing so, Affleck J. set out the legal principles applicable on an application under s. 18 of the </w:t>
      </w:r>
      <w:r>
        <w:rPr>
          <w:rFonts w:ascii="arial" w:eastAsia="arial" w:hAnsi="arial" w:cs="arial"/>
          <w:i/>
          <w:color w:val="000000"/>
          <w:sz w:val="20"/>
          <w:lang w:val="en-US" w:eastAsia="en-US" w:bidi="ar-SA"/>
        </w:rPr>
        <w:t>SCA</w:t>
      </w:r>
      <w:r>
        <w:rPr>
          <w:rFonts w:ascii="arial" w:eastAsia="arial" w:hAnsi="arial" w:cs="arial"/>
          <w:color w:val="000000"/>
          <w:sz w:val="20"/>
          <w:lang w:val="en-US" w:eastAsia="en-US" w:bidi="ar-SA"/>
        </w:rPr>
        <w:t xml:space="preserve"> as follows at paras.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2010 BCSC 1560</w:t>
        </w:r>
      </w:hyperlink>
      <w:r>
        <w:rPr>
          <w:rFonts w:ascii="arial" w:eastAsia="arial" w:hAnsi="arial" w:cs="arial"/>
          <w:color w:val="000000"/>
          <w:sz w:val="20"/>
          <w:lang w:val="en-US" w:eastAsia="en-US" w:bidi="ar-SA"/>
        </w:rPr>
        <w:t xml:space="preserve"> at paras. 7 and 8 Madam Justice Brown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To succeed on an application pursuant to s. 18, the applicant must demonstrate:</w:t>
      </w:r>
    </w:p>
    <w:p>
      <w:pPr>
        <w:numPr>
          <w:numId w:val="7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proceedings are vexatious in the sense of having been taken in the absence of objectively reasonable ground; and</w:t>
      </w:r>
    </w:p>
    <w:p>
      <w:pPr>
        <w:numPr>
          <w:numId w:val="7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proceedings have been brought habitually or persistently, such that the litigant has continued obstinately in the course of conduct, despite protests or criticism. </w:t>
      </w:r>
      <w:r>
        <w:rPr>
          <w:rFonts w:ascii="arial" w:eastAsia="arial" w:hAnsi="arial" w:cs="arial"/>
          <w:i/>
          <w:color w:val="000000"/>
          <w:sz w:val="20"/>
          <w:lang w:val="en-US" w:eastAsia="en-US" w:bidi="ar-SA"/>
        </w:rPr>
        <w:t>(British Columbia) Public Guardian and Trustee v. Brown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2002 BCSC 1152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Lang Michener v. Fabian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the Ontario High Court described the characteristics of a typical vexatious proceeding:</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bringing one or more actions to decide an issue which has already been determined by a court of competent jurisdiction;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actions brought for an improper purpose, including the harassment or oppression of other parties by multifarious proceedings brought for purposes other than the assertion of legitimate rights;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grounds and issues raised tend to be rolled forward into subsequent actions and repeated and supplemented, often with actions brought against the lawyers who have acted for or against the litigant in earlier proceedings;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the person instituting the proceedings to pay the costs of unsuccessful proceedings;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persistently taking unsuccessful appeals from judicial decisions;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Vancouver City Savings Credit Union v. Randhawa</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2011 BCSC 1308</w:t>
        </w:r>
      </w:hyperlink>
      <w:r>
        <w:rPr>
          <w:rFonts w:ascii="arial" w:eastAsia="arial" w:hAnsi="arial" w:cs="arial"/>
          <w:color w:val="000000"/>
          <w:sz w:val="20"/>
          <w:lang w:val="en-US" w:eastAsia="en-US" w:bidi="ar-SA"/>
        </w:rPr>
        <w:t>, Harris J. (now J.A.) wrote at para.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When set against those criteria, proceedings have been taken habitually or persistently in the absence of objectively reasonable grounds. They have been pursued obstinately, despite judicial criticism and clear statements by other judges of the relevant principles applicable to the matters before the court. The respondents have repeatedly brought matters that have previously been decided back to the court in circumstances where it is obvious that the application could not succeed. Those applications, in the words of Ryan J.A., have been doomed to fail. The grounds and issues raised have tended to be rolled forward into subsequent proceedings where they have been repeated and supplemented. The proceedings have improperly attempted to ensnare counsel. The respondents have failed responsibly to pursue the procedural avenues open to them to deal with any legitimate concerns that they have. All of this is sufficient to justify concluding that the respondents are vexatious litigants and the order should be granted. It is not necessary for me to conclude, and I do not conclude, that the proceedings have been brought for an improper purpose in order to harass or oppress others rather than to assert what the respondents believe to be their legitimate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say that since that time, Ms. Stein has commenced or carried on more vexatious proceedings and that her conduct in that regard has now attracted, on several occasions, the kind of judicial criticism that Affleck J. could not find in the record placed before him. They say, on that basis, that Ms. Stein has since "crossed the line" that Affleck J. held her not to have crossed as of December 28,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refer in particular to the following new developments that have occurred in Ms. Stein's various proceedings since then:</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interlocutory applications in the Workers Compensation Proceedings, three of which (filed on January 30, May 4, 2017 and May 25, 2017, respectively) seeking production of essentially the same records she seeks in this action;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Saunders J. dated May 14, 2018 dismissing the petition seeking judicial review in the Workers Compensation Proceedings;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Stein's notice of appeal from that decision filed June 12, 2018 (the appeal has since been heard and remains under reserve);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Court's dismissal of the petition seeking judicial review in the Human Rights Proceedings;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of the Court of Appeal dated June 14, 2018 dismissing her appeal from that decision;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of her application for leave to appeal to the Supreme Court of Canada from that decision, dated March 28, 2019;</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Mayer J. dated January 29, 2018 dismissing the Freeze Action under Rules 9-5(1)(a) and 9-6(5)(a);</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application filed June 12, 2017 in the Retaliation Complaint Proceedings seeking production of essentially the same records that are sought in this action;</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consent dismissal order in the Retaliation Complaint Proceedings dated January 24, 2019, dismissing the claim as if judgment had been pronounced on the merits;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application filed September 21, 2017 in the Accommodation Complaint Proceedings seeking production of essentially the same records that are sought in this action;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of that application by McEwan J. dated October 3, 2017, with liberty to reapply;</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notice of application filed October 17, 2018 in the Accommodation Complaint Proceedings seeking production of the MSP billing records that are sought in this action;</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Myers J. dated July 22, 2019 dismissing the petition in the Accommodation Complaint Proceedings as well as the interlocutory applications brought within it seeking further document production, leave to adduce fresh evidence and anonymization;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of Keebler Action No. 2 on February 27, 2019;</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application filed April 24, 2019 in Keebler Action No. 2 seeking, among other things, production of the MSP billing records that are sought in this action;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 to that application filed June 27, 2019 adding a demand for production of the unredacted day sheets sought in this action and an order for anonymity;</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Dillon J. dated August 12, 2019 dismissing Keebler Action No. 2 as a duplication of the claim previously struck by Affleck J. and awarding the defendants special costs;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filing on May 13, 2019 of two new petitions seeking to "overturn" certain earlier BCHRT decisions and retroactive anonymity;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petition filed May 31, 2019 seeking similar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To these must now be added my decision striking the claim in this action as disclosing no reasonable claim on the pleadings and on the basis that the action itself is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agree with the defendants that, at least since the decision of Affleck J. was pronounced on December 28, 2016, Ms. Stein has been shown to have commenced legal proceedings lacking in "objectively reasonable grounds" that are, as such, "doomed to fail." She has, moreover, now been shown to have commenced fresh proceedings seeking to relitigate previously dismissed claims "habitually and persistently", and to have done so "despite judicial criticism and clear statements by other judges of the relevant principles applicable to the matters before the court" - including the dicta of Affleck J. himself, Brundrett J., Mayer J. and Winteringham J. and others referred to earlier in these reasons, as noted by Myers J., Dillon J. and now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find that Ms. Stein has, therefore, crossed the line that justifies an order under s. 18 of the </w:t>
      </w:r>
      <w:r>
        <w:rPr>
          <w:rFonts w:ascii="arial" w:eastAsia="arial" w:hAnsi="arial" w:cs="arial"/>
          <w:i/>
          <w:color w:val="000000"/>
          <w:sz w:val="20"/>
          <w:lang w:val="en-US" w:eastAsia="en-US" w:bidi="ar-SA"/>
        </w:rPr>
        <w:t>SCA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remains only the question of whether my order should apply to all new proceedings that Ms. Stein may commence or only to those arising from the circumstances that are the subject of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appears that Ms. Stein's vexatious conduct has flowed exclusively from her complaint about the number of stress tests that she was made to administer while working for the Keeblers. My order will therefore be to bar Ms. Stein from commencing any further action in this Court or the Provincial Court of British Columbia against the Keeblers, their counsel or counsel for their counsel, or to commence or carry on any proceeding seeking judicial review of administrative decisions dealing, directly or indirectly, with her complaints about her treatment while working for the Keeblers,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make the following orders: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is struck, without leave to amend, pursuant to Rules 9-5(1)(a), (b) and (d);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 18 of the SCA, I declare Ms. Stein to be a vexatious litigant;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Stein is barred under s. 18 of the SCA from instituting or carrying on any proceedings in this Court and in the Provincial Court of British Columbia, as described above, without leave of the Court;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granted their costs of the application at Scale B;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Stein's signature approving the order as to form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MILMAN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Thompson v. Saanich (District) Police Department, [2009] B.C.J. No. 2800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08-1887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2800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3799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Randall James Thompson, Plaintiff, and Sgt. Barbara Webber, Cst. Heath Barkley, Sgt. (former Cst.) E.M. (Liz) Makarewich, The Corporation of the District of Saanich,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44" w:name="Counsel_7"/>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R.J.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Hargreaves.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7"/>
      <w:bookmarkEnd w:id="45"/>
      <w:r>
        <w:pict>
          <v:line id="_x0000_s1051"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R.D. WILSON J. (orally)"/>
            <w:bookmarkEnd w:id="46"/>
            <w:r>
              <w:rPr>
                <w:rFonts w:ascii="arial" w:eastAsia="arial" w:hAnsi="arial" w:cs="arial"/>
                <w:b/>
                <w:color w:val="000000"/>
                <w:sz w:val="30"/>
                <w:lang w:val="en-US" w:eastAsia="en-US" w:bidi="ar-SA"/>
              </w:rPr>
              <w:t>R.D. WILSON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order I am going to make, Mr. Thompson, is that paragraphs 12 through 13, 20 through 32, paragraph 35, paragraphs 44 through 46, paragraphs 53 through 65, and 67 through 75 of the statement of claim are struck out. Paragraph 18 is also struck out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second order is that your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am going to try to explain to you why I came to those conclusions. You will be able to obtain a transcript of my reasons. You have 30 days to appeal that decision by filing a notice of appeal in the Court of Appeal Registry. I will not recite each of the paragraphs that are the subject of this ruling. A copy of the statement of claim will be attached as a schedule to the formal minute of the order I am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is the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action sounds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was commenced 1 May 2008. A statement of defence was filed 23 June 2008. In their statement of defence, the defendants plead, among other things, that the defendants Webber, Barkley, and Makarewich, are police officers and are immune from liability pursuant to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They also plead that the allegations in the numbered paragraphs in that pleading disclose no cause of action against the defendants, or any of them, and are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outset of the trial, the defendants brought on a preliminary motion for a determination of those two issues raised in the statement of defence. Mr. Thompson has conceded that a number of those paragraphs do not comply with Rule 19(1) of the Rules of Court. Accordingly, those paragraphs which contain argument or evidence or irrelevant allegations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remains is sufficient to understand the nature of the plaintiff's claim. From the evidence which has been pleaded and the opinions expressed in the pleading, I can find as a fact that Mr. Thompson, the plaintiff, is the father of two infant children. Pursuant to an order, I understand, of the Provincial Court of British Columbia, at one point, a custodial regime was established granting joint custody and joint guardianship of the children to Mr. Thompson and his former wife (the marriage having been dissolved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8 June 2007, the children disclosed to Mr. Thompson certain disciplinary conduct of their mother, Linda Thompson. On the basis of information received from the children, Mr. Thompson believed that Linda Thompson had been striking these children with a kitchen spatula, among other things. He took that concern of Linda Thompson's conduct to the Saanich police department. He made a complaint, I take it, that Linda Thompson was assaulting these two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September of 2007, an officer of the Saanich police department interviewed Linda Thompson, and in October of 2007, an officer interviewed the children. As a result of those interviews, the officers received information which would establish a compelling case that Linda Thompson was assaulting the two children. The information included information from the children and admissions from Linda Thompson herself that she had indeed assaulted the children with a spatula.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a further interview conducted of a person out of the Province of British Columbia on 18 October 2007, and following that interview, the Saanich police department closed the file and took no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nugget of the plaintiff's action is defined in paragraphs 48 through 52 of his statement of claim, and these allegations are as follows: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interviews of the Children confirmed their original report of assault/abuse and confirmed the Statements from Randall Thompson (June, 2007) and Silke Stein (September, 2007), the Saanich Police concluded that they would not forward a report to Crown counsel or recommend assault charges. The Saanich Police closed the file.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Saanich Police did not forward the Hannah and Rebecca Thompson file or information to the Crown Counsel for assault charges against Linda Thompson. The non-actions of the Saanich Police were Negligent, and they did not properly carry out their Duties as Police Officers. The Police Officers did not respond reasonably and in good faith.</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Police Officer who had the same information would have forwarded the Hannah and Rebecca Thompson file (or report) and information to the Crown counsel recommending assault charges to be laid against Linda Thompson.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Police Officer who had the same information would have forwarded the Hannah and Rebecca Thompson file (or report) and information to Agencies such as the Ministry of Children and Family Development (MCFD) for further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Police Officer who had the Hannah and Rebecca Thompson file (or report) and information would have continued with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So that, as I understand it, is the basis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consequences to this plaintiff are pleaded at paragraphs 76 and 77. Paragraph 76 pleads: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life of Randall Thompson has been profoundly damaged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Saanich Police Officers. Randall Thompson has suffered the emotional pain and loss of his two girls. The trust has been broken between Randall Thompson and his two daughters. Much time has been lost between Randall Thompson and his two daughters. It will take many years to re-build the relationship between Randall Thompson and his two daughters, with help including counselling.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lives of Hannah and Rebecca Thompson have been profoundly damaged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Saanich Police Officers. The emotional and physical pain and suffering endured by Hannah and Rebecca is felt by their father. It will take the Children many years of help and counselling to try and re-build the relationship with their father, and to deal with the abuse and assault of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Thompson's position is, as I understand him, that but for the officers'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forward the matter to Crown counsel, the alienation of the children from himself would not have occurred. Mr. Thompson says the officers contributed to parental alienation by his former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are three grounds upon which I find that this claim, beyond a reasonable doubt, is bound to fail. First, there is no allegation that the defendants owed a duty of care to Mr. Thompson, the plaintiff.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the court concluded as a matter of law that police do have a duty of care to persons accused of crime. There is a discussion, lengthy discussion, of the analysis of how the Supreme Court of Canada has established that duty. But Mr. Thompson is not an accused person, and never was. I find, under the authority of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Saanich police owed no duty of care to Mr. Thompson. There may be a duty of care owed by police officers to members of a family of a person who suffers, for example, death at the hands of police officers; and it is alleged that the chief of police of the police department involved has negligently failed to comply with the provisions of Ontario legislation involving investigations into police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That is apparent from the decision of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But no authority has been advanced for the proposition that members of a police department have a duty of care to any complainant. As a general proposition, Mr. Thompson's argument is this: if A reports to a police officer that B has committed a criminal offence against C, then the police officer has a duty of care to A, in the conduct of the investigation, if any, which follows up from the complaint. Or, more particularly, as I understand Mr. Thompson in this case, he is a non-custodial parent, is intimately involved with the victims of the alleged crime, and a police officer, receiving a report from a non-custodial parent, that the custodial parent is committing a criminal offence, against the children subject to that custodial regime, owes a duty of care to the non-custodial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Whether general or particular, I am not persuaded that the present law recognizes a duty of care to a person in that position as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Thompson has referred to the discussion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by the chief justice on the extension of categories in which a duty of care may be found. It is not appropriate on an application under which this is, Rule 19(24), to launch into that kind of an inquiry, and if that was the only reason for this application, then the matter would have to go to trial so that the analysis referred to by the chief justice into whether or not a new category of duty of care should be established in the circumstances, could be heard and determined; but that is not the only flaw in this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fatal ground is that, as the defendants have pleaded, the defendants Webber, Barkley, and Makarewich are police officers. That is alleged in paragraph 3 of the statement of claim; and admitted at paragraph 5 of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of this province reads as follows: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section, </w:t>
      </w:r>
      <w:r>
        <w:rPr>
          <w:rFonts w:ascii="arial" w:eastAsia="arial" w:hAnsi="arial" w:cs="arial"/>
          <w:b/>
          <w:color w:val="000000"/>
          <w:sz w:val="20"/>
          <w:lang w:val="en-US" w:eastAsia="en-US" w:bidi="ar-SA"/>
        </w:rPr>
        <w:t>"police officer"</w:t>
      </w:r>
      <w:r>
        <w:rPr>
          <w:rFonts w:ascii="arial" w:eastAsia="arial" w:hAnsi="arial" w:cs="arial"/>
          <w:color w:val="000000"/>
          <w:sz w:val="20"/>
          <w:lang w:val="en-US" w:eastAsia="en-US" w:bidi="ar-SA"/>
        </w:rPr>
        <w:t xml:space="preserve"> means a person holding an appointment as a constable under this Act.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That immunity from suit does not apply to a municipality in the case of a tort committed by its constables. Pursuant to s. 21(3), the immunity does not apply if the police officer, in relation to the conduct of the subject matter of the action, has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 There is no pleading that would lead to a finding that any of the exceptions in s. 21(3) are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that statute, the claim against the defendants Webber, Barkley, and Makarewich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ground is the remedy, the so-called compensable damage said to have been suffered by Mr. Thompson as a result of the negligent conduct of the police officers. The damages, as I understand this pleading, are particularized in paragraphs 76 and 77 of the statement of claim. Mr. Thompson has made impassioned submissions with respect to the effect of the non-action on the part of the police officers in destroying the relationship between himself and his two children. Their mother has, according to the pleading, completely alienated these children from their father and has characterized their father as an evil person. As I understand him, the defendants have contributed to the creation of "Parental Alienation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law I feel bound to apply in this case I take from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Beginning at para. 36, Mr. Justice Thackray analyzed the notion of compensable damages in tort, intentional tort, and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statement of claim alleges that Mr. Borzoni's conduct resulted in a visible and provable illness and that through his alleged malicious conduct he intended to inflict nervous shock, anguish, and extreme despair. In </w:t>
      </w:r>
      <w:r>
        <w:rPr>
          <w:rFonts w:ascii="arial" w:eastAsia="arial" w:hAnsi="arial" w:cs="arial"/>
          <w:i/>
          <w:color w:val="000000"/>
          <w:sz w:val="20"/>
          <w:lang w:val="en-US" w:eastAsia="en-US" w:bidi="ar-SA"/>
        </w:rPr>
        <w:t>Guay v. Sun Publishing Co.</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[1953] 2 S.C.R. 216</w:t>
        </w:r>
      </w:hyperlink>
      <w:r>
        <w:rPr>
          <w:rFonts w:ascii="arial" w:eastAsia="arial" w:hAnsi="arial" w:cs="arial"/>
          <w:color w:val="000000"/>
          <w:sz w:val="20"/>
          <w:lang w:val="en-US" w:eastAsia="en-US" w:bidi="ar-SA"/>
        </w:rPr>
        <w:t xml:space="preserve"> at 238, Estey J., in his majority concurring judgment, set out what must be proved on the latter element in order that damages may be recovered citing the following from </w:t>
      </w:r>
      <w:r>
        <w:rPr>
          <w:rFonts w:ascii="arial" w:eastAsia="arial" w:hAnsi="arial" w:cs="arial"/>
          <w:i/>
          <w:color w:val="000000"/>
          <w:sz w:val="20"/>
          <w:lang w:val="en-US" w:eastAsia="en-US" w:bidi="ar-SA"/>
        </w:rPr>
        <w:t>Pollock on Torts</w:t>
      </w:r>
      <w:r>
        <w:rPr>
          <w:rFonts w:ascii="arial" w:eastAsia="arial" w:hAnsi="arial" w:cs="arial"/>
          <w:color w:val="000000"/>
          <w:sz w:val="20"/>
          <w:lang w:val="en-US" w:eastAsia="en-US" w:bidi="ar-SA"/>
        </w:rPr>
        <w:t>, 15th ed. at p.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state of mind such as fear or acute grief is not in itself capable of assessment as measurable temporal damage. But visible and provable illness may be the natural consequence of violent emotion, and may furnish a ground of action against a person whose wrongful act or want of due care produced that emotion. </w:t>
      </w:r>
      <w:r>
        <w:rPr>
          <w:rFonts w:ascii="arial" w:eastAsia="arial" w:hAnsi="arial" w:cs="arial"/>
          <w:color w:val="000000"/>
          <w:sz w:val="20"/>
          <w:u w:val="single"/>
          <w:lang w:val="en-US" w:eastAsia="en-US" w:bidi="ar-SA"/>
        </w:rPr>
        <w:t>In every case the question is whether the shock and the illness were in fact natural or direct consequences of the wrongful act or default; if they were, the illness, not the shock, furnishes the measurable damage</w:t>
      </w:r>
      <w:r>
        <w:rPr>
          <w:rFonts w:ascii="arial" w:eastAsia="arial" w:hAnsi="arial" w:cs="arial"/>
          <w:color w:val="000000"/>
          <w:sz w:val="20"/>
          <w:lang w:val="en-US" w:eastAsia="en-US" w:bidi="ar-SA"/>
        </w:rPr>
        <w:t>, and there is no more difficulty in assessing it than in assessing damages for bodily injuries of any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my opinion the pleaded material facts do not support the proposition that the suggested injuries were caused by the alleged actions of Mr. Borzoni. Recognizable psychiatric illnesses, such as are defined in the </w:t>
      </w:r>
      <w:r>
        <w:rPr>
          <w:rFonts w:ascii="arial" w:eastAsia="arial" w:hAnsi="arial" w:cs="arial"/>
          <w:i/>
          <w:color w:val="000000"/>
          <w:sz w:val="20"/>
          <w:lang w:val="en-US" w:eastAsia="en-US" w:bidi="ar-SA"/>
        </w:rPr>
        <w:t>Diagnostic and Statistical Manual of Mental Disorders</w:t>
      </w:r>
      <w:r>
        <w:rPr>
          <w:rFonts w:ascii="arial" w:eastAsia="arial" w:hAnsi="arial" w:cs="arial"/>
          <w:color w:val="000000"/>
          <w:sz w:val="20"/>
          <w:lang w:val="en-US" w:eastAsia="en-US" w:bidi="ar-SA"/>
        </w:rPr>
        <w:t xml:space="preserve"> (DSM-IV) for example, amount to visible and provable illnesses for the purposes of the tort of the intentional infliction of mental suffering. However, emotional stress, mental anguish and despair, the emotional states pleaded by the appellants, are not generally accepted as amounting to "visible and provable illness" for the purposes of the tort of the intentional infliction of mental suffering.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[2006] O.J. No. 4964</w:t>
        </w:r>
      </w:hyperlink>
      <w:r>
        <w:rPr>
          <w:rFonts w:ascii="arial" w:eastAsia="arial" w:hAnsi="arial" w:cs="arial"/>
          <w:color w:val="000000"/>
          <w:sz w:val="20"/>
          <w:lang w:val="en-US" w:eastAsia="en-US" w:bidi="ar-SA"/>
        </w:rPr>
        <w:t xml:space="preserve"> (C.A.), the Ontario Court of Appeal reaffirmed its earlier position with respect to liability in cases of psychiatric harm: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Canadian law, a plaintiff can recover for the negligent infliction of psychiatric damage if he or she establishes two propositions - first, that the psychiatric damage suffered was a foreseeable consequence of the negligent conduct; second, that the psychiatric damage was so serious that it resulted in a recognizable psychiatric illness: see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389-92.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Then in the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matter,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said this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courts have been cautious in protecting an individual's right to psychiatric well-being, compensation for damages of this kind is not foreign to tort law. As the law currently stands, that the appellant has suffered grief or emotional distress is insufficient. Nevertheless, it is well established that compensation for psychiatric damages is available in instances in which the plaintiff suffers from a "visible and provable illness" or "recognizable physical or psychopathological harm"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 such consequence is alleged in the statement of claim. Although Mr. Thompson argues that he will be able to call expert evidence about the nature of the parental alienation syndrome, there is no evidence that Mr. Thompson has suffered a recognizable psychiatric illness as a result of the conduct of his former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significance of the extract from the opinion of Thackray, J.A. which I have emphasized, in paragraph 24, above, is this: if you substitute the words "parental alienation syndrome" for the word "shock", then the dispositive proposition of law for this case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is whether the parental alienation syndrome and the illness were in fact natural or direct consequences of the wrongful act or default; if they were, the illness, not the parental alienation syndrome, furnishes the measurable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Now, Mr. Thompson, that concludes an explanation of my disposition of the application and your action. Do you have any questions?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RE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I will make an order that a transcript of my reasons be prepared and that the cost thereof be borne by the Attorney General. Mr. Hargreaves will tell you what procedures you will have to follow if you want to take this matter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RANDALL THOMPSON: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HARGREAVES: Well, with respect, My Lord, I will advise him of those sections in the Court of Appeal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You will advise -- thank you, yes, the sections dealing with impecunious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All right. We will adjourn.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RANDALL THOMPSON: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HARGREAVES: My Lord, I wonder if I can have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Pardon?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HARGREAVES: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You have asked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HARGREAVES: They were asked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They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HARGREAVES: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Wotherspoon v. Hameluck, [2014] B.C.J. No. 2823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M124813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248 A.C.W.S. (3d) 975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M.V.R. (6th)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3416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Tyler Wotherspoon, Plaintiff, and Jenelle Hameluck,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jc w:val="both"/>
        <w:rPr>
          <w:rFonts w:ascii="arial" w:eastAsia="arial" w:hAnsi="arial" w:cs="arial"/>
          <w:sz w:val="20"/>
          <w:lang w:val="en-US" w:eastAsia="en-US" w:bidi="ar-SA"/>
        </w:rPr>
      </w:pPr>
      <w:bookmarkStart w:id="47" w:name="Counsel_8"/>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Brown, M.J. Holroyd.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J.W. Marquardt.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8"/>
      <w:bookmarkEnd w:id="48"/>
      <w:r>
        <w:pict>
          <v:line id="_x0000_s1054"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C.E. HINKSON C.J.S.C."/>
            <w:bookmarkEnd w:id="49"/>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evening of July 27, 2009, the plaintiff sustained serious injuries when he was involved in a collision with a motor vehicle that was at that time owned and operated by the defendant. The collision occurred in the intersection of Austin Avenue and Gatineau Place in Burnaby, British Columbia. Pursuant to the order of the Registrar, dated March 28, 2014, the determination of liability for the collision was ordered to be heard separately from the assessment of damages. These reasons for judgment will therefore address only the liability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born on August 14, 1991. He was 17 years of age, and lived with his parents and his sister in Port Moody on the date of the collision. He had concluded his high school education in Port Moody, but was attending summer school during the day in order to complete the requirements for grade 11 Social Studies. He had a loosely enforced curfew of 11:00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he resided in Port Moody, the plaintiff was fully familiar with the area and the intersection where the collision occurred. He estimated that he had been there 200 or more times before the collision, and I accept his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July 27, 2009 was a clear summer evening in Burnaby, British Columbia. That evening, the plaintiff was wearing a grey T-shirt, a pair of long purple, black and white shorts, and black running shoes with metal studs and bright red laces. He had a long board and headphones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collision occurred, the defendant, her fiancé Mr. De La Cour, (who is now her husband), and a third person, were returning from a birthday celebration for a friend of the defendant's fiancé in the defendant's 1992 Hyundai Elantra motor vehicle. The celebration had taken place in Vancouver, and the defendant was returning to Coquitlam to drop off her two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was also familiar with the area and the intersection, and agreed that it was not unusual for people to be crossing Austin Avenue at its intersection with Gatineau Place if the Skytrain had recently stopped. She said that she noted pedestrians to her right, beyond the intersection of Austin Avenue and Gatineau Place, as she headed east along Austin Avenue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traffic control lights at the intersection of Austin Avenue and Gatineau Place rest with a green light for traffic travelling along Austin Avenue. The control lights for traffic on Gatineau Place will only turn green if there are vehicles waiting on Gatineau Place at the intersection, or if pedestrians on Gatineau Place push the button to activate the crosswalk signal to cross Austin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If the lights for traffic or pedestrians on Gatineau are triggered, the control device will not change until there is a three second gap in the traffic on Austin Avenue, after which the lights controlling traffic on Austin Avenue will turn yellow for four seconds, and then all of the lights for traffic and pedestrians in all directions at the intersection will turn red for one second, following which the light for traffic on Gatineau Place will turn green. If the pedestrian crosswalk light has been pressed, the crosswalk signal will turn to a "Walk" signal at the same time that the lights for traffic on Gatineau Place turn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activated, the crosswalk signal for pedestrians on Gatineau will display a "Walk" signal for seven seconds, following which, a "Do not Walk" signal will be displayed for twenty-one seconds, while the lights allowing traffic on Gatineau Place to cross Austin Avenue will remain green, and the lights for traffic on Austin Avenue will remain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Travelling east on Austin Avenue from the Lougheed Highway there is a Skytrain station on the right hand side of Austin Avenue near the intersection of Austin Avenue and Gatineau Place, and the Lougheed Shopping Mall to the left. There is one left turn lane on Austin Avenue at Gatineau Place for each of the east and west bound traffic and three eastbound and three westbound through lanes. There are two through lanes for each of the north and south bound traffic on Gatineau Place at Austin Avenue. There are marked crosswalks on all four sides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distance from the south curb on Gatineau Place to the north curb on Gatineau Place is twenty-seven metres at Austin Avenue. The distance from the west curb on Austin Avenue to the east curb at Gatineau Place is twenty-six metres. The crosswalks are roughly three metres wide. The distance from the intersection of the Lougheed Highway to Gatineau Place on Austin Avenue is 147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vehicle travelling at a speed of 45 kmh will cover 12.5 metres per second, and a vehicle travelling at 50 kmh will cover 13.9 metres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alleges that the defendant entered the intersection of Austin Avenue and Gatineau Place ("the intersection") when the traffic control device for traffic eastbound on Austin Avenue was red, or in the alternative, yellow. He alleges that the defendant was negligent in so doing, and particularizes her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operating the Hyundai without due care and attention and in violation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the Hyundai while her ability to do so was impaired by any one or more of alcohol, drugs or fatigue, or any other impairment that may be proven at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the Hyundai without any brakes or, in the alternative, defective brakes, or, in the further alternative, in failing to apply the Hyundai's brakes in time to avoid a collision in the circumstances;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the Hyundai at an excessive rate of speed in the circumstances;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reduce the speed of the Hyundai reasonably or in time to avoid the collision or failing to stop the Hyundai reasonably or in time to avoid the collision;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proper and careful lookout;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the Hyundai under proper or any control;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confine her attention to operating the Hyundai;</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evasive action;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proper, or any, precaution to avoid a collision in the circumstances;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due care to avoid colliding with a pedestrian on the highway;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yield the right of way to a pedestrian;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 mechanically defective Hyundai;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as shall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denies liability for the collision, and alleges that at the time of the collision, the plaintiff:</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riding his long board without due care and attention;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keep any, or, in the alternative, an adequate lookout;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keep his long board under proper or any control;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reasonable or proper or any precaution to avoid the collision;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reduce the speed of his long board seasonably or in time to avoid the collision, or in the alternative, in failing to stop his long board in time to avoid the collision;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turn seasonably or in time to avoid the collision or failed to direct the course of his long board to prevent it from coming into the collision when the same was, or should have appeared imminent;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riding his long board on a roadway without proper care and attention having regard to the time and place of the collision, the climatic conditions, the nature of the roadway, the traffic that was on the roadway, the mechanical condition of his long board and his own physical and mental condition;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give any or adequate warning to the defendant when the collision was, or should have appeared imminent;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his long board into the path of the defendant's vehicle in such a way that the defendant had no opportunity to avoid the collision;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wear proper protective safety garments including reflective clothing or a safety helmet.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disobeyed the pedestrian traffic control device and crossed contrary to the don't walk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Applicable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Sections 125, 128, 129, 132, 178 and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are relied upon by one or other or both of the parties. The relevant parts of these sections provide that: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red light alone is exhibited at an intersection by a traffic control signal,</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red light must not enter the roadway unless instructed that he or she may do so by a pedestrian traffic control signal,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red light exhibited after he or she entered the roadway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3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(1) When the word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Duty of Care of Drivers and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relies upon the incontestable premise that pedestrians and drivers owe a common law duty to take reasonable care for the safety of others and themselves when using a roadway. That duty is, of course, supplemented by the statutory duties found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Mr. Justice Anderson stated for the majority in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45 B.C.L.R. (2d) 194</w:t>
        </w:r>
      </w:hyperlink>
      <w:r>
        <w:rPr>
          <w:rFonts w:ascii="arial" w:eastAsia="arial" w:hAnsi="arial" w:cs="arial"/>
          <w:color w:val="000000"/>
          <w:sz w:val="20"/>
          <w:lang w:val="en-US" w:eastAsia="en-US" w:bidi="ar-SA"/>
        </w:rPr>
        <w:t xml:space="preserve"> (C.A.) at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 181(1) and (2) does not constitute an exclusive code relating to rights of way between pedestrians and vehicles. They are not a substitute for the common law duty of care owed by pedestrians and drivers to exercise due care for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contends that the case law establishes that once a pedestrian is lawfully on a highway, the driver of a vehicle must yield the right of way to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Royal Trust Company v. Toronto Transportation Commission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[1935] S.C.R. 671</w:t>
        </w:r>
      </w:hyperlink>
      <w:r>
        <w:rPr>
          <w:rFonts w:ascii="arial" w:eastAsia="arial" w:hAnsi="arial" w:cs="arial"/>
          <w:color w:val="000000"/>
          <w:sz w:val="20"/>
          <w:lang w:val="en-US" w:eastAsia="en-US" w:bidi="ar-SA"/>
        </w:rPr>
        <w:t>, Mr. Justice Davis, with whom the majority of the court agreed, stated at 674: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 motorman on a street car is entitled to assume that a pedestrian or a motorist approaching the street car tracks will stop to permit the street car to pass by and there was in this case a statutory right of way in favour of the street car. But the existence of a right of way does not entitle the motorman on the street car to disregard an apparent danger that confronts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Madam Justice Dickson discussed the relative duties of motorists and pedestrians at paras. 22 -- 24: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paras.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Regardless of who has the right of way, however,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Depending on the circumstances, from a driver's perspective one such hazard may be a jaywalking pedestrian: </w:t>
      </w:r>
      <w:r>
        <w:rPr>
          <w:rFonts w:ascii="arial" w:eastAsia="arial" w:hAnsi="arial" w:cs="arial"/>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upheld </w:t>
      </w:r>
      <w:hyperlink r:id="rId242"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 v. Insurance Corp. of British Columbia</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standard required of drivers in responding to pedestrian-created hazards such as jaywalking is not one of perfection. For example, in </w:t>
      </w:r>
      <w:r>
        <w:rPr>
          <w:rFonts w:ascii="arial" w:eastAsia="arial" w:hAnsi="arial" w:cs="arial"/>
          <w:i/>
          <w:color w:val="000000"/>
          <w:sz w:val="20"/>
          <w:lang w:val="en-US" w:eastAsia="en-US" w:bidi="ar-SA"/>
        </w:rPr>
        <w:t>Burke v. Leung</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[1996] B.C.J. No. 938</w:t>
        </w:r>
      </w:hyperlink>
      <w:r>
        <w:rPr>
          <w:rFonts w:ascii="arial" w:eastAsia="arial" w:hAnsi="arial" w:cs="arial"/>
          <w:color w:val="000000"/>
          <w:sz w:val="20"/>
          <w:lang w:val="en-US" w:eastAsia="en-US" w:bidi="ar-SA"/>
        </w:rPr>
        <w:t xml:space="preserve"> (S.C.) Kirkpatrick J. (as she then was) found the defendant driver was not negligent when he struck a pedestrian who ran, mid-block, into his path, despite the fact that other drivers in the area were able to stop in time: see also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upheld </w:t>
      </w:r>
      <w:hyperlink r:id="rId247"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Clifford v. Slater</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color w:val="000000"/>
          <w:sz w:val="20"/>
          <w:lang w:val="en-US" w:eastAsia="en-US" w:bidi="ar-SA"/>
        </w:rPr>
        <w:t>. The applicable standard of care is one of reasonable prudence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involved a pedestrian who had crossed almost all of five lanes of a street in a crosswalk, against the "Wait" signal. She was struck by the defendant's vehicle when she was only a few steps from the curb she was trying to reach. The defendant did not see the plaintiff before she struck her with her vehicle. Mr. Justice Fraser apportioned liability equally between the parties, holding that the presence of the plaintiff in the crosswalk was not an unforeseen emergency, but rather a reasonably apparent possibility, and that had the defendant maintained a proper lookout, she would have seen the pedestrian and could reasonably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Kozniuk</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2013 BCCA 46</w:t>
        </w:r>
      </w:hyperlink>
      <w:r>
        <w:rPr>
          <w:rFonts w:ascii="arial" w:eastAsia="arial" w:hAnsi="arial" w:cs="arial"/>
          <w:color w:val="000000"/>
          <w:sz w:val="20"/>
          <w:lang w:val="en-US" w:eastAsia="en-US" w:bidi="ar-SA"/>
        </w:rPr>
        <w:t>, the Court of Appeal upheld the decision of the trial judge, apportioning fault 70% against the defendant, and 30% against the plaintiff, for a collision involving the defendant's vehicle and the plaintiff pedestrian crossing the road in front of her outside an unmarked crosswalk. The pedestrian was crossing at an unmarked crosswalk in a well-lit intersection when he left the crosswalk to veer diagonally across the road to get to a bus stop. There was no evidence that the defendant tried to stop prior to the collision. The judge considered the plaintiff liable for failing to remain in the crosswalk, where he was more visible to traffic, and for not checking to make sure crossing outside the crosswalk was safe, but found the defendant liable for not maintaining a careful lookout and reducing her speed in an area where she should have known pedestrians were likely to be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Claydon v. Insurance Corporation of B.C.</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a pedestrian was walking across 152nd Street in Surrey, B.C. when she was struck and knocked to the ground by a vehicle driven by an unknown person. The plaintiff contended that the unknown driver was negligent in driving too quickly without regard for the safety of pedestrians. Madam Justice Baker found that where a pedestrian has established prior entry at an intersection she need not yield the right of way to a vehicle, even when not crossing at a crosswalk. She held that the accident was primarily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unknown driver in driving at an excessive rate of speed, failing to signal her intention to make a right turn, failing to anticipate pedestrians crossing the street, and failing to yield to pedestrians on the street when they were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Baker J. also found that the plaintiff had failed to meet the standard of care of a reasonably prudent pedestrian and was negligent in not crossing at a crosswalk, cutting the corner, and crossing the street at an angle. Having made herself less visible to right-turning vehicles by jay-walking, the plaintiff failed to keep a careful look-out for traffic and was instead attending to her conversation with her friend and therefore failed to see or hear the unknown driver's vehicle prior to impact. She found that the defendant driver was 75% liable, the plaintiff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at trial Mr. Justice Metzger found the appellant to be 75% at fault and the respondent 25% at fault as a result of a motor vehicle accident in which the respondent was struck by a backhoe driven by the appellant while the respondent was crossing a street in Kelowna at mid-block. The Court of Appeal allowed the appeal, setting aside the division of liability stated by the trial judge and replacing it with an equal division of liability. The Court of Appeal agreed that the respondent was not crossing in a crosswalk and chose to take a risk by crossing mid-block; she was therefore obligated to yield the right of way to vehicles on the road but did not do so. The Court stated that there is some duty that a pedestrian must take reasonable care for her own safety but concluded that each party had a duty to exercise care and that the question of degrees of fault are based upon the evidence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Niitamo v. ICBC</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xml:space="preserve"> at para. 22, Madam Justice Ballance held that a marked crosswalk is precisely the place where a motorist could reasonably expect to encounter another user of the road, and that in approaching a marked crosswalk in anticipation of crossing through it, a motorist assumes a heightened duty to take extreme care and maintain a vigilant lookout for those who might be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was considered by Mr. Justice Brown in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xml:space="preserve">, where, at para. 43 he stated that "[o]ne need not adopt the statement at para. 22 of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that a driver approaching a marked crosswalk must exercise "extreme care" to concur with the gist of the point that heightened vigilance is expected of a driver approaching a marked crosswalk, especially one that is so clearly marked by road painting, overhead signs and flashing lights, once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the trial judge dismissed a claim by Mr. Salaam arising from a motor vehicle collision. Mr. Justice Groberman, for the Court of Appeal, overturned the dismissal, finding that the defendant Abramovic had a duty to take care when he approached Salaam's car in the intersection, having had ample warning that she was not following the rules of the road. He concluded that a reasonable driver would not have insisted on the right of way, and certainly would not have driven aggressively through the intersection, aiming to pass within inches of Salaam's moving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paras. 25 and 26 of his reasons, Groberman J.A.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oft-quoted passages from the concurring judgment of Cartwright and Locke JJ.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460-61 (S.C.C.), succinctly set out the duties of a driver in the dominant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judgment of the Court of Appeal in that case was set aside and a new trial ordered [ </w:t>
      </w:r>
      <w:hyperlink r:id="rId255"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w:t>
      </w:r>
      <w:r>
        <w:rPr>
          <w:rFonts w:ascii="arial" w:eastAsia="arial" w:hAnsi="arial" w:cs="arial"/>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256"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gave evidence that on the evening of the collision he had been spending time with two friends. He said that he had consumed a single beer and smoked one marihuana joint, but that by the time he got off the Skytrain at the Lougheed Mall at 11:00 pm (he said that time was stamped on his Skytrain ticket), he was no longer feeling the effects of either the beer or the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gave evidence that he had intended to take a bus from the bus loop near the Lougheed Skytrain Station, but that as he missed his bus, he must have been going to the Tim Horton's restaurant at the Lougheed Mall when he came into collision with the defendant's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suffered a memory loss as a result of the injuries that he sustained in the collision. His last real memory before the collision is of getting off the Skytrain at the Lougheed station, and his next recollection is of being in hospital. Although he described what might be termed an out-of-body experience during a dream that permitted him to give evidence of aspects of the accident, I do not accept that his evidence based upon this experience is either admissible or reliable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gave evidence that she travelled back to Burnaby along the Trans-Canada Highway, and took the Gaglardi Road exit from the highway. She followed that exit to the Lougheed Highway, and then travelled along the Lougheed Highway until she reached a traffic light at the intersection of the Lougheed Highway and Austin Avenue. She stopped at that intersection as the light for traffic travelling in her direction was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gave evidence that she turned left from the Lougheed Highway onto Austin Avenue, and then headed east in the left hand through lane of Austin Avenue toward the next intersection at Austin Avenue and Gatineau Place. Her vehicle had an automatic transmission. She gave evidence that she was accelerating up the inclined street to reach the speed limit of 50 kmh, but that she had not quite reached that speed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said that she had a green light for her direction of travel from the time that she turned onto Austin Avenue from the Lougheed Highway, and that the light never changed to yellow, let alone red, before the collision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gave evidence that the collision between the plaintiff and her motor vehicle occurred around 11:00 pm. She said she was looking ahead of her when she entered the intersection. She did not see the plaintiff nor apply her brakes before the collision. Her first appreciation of the collision was when her windshield exploded. Thereafter she applied her brakes, braking steadily and hard, and on exiting her vehicle saw the plaintiff lying on the road.</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called two independent witnesses: Mr. Huxley and Mr. Snow, who both testified that they were at the Lougheed Mall on the evening of the collision. Mr. Huxley's evidence was that earlier in the evening, he had been at a friend's house playing video games and smoking marihuana, but that at around 10:00 pm he left the friend's house and walked to the Tim Horton's restaurant at the Lougheed Mall. On his way to the restaurant he encountered Mr. Snow and another friend, and the three men walked to the Tim Horton's, purchased coffee, and then walked along the sidewalk adjacent to the west side of the mall to the southwest corner of the mall where there are benches. The three men stopped at the benches to drink coffee and smoke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One can see the overhead traffic control lights for the intersection of Austin Avenue and Gatineau Place, but not the roadway or the crosswalks from that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Huxley's evidence was that at around 11:00 pm, he was standing near the benches with his back to the mall, with the Skytrain station to his left when he heard a screeching sound that he recognized to be tires squealing. He said that almost immediately he looked up and to his left towards the intersection of Austin Avenue and Gatineau Place and noted that the traffic light for travellers on Gatineau Place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Huxley also gave evidence that he and Mr. Snow went to view the scene of the collision and that Mr. Snow suggested that it was the plaintiff, who Mr. Huxley knew to see, lying on the roadway. Although the police attended the scene before Mr. Huxley left, he did not identify himself to them or to any of the emergency personnel who also attended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Snow gave evidence that he had been at his own home, playing video games during the evening of July 27, 2009, but left his home to get coffee at the Tim Horton's restaurant at the Lougheed Mall at about 9:30 pm. He arrived at the restaurant at about 10:00 pm, and encountered Mr. Huxley and another friend outside the restaurant. He said that the three of them walked to the same benches described by Mr. Huxley, where they remained for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Snow's evidence was that he sat on the top of the back of one of the benches, leaning against a concrete wall, with his feet on the seat of the bench, facing Mr. Huxley. He said he heard a thump followed by a screech coming from the direction of the intersection of Austin Avenue and Gatineau Place, and looked up immediately, noting that the light for southbound traffic leaving the Mall parking lot onto Austin Avenue at Gatineau Place was green, and that the light for traffic travelling on Austin Avenue was partially visible, and displayed a red glow.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Snow confirmed the evidence of Mr. Huxley that they walked to the accident scene, and on seeing the male lying on the roadway, debated whether or not it was the plaintiff whom he knew, and felt that he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De La Cour was called as a witness by the defendant. His evidence was that as the defendant's vehicle proceeded along Austin Avenue from the Lougheed Highway, the traffic light for eastbound traffic at the intersection of Austin Avenue and Gatineau Place remained green. He said that he saw no pedestrians trying to cross Austin Avenue at that intersection and that the first time that he was aware of any collision was when the windshield of the defendant's vehicle exploded.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De La Cour was cross-examined about the various conversations he had engaged in with the defendant, including conversations during the course of the trial. His evidence differed slightly from hers as to what they shared about the proceedings at trial. I am not persuaded from his cross-examination that Mr. De La Cour was other than credible, despite the differences between his evidence and that of the defendant as to what they had discussed during the trial.</w:t>
      </w:r>
      <w:r>
        <w:rPr>
          <w:rFonts w:ascii="arial" w:eastAsia="arial" w:hAnsi="arial" w:cs="arial"/>
          <w:sz w:val="20"/>
          <w:lang w:val="en-US" w:eastAsia="en-US" w:bidi="ar-SA"/>
        </w:rPr>
        <w:cr/>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Conviction for Disobeying a "Don't Walk"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 alleges that the plaintiff was charged with and convicted in Provincial Court of disobeying a "don't walk" light on January 25, 2012 after a trial. There was a trial of the violation charge at which witnesses were called, including the plaintiff. The Certificate of Conviction that was filed as an exhibit before me describes the plaintiff's offence as "Disobey don't walk sign or walk against wait light" in violation of s. 132(3)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on July 27, 2009. The plaintiff received a suspended sentence for this violation in traffic court by Judicial Justice Lim. The plaintiff did not appeal the decision of Judicial Justice 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 relies upon the decision of the Supreme Court of Canada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for her assertion that a previous conviction in a court of competent jurisdiction is, absent special circumstances, conclusive proof of all of the essential elements of that offence in a subsequent civil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that case, a recreation instructor for the City was charged with sexually assaulting a boy under his supervision. He pleaded not guilty. At trial before a judge alone, he testified and was cross-examined. The trial judge found that the complainant was credible and that the instructor was not. The instructor was convicted, and his conviction was affirmed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City fired the instructor who grieved the dismissal. At the arbitration hearing, the City submitted the complainant's testimony from the criminal trial and the notes of his supervisor, who had spoken to the complainant at the time. The complainant was not called to testify. The instructor testified, claiming that he had never sexually assaulted the boy. The arbitrator ruled that the criminal conviction was admissible evidence, but that it was not conclusive as to whether the instructor had sexually assaulted the boy. No fresh evidence was introduced. The arbitrator held that the presumption raised by the criminal conviction had been rebutted, and that the instructor had been dismissed without just cause. The Divisional Court quashed the arbitrator's ruling. The Court of Appeal upheld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paras. 52 -- 43 Madam Justice Arbour, writing for the majority and dismissing the appeal, (LeBel and Deschamps JJ. concurring in the result)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 from the system's point of view, relitigation carries serious detrimental effects and should be avoided unless the circumstances dictate that relitigation is in fact necessary to enhance the credibility and the effectiveness of the adjudicative process as a whole. There may be instances where relitigation will enhance, rather than impeach, the integrity of the judicial system, for example: (1) when the first proceeding is tainted by fraud or dishonesty; (2) when fresh, new evidence, previously unavailable, conclusively impeaches the original results; or (3) when fairness dictates that the original result should not be binding in the new context. This was stated unequivocally by this Court in </w:t>
      </w:r>
      <w:r>
        <w:rPr>
          <w:rFonts w:ascii="arial" w:eastAsia="arial" w:hAnsi="arial" w:cs="arial"/>
          <w:i/>
          <w:color w:val="000000"/>
          <w:sz w:val="20"/>
          <w:lang w:val="en-US" w:eastAsia="en-US" w:bidi="ar-SA"/>
        </w:rPr>
        <w:t>Danyluk, supra</w:t>
      </w:r>
      <w:r>
        <w:rPr>
          <w:rFonts w:ascii="arial" w:eastAsia="arial" w:hAnsi="arial" w:cs="arial"/>
          <w:color w:val="000000"/>
          <w:sz w:val="20"/>
          <w:lang w:val="en-US" w:eastAsia="en-US" w:bidi="ar-SA"/>
        </w:rPr>
        <w:t>, at para. 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discretionary factors that apply to prevent the doctrine of issue estoppel from operating in an unjust or unfair way are equally available to prevent the doctrine of abuse of process from achieving a similar undesirable result. There are many circumstances in which the bar against relitigation, either through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that of abuse of process, would create unfairness. If, for instance, the stakes in the original proceeding were too minor to generate a full and robust response, while the subsequent stakes were considerable, fairness would dictate that the administration of justice would be better served by permitting the second proceeding to go forward than by insisting that finality should prevail. An inadequate incentive to defend, the discovery of new evidence in appropriate circumstances, or a tainted original process may all overcome the interest in maintaining the finality of the original decision (</w:t>
      </w:r>
      <w:r>
        <w:rPr>
          <w:rFonts w:ascii="arial" w:eastAsia="arial" w:hAnsi="arial" w:cs="arial"/>
          <w:i/>
          <w:color w:val="000000"/>
          <w:sz w:val="20"/>
          <w:lang w:val="en-US" w:eastAsia="en-US" w:bidi="ar-SA"/>
        </w:rPr>
        <w:t>Danyluk, supra</w:t>
      </w:r>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Franco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suggestion that the proceedings before Judicial Justice Lim were tainted by fraud 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has offered the evidence of Mr. Snow, who did not give evidence before Judicial Justice Lim, but his evidence does not meet the requirements for new evidence as that term has been explained in </w:t>
      </w:r>
      <w:r>
        <w:rPr>
          <w:rFonts w:ascii="arial" w:eastAsia="arial" w:hAnsi="arial" w:cs="arial"/>
          <w:i/>
          <w:color w:val="000000"/>
          <w:sz w:val="20"/>
          <w:lang w:val="en-US" w:eastAsia="en-US" w:bidi="ar-SA"/>
        </w:rPr>
        <w:t>R. v. Palmer</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Araujo v. Vincent</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2012 BCSC 1836</w:t>
        </w:r>
      </w:hyperlink>
      <w:r>
        <w:rPr>
          <w:rFonts w:ascii="arial" w:eastAsia="arial" w:hAnsi="arial" w:cs="arial"/>
          <w:color w:val="000000"/>
          <w:sz w:val="20"/>
          <w:lang w:val="en-US" w:eastAsia="en-US" w:bidi="ar-SA"/>
        </w:rPr>
        <w:t xml:space="preserve">, the defendant was charged under s.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paid the ticket but gave evidence before Madam Justice Griffin that he did so because of discussions with his mother, who wanted to just pay the $90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paras. 29, Griffin J.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This case is one of those circumstances in which fairness dictates that evidence to rebut the prior conviction ought to be admitted because the stakes in the original proceeding were too minor to generate a full and robust response. In this regard, I rely on the Supreme Court of Canada decision in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Local 79</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not persuaded that fairness dictates that the original result should not be binding in the context of the proceedings before me. In the hearing before Judicial Justice Lim, the plaintiff was represented by counsel who cross-examined the witnesses called for the Crown by Constable Faustino, and who led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it would be an abuse of process to permit the plaintiff to challenge the verdict reached by Judicial Justice Lim as to his conviction for "Disobey don't walk sign or walk against wait light" in violation of s. 132(3)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That said, I find that the plaintiff is bound by the finding of Judicial Justice Lim only with respect to the essential elements of the offence for which he was convicted: that the light controlling vehicles and pedestrians travelling in his direction displayed a don't walk sign at some time during which the plaintiff occupied the intersection of Austin Avenue and Gatineau Place, and that he was a pedestrian at that time. I do not, however, consider that the defendant is bound by the finding that the plaintiff was a pedestrian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I am in error in finding that the plaintiff cannot challenge the verdict reached by Judicial Justice Lim, I nonetheless find that the traffic light for eastbound traffic on Austin Avenue at Gatineau Place was green from the time that the defendant proceeded onto Austin Avenue from the Lougheed Highway up to and including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contends that the evidence establishes that the defendant must have entered the intersection of Austin Avenue and Gatineau Place on either a red, or a stale yellow light for traffic proceeding east on Austin Avenue. He relies on the evidence of both Mr. Huxley and Mr. Snow in support of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set out above, the defendant and her husband both gave evidence that the traffic control signal for eastbound traffic on Austin Avenue prior to and at the time of the collision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evidence from her examination for discovery, which she confirmed at trial, was that the collision, "would have occurred between the centre of the intersection and the second [east] crosswalk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not persuaded that the timing of the events that Mr. Snow and Mr. Huxley described is so inconsistent with the events that occurred involving the plaintiff that their evidence should be rejected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accept that both Mr. Snow and Mr. Huxley endeavoured to provide what they accept to be an accurate account of the events as they now recall them, but do not accept that their mutually timed and serendipitous observations of the traffic lights for traffic proceeding southbound on Gatineau Place can be relied upon for either their timing or their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was Mr. Snow's evidence that he was not asked about the events surrounding the collision until he was approached some two months before trial by Mr. Huxley. I have no doubt that Mr. Huxley, without attempting to influence Mr. Snow's recollection would have shared his own recollections with Mr. Snow in the course of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Huxley had been smoking marihuana that evening, and while he denied any ongoing effect from the drug at the time of the collision, I am not prepared to accept that the effects of the drug did not have some effect on his observations and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Huxley gave evidence that he heard the screeching of tires before he looked up to see the traffic control lights. Mr. Snow testified that he heard a "thunk and a screech" before he looked up to see the traffic control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said that she stopped her vehicle after the collision, but that she did not hear the screech of her tires. Constable Faustino attended the scene within a half hour of the collision and found no tire marks indicating rapid deceleration at the scene of the collision, I find that there was no screeching or squealing of brakes before the collision. This finding removes most of the basis for these men to have looked towards the traffic control device for south bound Gatineau Place traffic. I reject as unbelievable the evidence that these two men first looked to the traffic lights after hearing an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prefer the evidence of the defendant and her husband to that of Mr. Snow and Mr. Huxley. I found the defendant to be a careful and credible witness. I do not consider that the cross-examination of her husband cast any doubt upon his evidence on this critical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defendant was proceeding along Austin Avenue on a green light at the time of the collision between her vehicle and the plaintiff, and had her vehicle under proper care and control, paying proper attention to her driving. I find as well that she had the statutory right of way.</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Location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clear from the RCMP photographs taken the night of the collision that the intersection was well lit, and the parties and the witnesses who gave evidence before me do not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RCMP photographs show a broken long board in the eastern north/south crosswalk at the eastern side of the intersection and a brightly coloured blanket, a single running shoe, and a set of headphones in the left through lane of Austin Avenue to the east of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RCMP photographs also show the resting place of the defendant's motor vehicle to the east of the intersection, in the left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RCMP photographs also depict the damage to the defendant's vehicle. The front windshield is smashed in front of the driver's seat, and there are dents to the driver's side of the vehicle immediately behind the front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was no evidence as to how the plaintiff had attempted to cross Austin Avenue at Gatineau Place when he came into collision with the defendant's motor vehicle. It was his evidence that he planned to go to the Tim Horton's restaurant in the Lougheed Mall when he missed the bus at the Skytrain station. That would have obliged him to cross Austin Avenue from south to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But the damage to the defendant's motor vehicle was to the front and the driver's side of the vehicle. Counsel for the plaintiff conceded that it was probable that the contact between the plaintiff and the defendant's vehicle occurred at the driver's door. If so, the plaintiff must have been crossing the intersection from north to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contends that he must have been within the crosswalk when the collision occurred. The onus of proof for this contention rests on the plaintiff, and I am unable to reach such a conclusion. As I have set out above, the photographs of the scene show the plaintiff's long board in the north/south crosswalk at the eastern side of the intersection and a brightly coloured blanket, a single running shoe, and a set of headphones in the left through lane of Austin Avenue to the east of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collision between the plaintiff and the defendant's vehicle occurred in the left hand eastbound through lane of Austin Avenue at or near the eastern north/south crosswalk across Austin Avenue, when the plaintiff contacted the driver's side of the defendant's vehicle.</w:t>
      </w:r>
      <w:r>
        <w:rPr>
          <w:rFonts w:ascii="arial" w:eastAsia="arial" w:hAnsi="arial" w:cs="arial"/>
          <w:sz w:val="20"/>
          <w:lang w:val="en-US" w:eastAsia="en-US" w:bidi="ar-SA"/>
        </w:rPr>
        <w:cr/>
      </w:r>
    </w:p>
    <w:p>
      <w:pPr>
        <w:numPr>
          <w:numId w:val="5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Defendant's Alleged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Unlike many of the authorities relied upon by the plaintiff, there is no evidence here of how the plaintiff got to the left hand eastbound through lane of Austin Avenue, nor any evidence that the defendant should or could have seen him prior to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the evidence of the defendant that she ingested no alcohol on the evening of July 27, 2009, and was not fatigued as she operated her vehicle that evening. I also accept her evidence that she did not use the prescription medication that she had been prescribed for post-operative pain on the evening of the collision, and that she was not experiencing pain in her leg while driving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reject the allegations that the brakes or any mechanical function of the vehicle that the defendant was operating were defective, as there was no evidence to support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find that the defendant was operating her vehicle below the posted rate of speed at the time of the collision, and that her speed at that time was a reasonable one given the time of day, the lighting in the area, and the traffic and pedestrians that she might reasonably expect to encounter as she travelled east on Austin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the defendant was operating her vehicle with the requisite care and attention required of her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Pinsent v. Brown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2013 BCSC 794</w:t>
        </w:r>
      </w:hyperlink>
      <w:r>
        <w:rPr>
          <w:rFonts w:ascii="arial" w:eastAsia="arial" w:hAnsi="arial" w:cs="arial"/>
          <w:color w:val="000000"/>
          <w:sz w:val="20"/>
          <w:lang w:val="en-US" w:eastAsia="en-US" w:bidi="ar-SA"/>
        </w:rPr>
        <w:t>, Madam Justice Ross commented at para. 34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that the driver did not see the pedestrian before striking him, is not in itself, sufficient to establish that the driver kept an inadequate lookout: </w:t>
      </w:r>
      <w:r>
        <w:rPr>
          <w:rFonts w:ascii="arial" w:eastAsia="arial" w:hAnsi="arial" w:cs="arial"/>
          <w:i/>
          <w:color w:val="000000"/>
          <w:sz w:val="20"/>
          <w:lang w:val="en-US" w:eastAsia="en-US" w:bidi="ar-SA"/>
        </w:rPr>
        <w:t>Plett v. ICBC</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(C.A.). The driver is required to operate his vehicle so that he will be able to avoid striking a pedestrian who is crossing his path in a reasonable manner: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Section 181(a)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that notwithstanding ss. 178, 179, and 180, a driver of a vehicle must, "exercise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question thus arises, was the plaintiff on Austin Avenue in time for the defendant, if she was maintaining a proper lookout, to see him and had the time, distance, and opportunity to </w:t>
      </w:r>
      <w:r>
        <w:rPr>
          <w:rFonts w:ascii="arial" w:eastAsia="arial" w:hAnsi="arial" w:cs="arial"/>
          <w:i/>
          <w:color w:val="000000"/>
          <w:sz w:val="20"/>
          <w:lang w:val="en-US" w:eastAsia="en-US" w:bidi="ar-SA"/>
        </w:rPr>
        <w:t>reasonably</w:t>
      </w:r>
      <w:r>
        <w:rPr>
          <w:rFonts w:ascii="arial" w:eastAsia="arial" w:hAnsi="arial" w:cs="arial"/>
          <w:color w:val="000000"/>
          <w:sz w:val="20"/>
          <w:lang w:val="en-US" w:eastAsia="en-US" w:bidi="ar-SA"/>
        </w:rPr>
        <w:t xml:space="preserve">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suggested that the plaintiff was riding his long board across the intersection when he collided with her vehicle, at a speed which prevented her from seeing him before the collision. In my view there is insufficient basis upon which I could make such a finding. Such a conclusion would be sheer speculation, in which I am not prepared to engage.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contends that as the defendant was familiar with the area where the collision occurred, her common law duty of care was to exercise extreme care and maintain a vigilant lookout for pedestrians in the marked crosswalks that she was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opinion, this submission overstates the duty on drivers traveling along a major thoroughfare at a speed less than the posted speed limit. The comments regarding the appropriate assumptions of drivers in regard to other drivers in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apply equally to the assumptions that drivers of vehicles are entitled to make with respect to the conduct of pedestrians, subject to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As Mr. Justice Tysoe explained in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(1988), 21 B.C.L.R. (2d) 273</w:t>
        </w:r>
      </w:hyperlink>
      <w:r>
        <w:rPr>
          <w:rFonts w:ascii="arial" w:eastAsia="arial" w:hAnsi="arial" w:cs="arial"/>
          <w:color w:val="000000"/>
          <w:sz w:val="20"/>
          <w:lang w:val="en-US" w:eastAsia="en-US" w:bidi="ar-SA"/>
        </w:rPr>
        <w:t xml:space="preserve"> (C.A.) No. at paras. 279: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was on the respondent to establish on a balance of probabilities that the appellant could, by the exercise of reasonable care, have avoided a collision with the respondent's car. In my view this onus can be discharged only by reliable evidence of time, distance, speed, the point at which the respondent's car became out of control and visible to the appellant and the place on the highway where the collision occurred. There is no room for guesswork or conjecture on these matters. Inference yes, but based on proven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approach the evidence with the following considerations in mind. When a person who has negligently created such a danger as the respondent created endeavours to saddle a driver in the appellant's position with a portion of blame by means or partly by means of mathematical calculations of distances and times, as is the case here, the premises on which the calculations are based must be established by much more than vague and ill-defined testimony. The evidence must be specific and accurate within very narrow limits and not broad ones. And, as Cartwright J. (as he then was) intimated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[Ont.], any doubts should not be resolved in favour of the respondent, whose unlawful conduct was fons et origo mali. In this case much of the testimony is vague and ill-defined. Insofar as the appellant and respondent themselves are concerned, this is understandable, for the salient events followed very quickly one upon the other and the parties must have been under considerable stress and in a state of excitement. Indeed, the impression of both of them was that the expired time was no more than one second. It is difficult for a jury to separate the wheat from the chaff in an emotionally charged trial lasting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opinion, the contention that the defendant, who I find was travelling below the posted speed limit for eastbound traffic on Austin Avenue, ought to have slowed for each crosswalk along Austin Avenue in case a pedestrian was disobeying the traffic control signals, is impractical and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bears the onus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As Ross J. commented in </w:t>
      </w:r>
      <w:r>
        <w:rPr>
          <w:rFonts w:ascii="arial" w:eastAsia="arial" w:hAnsi="arial" w:cs="arial"/>
          <w:i/>
          <w:color w:val="000000"/>
          <w:sz w:val="20"/>
          <w:lang w:val="en-US" w:eastAsia="en-US" w:bidi="ar-SA"/>
        </w:rPr>
        <w:t>Pinsent</w:t>
      </w:r>
      <w:r>
        <w:rPr>
          <w:rFonts w:ascii="arial" w:eastAsia="arial" w:hAnsi="arial" w:cs="arial"/>
          <w:color w:val="000000"/>
          <w:sz w:val="20"/>
          <w:lang w:val="en-US" w:eastAsia="en-US" w:bidi="ar-SA"/>
        </w:rPr>
        <w:t>, the mere fact that the driver does not see the pedestrian before striking him, is not in itself, sufficient to establish that the driver kept an inadequate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the plaintiff could not have been keeping an adequate lookout for his own safety. He has offered no explanation as to why he failed to avoid contacting the driver's side of the defendant's vehicle, and as I have rejected the evidence of Mr. Snow and Mr. Huxley, the plaintiff has been unable to offer any explanation as to how or where he entered the intersection, or as to how the defendant could have been expected to observe or anticipate him, so as to take any steps to avoid him coming into contact with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where the Courts found that had the defendants maintained a proper lookout, they should have seen the pedestrians and could reasonably have avoided the collisions, I am not persuaded that the defendant in this case failed to maintain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Nor am I prepared to make the findings that were made by Baker J. in </w:t>
      </w:r>
      <w:r>
        <w:rPr>
          <w:rFonts w:ascii="arial" w:eastAsia="arial" w:hAnsi="arial" w:cs="arial"/>
          <w:i/>
          <w:color w:val="000000"/>
          <w:sz w:val="20"/>
          <w:lang w:val="en-US" w:eastAsia="en-US" w:bidi="ar-SA"/>
        </w:rPr>
        <w:t>Claydon</w:t>
      </w:r>
      <w:r>
        <w:rPr>
          <w:rFonts w:ascii="arial" w:eastAsia="arial" w:hAnsi="arial" w:cs="arial"/>
          <w:color w:val="000000"/>
          <w:sz w:val="20"/>
          <w:lang w:val="en-US" w:eastAsia="en-US" w:bidi="ar-SA"/>
        </w:rPr>
        <w:t>, that the defendant in this case was driving at an excessive rate of speed, or failed to anticipate pedestrians crossing the street, or failed to yield to a pedestrian who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decision of Ballance J.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must be read in the context in which it was made. That context was that that the evidence before her was that the plaintiff cyclist before her was riding at a "regular pace", and was in a well-lit crosswalk and ought to have been seen by a cautious motorist ahead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find that the defendant drove her motor vehicle on July 27, 2009 with reasonable care and prudence in the circumstances facing her, and conclude that the plaintiff has failed to make out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 therefore dismiss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Albion Securities Co. v. Milne, [2000]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Downs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C981531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873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Albion Securities Company Limited, Malayan Mining and Securities Company Ltd., Northern Pacific Securities Company Limited, 465911 B.C. Ltd., Great Pacific Forum Inc., Great Pacific Forum Operations Inc. and GPF Holdings Corp., plaintiffs, and Lorne Milne, Pilot Pacific Developments Inc. and Douglas Symes &amp; Brissenden,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
      <w:bookmarkEnd w:id="50"/>
      <w:r>
        <w:rPr>
          <w:rFonts w:ascii="arial" w:eastAsia="arial" w:hAnsi="arial" w:cs="arial"/>
          <w:b/>
          <w:color w:val="000000"/>
          <w:sz w:val="20"/>
          <w:lang w:val="en-US" w:eastAsia="en-US" w:bidi="ar-SA"/>
        </w:rPr>
        <w:t>Practice — Costs — Where litigant impecunious — Solicitor and client costs — Entitlement to solicitor and client costs — Improper, irresponsible or unconscionable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Milne and the others for orders declaring their entitlement to recover special costs from 465 B.C. Ltd. as well as an order that Albion and the others with 465 B.C. be jointly and severally liable for all of their costs ordered in this action. Milne and the others opposed the application, arguing that each plaintiff should be responsible only for its portion of costs ordered. In support of their application, Milne and the others claimed that the plaintiffs acted jointly in making the reckless allegations of fraud and conspiracy. 465 B.C. had discontinued its action against Milne and the others. Shortly thereafter, the remaining plaintiffs amended their statement of claim to eliminate the allegations of fraud and conspiracy. There was no evidence of reprehensible conduct with respect to 465 B.C.'s handling of allegations, other than fraud and conspiracy, contained in the original statement of claim. This was a moderately complex case that posed some factual and legal issues of more than ordinary difficulty. There was some evidence that 465 B.C. was impecunious.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
            <w:bookmarkEnd w:id="52"/>
            <w:r>
              <w:rPr>
                <w:rFonts w:ascii="arial" w:eastAsia="arial" w:hAnsi="arial" w:cs="arial"/>
                <w:color w:val="000000"/>
                <w:sz w:val="20"/>
                <w:lang w:val="en-US" w:eastAsia="en-US" w:bidi="ar-SA"/>
              </w:rPr>
              <w:t>HELD: Applications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costs of the action ordered against 465 B.C., relating to fraud and conspiracy, were to be assessed as special costs. Based on the difficulty of the case, Scale 4 was the appropriate level of costs. The fraud and conspiracy allegations arose out of the same cause of action and therefore all of the plaintiffs were jointly and severally liable for the costs of Milne and the others. Discontinuance of these allegations amounted to an admission by the plaintiffs that they could not prove their case. However, in light of the possibility that the remaining plaintiffs may succeed in their action, it would not be fair that they, at this point, be liable along with 465 B.C. for the defendants' costs relating to allegations that were not yet resolved. In the circumstances it would be unfair to require Milne and the others to bear the burden of recovering its costs from each plaintiff individually, particularly since 465 B.C. may be impecunious.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Counsel_9"/>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Clemens, Q.C., for the plaintiffs, except 465911 B.C. Ltd. N. Holland, for the defendants, Lorne Milne and Douglas Symes &amp; Brissenden. J. Forstrom, for the defendant, Pilot Pacific Developments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9"/>
      <w:bookmarkEnd w:id="54"/>
      <w:r>
        <w:pict>
          <v:line id="_x0000_s1058" style="position:absolute;z-index:2517708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DOWNS J."/>
            <w:bookmarkEnd w:id="55"/>
            <w:r>
              <w:rPr>
                <w:rFonts w:ascii="arial" w:eastAsia="arial" w:hAnsi="arial" w:cs="arial"/>
                <w:b/>
                <w:color w:val="000000"/>
                <w:sz w:val="30"/>
                <w:lang w:val="en-US" w:eastAsia="en-US" w:bidi="ar-SA"/>
              </w:rPr>
              <w:t>DOWNS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has been brought by the defendants to resolve certain issues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Statement of Claim was filed on 25 March 1998. On 1 December 1999, the plaintiffs filed a Notice of Change of Solicitor. An amended Statement of Claim was filed on 14 January 1999. In addition to the original allegations of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breach of duty of care and breach of contract, it contained allegations of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Between January and May 1999, the parties undertook substantial discovery processes, including discovery of documents and oral examinations for discovery. The examinations for discovery were said to have taken more than 22 days by early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22 March 1999, Findlay Gibbons, a representative of 465911 B.C. Ltd., received a letter from the plaintiffs' solicitor advising that due to a conflict of interest between 465911 B.C. Ltd. and another plaintiff, one solicitor could not continue to act for all of the plaintiffs. As a result of this conflict, 465911 B.C. Ltd. withdrew from joint representation with the other plaintiffs and made its own arrangement for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30 April 1999, 465911 B.C. Ltd. applied for and obtained leave to discontinue all of its claims in the proceeding provided that they would be barred from commencing any further proceedings based on the same or substantially the same causes of action. Mr. Gibbons deposed the company could not afford the expense of litigation. Leave to discontinue was granted and 465911 B.C. Ltd. was ordered to pay the defendants the costs of the proceeding, generally, to date. The defendants were granted liberty to apply to have those costs assessed as special or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4 May 1999, the remaining plaintiffs applied to adjourn the trial scheduled to commence in June 1999 and to discontinue their allegations of fraud and conspiracy. I allowed the plaintiffs' applications, and held that the defendants should receive costs relating to the claims based on fraud and conspiracy. I did not specify the scale of these costs, and instead allowed the parties to make submissions as to appropriate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made further submissions to the court regarding costs. On 6 October 1999, after those submissions were completed, I gave reasons for judgment in which I concluded that the allegations of fraud and conspiracy lacked an evidentiary foundation and were made recklessly. The defendants' application that the costs payable by the remaining plaintiffs be assessed as special costs was allowed with respect to the allegations of fraud and conspiracy. At that time I declined to make a lump sum award of costs. On 6 April 2000, Mr. Justice Finch refused the plaintiffs leave to appeal the order with respect to costs and allowed the defendants to withdraw their application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present application, the defendants seek orders declaring their entitlement to recover special costs from 465911 B.C. Ltd. Alternatively, if these costs are to be assessed as ordinary costs, the defendants claim they should be assessed at Scale 5. Finally, they seek an order that the remaining plaintiffs and 465911 B.C. Ltd. be jointly and severally liable for all of the defendants' costs ordered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remaining plaintiffs oppose the defendants' application and submit that each plaintiff should be responsible only for its portion of costs ordered. They further submit that in the event that they are ordered jointly and severally liable with 465911 B.C. Ltd. for the defendants' costs, such costs ought to be awarded at Scale 3 or 4 and not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to be resolved in this application are:</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remaining plaintiffs are jointly and severally liable with 465911 B.C. Ltd. to pay any costs ordered in the action;</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all of the costs of the action ordered to be paid by 465911 B.C. Ltd. consequent on the discontinuance of its claims in the action should be assessed as special costs; and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special costs are not appropriate, at what scale the costs ordered against 465911 B.C. Ltd.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JOINT AND SEVERAL LIABILITY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support of their application, the defendants claim that the remaining plaintiffs and 465911 B.C. Ltd. acted jointly in making the reckless allegations of fraud and conspiracy against a common defendant. They cite King v. On-Stream Natural Gas Management Inc. </w:t>
      </w:r>
      <w:hyperlink r:id="rId270" w:history="1">
        <w:r>
          <w:rPr>
            <w:rFonts w:ascii="arial" w:eastAsia="arial" w:hAnsi="arial" w:cs="arial"/>
            <w:i/>
            <w:color w:val="0077CC"/>
            <w:sz w:val="20"/>
            <w:u w:val="single"/>
            <w:shd w:val="clear" w:color="auto" w:fill="FFFFFF"/>
            <w:lang w:val="en-US" w:eastAsia="en-US" w:bidi="ar-SA"/>
          </w:rPr>
          <w:t>(1993), 21 C.P.C. (3d) 16</w:t>
        </w:r>
      </w:hyperlink>
      <w:r>
        <w:rPr>
          <w:rFonts w:ascii="arial" w:eastAsia="arial" w:hAnsi="arial" w:cs="arial"/>
          <w:color w:val="000000"/>
          <w:sz w:val="20"/>
          <w:lang w:val="en-US" w:eastAsia="en-US" w:bidi="ar-SA"/>
        </w:rPr>
        <w:t xml:space="preserve"> (B.C.S.C.), arguing that the general rule that unsuccessful plaintiffs will be jointly and severally liable for the successful parties' costs is appropriate in the present circumstances. In King, at para. 17, Mr. Justice Shaw considered that the plaintiffs had supported one another and had retained one counsel to bring the action against the defendants jointly. I note that Mr. Justice Shaw's analysis in this regard has been followed by the Ontario General Division Court in Filipovic v. Upshall, </w:t>
      </w:r>
      <w:hyperlink r:id="rId271" w:history="1">
        <w:r>
          <w:rPr>
            <w:rFonts w:ascii="arial" w:eastAsia="arial" w:hAnsi="arial" w:cs="arial"/>
            <w:i/>
            <w:color w:val="0077CC"/>
            <w:sz w:val="20"/>
            <w:u w:val="single"/>
            <w:shd w:val="clear" w:color="auto" w:fill="FFFFFF"/>
            <w:lang w:val="en-US" w:eastAsia="en-US" w:bidi="ar-SA"/>
          </w:rPr>
          <w:t>[1998] O.J. No. 4498</w:t>
        </w:r>
      </w:hyperlink>
      <w:r>
        <w:rPr>
          <w:rFonts w:ascii="arial" w:eastAsia="arial" w:hAnsi="arial" w:cs="arial"/>
          <w:color w:val="000000"/>
          <w:sz w:val="20"/>
          <w:lang w:val="en-US" w:eastAsia="en-US" w:bidi="ar-SA"/>
        </w:rPr>
        <w:t xml:space="preserve"> and in Gin v. Somers </w:t>
      </w:r>
      <w:hyperlink r:id="rId272" w:history="1">
        <w:r>
          <w:rPr>
            <w:rFonts w:ascii="arial" w:eastAsia="arial" w:hAnsi="arial" w:cs="arial"/>
            <w:i/>
            <w:color w:val="0077CC"/>
            <w:sz w:val="20"/>
            <w:u w:val="single"/>
            <w:shd w:val="clear" w:color="auto" w:fill="FFFFFF"/>
            <w:lang w:val="en-US" w:eastAsia="en-US" w:bidi="ar-SA"/>
          </w:rPr>
          <w:t>(1997), 28 O.T.C.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further submit that considerations of fairness dictate that 465911 B.C. Ltd.'s liability for the defendants' costs should be borne jointly and severally with the remaining plaintiffs. In King, supra, at para. 23, Shaw J. noted that it would not be fair to require the defendant to undertake proceedings against each plaintiff separately to recover separate portions of their costs. He determined that the risk of recovery and the costs associated with it should be borne by the plaintiffs who had organized themselves at the beginning of the action and therefore had an opportunity to assess the risks of their dealings. Similarly, the defendants in this matter submit that joint and several liability would significantly lower the risk, inconvenience and expense of recovering these costs, especially since there is a possibility that 465911 B.C. Ltd. is impecunious. The defendants submit that it is proper that the remaining plaintiffs bear this risk of non-payment in a subsequent claim for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remaining plaintiffs oppose the defendants' application. They claim that the decision in King, supra, does not apply to the present case where only one plaintiff, 465911 B.C. Ltd., has been "unsuccessful" or has discontinued its action. The remaining plaintiffs still have a cause of action against the defendants, which they are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remaining plaintiffs further claim that it would not be fair if they were required to bear the costs of the action up to 465911 B.C. Ltd.'s discontinuance. Such an order would be onerous and unreasonably punitive, as it would result in the remaining plaintiffs paying all of the defendants' costs of the action up to 6 May 1999. They also claim that to award joint and several liability would be inconsistent with the 6 October 1999 order that the remaining plaintiffs pay the defendants' special costs only in relation to the claims for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regard to the allegations of fraud and conspiracy, I find that the remaining plaintiffs and 465911 B.C. Ltd. are jointly and severally liable for the defendants' costs for these allegations. The fraud and conspiracy allegations arise out of the same cause of action. The remaining plaintiffs and 465911 B.C. Ltd. began the action together, were (until April 1999) represented by the same counsel, and supported one another in pursuing the allegations. The allegations of fraud and conspiracy obviously were dropped by 465911 B.C. Ltd. when its action was discontinued. Very shortly thereafter, the remaining plaintiffs amended their statement of claim to eliminate these allegations. In such circumstances, I find that it would be unfair to require the defendants to bear the burden of recovering its costs from each plaintiff individually, particularly since there is some evidence that 465911 B.C. Ltd. may be impecunious.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reaching this conclusion I have considered the plaintiffs' submission that Mr. Justice Shaw's analysis in King ought not to apply to the present case since the remaining plaintiffs have not been proven to be unsuccessful in their claims against the defendant. However, while the action was ongoing, all of the plaintiffs abandoned the allegations of fraud and conspiracy. Discontinuance of the action or, in these circumstances, of the fraud and conspiracy allegations amount to an admission by the plaintiffs that they could not prove their case. These plaintiffs are barred from bringing any further action for relief relating to the allegations of fraud and conspiracy. As such, this issue has been finally determined and it is appropriate to make an order for costs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 am unable to conclude that the remaining plaintiffs ought to be held jointly and severally liable with 465911 B.C. Ltd. to pay the defendant its costs as against 465911 B.C. Ltd. for the rest of the action. At the end of the day, the remaining plaintiffs may succeed in their action against the defendants and may be entitled to recover their costs from the defendant for all claims except those based in fraud and conspiracy. In light of that possibility, it would not be fair that they, at this point, be liable along with 465911 B.C. Ltd. for the defendants' costs relating to allegations that are not yet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Mele et al v. Thorne Riddell et al </w:t>
      </w:r>
      <w:hyperlink r:id="rId273" w:history="1">
        <w:r>
          <w:rPr>
            <w:rFonts w:ascii="arial" w:eastAsia="arial" w:hAnsi="arial" w:cs="arial"/>
            <w:i/>
            <w:color w:val="0077CC"/>
            <w:sz w:val="20"/>
            <w:u w:val="single"/>
            <w:shd w:val="clear" w:color="auto" w:fill="FFFFFF"/>
            <w:lang w:val="en-US" w:eastAsia="en-US" w:bidi="ar-SA"/>
          </w:rPr>
          <w:t>(1997), 32 O.R. (3d) 674</w:t>
        </w:r>
      </w:hyperlink>
      <w:r>
        <w:rPr>
          <w:rFonts w:ascii="arial" w:eastAsia="arial" w:hAnsi="arial" w:cs="arial"/>
          <w:color w:val="000000"/>
          <w:sz w:val="20"/>
          <w:lang w:val="en-US" w:eastAsia="en-US" w:bidi="ar-SA"/>
        </w:rPr>
        <w:t>, Dambrost J. of the Ontario General Division Court was required to assess costs where one of several plaintiffs had discontinued his action involving claims of fraud and conspiracy at trial. Dambrost J. declined to defer his decision regarding costs until the completion of the matter and determined that the discontinuing plaintiff should pay the defendant costs on a solicitor-client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reaching this conclusion, Dambrost J. rejected the discontinuing plaintiff's argument that the determination of costs against him was related to the outcome of the action of the remaining plaintiffs. At p. 676, he stated two reasons for this rejection: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circumstance advanced by the plaintiff to justify treating this case exceptionally is that the other plaintiffs are continuing their actions. I view this fact, however, as being quite irrelevant to the position of the plaintiff Monahan. The other plaintiffs are running the risk that they might lose the case, and be ordered many months from now to pay substantially greater costs than will Mr. Monahan. Since he is not sharing in that risk, there is no reason for him to share in any benefit which may accrue to those other plaintiffs at the expense of the defendants. In addition, it is significant that virtually all of the evidence I have heard to date relates to allegations of negligent misrepresentation.... Success on the part of some or even all of the other plaintiffs will not necessarily indicate that Mr. Monahan would have succeeded had his claim gone forward. I do not know what he would have testified to regarding what he was told by the defendants. No one knows whether or not I would have been convinced by his evidence. I see little or no reason to believe that my ultimate order respecting his costs would be influenced by the outcome of the trial of the claims of the other plaintiffs. For these reasons, I will proceed to determine what order should be made in respect of Mr. Monahan's costs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Rubino v. Nesbitt Thomson (12 March 1992) Doc 14469/86 (Ont. Master), (1992), 3 W.D.C.P. (2d) 220 (Ont. Master), varied, </w:t>
      </w:r>
      <w:hyperlink r:id="rId274" w:history="1">
        <w:r>
          <w:rPr>
            <w:rFonts w:ascii="arial" w:eastAsia="arial" w:hAnsi="arial" w:cs="arial"/>
            <w:i/>
            <w:color w:val="0077CC"/>
            <w:sz w:val="20"/>
            <w:u w:val="single"/>
            <w:shd w:val="clear" w:color="auto" w:fill="FFFFFF"/>
            <w:lang w:val="en-US" w:eastAsia="en-US" w:bidi="ar-SA"/>
          </w:rPr>
          <w:t>[1992] O.J. No. 1421</w:t>
        </w:r>
      </w:hyperlink>
      <w:r>
        <w:rPr>
          <w:rFonts w:ascii="arial" w:eastAsia="arial" w:hAnsi="arial" w:cs="arial"/>
          <w:color w:val="000000"/>
          <w:sz w:val="20"/>
          <w:lang w:val="en-US" w:eastAsia="en-US" w:bidi="ar-SA"/>
        </w:rPr>
        <w:t>, (12 June 1992), Doc. 14469/86 (Ont. Master), a number of plaintiffs had alleged breach of fiduciary duty, and dishonest and fraudulent conduct against securities dealers. The action had involved extensive production of documents and examinations for discovery spanning more than 4 years. Some, but not all of the plaintiffs, were granted leave to discontinue their action. The discontinuance was granted on the condition that they pay a proportionate share of the costs incurred up to the date of the motion to discontinue. In making this condition, the Court was of the opinion that where several plaintiffs discontinued an action, each plaintiff was to bear an appropriate proportional burden of the costs. An appropriate way to divide these costs was to assess the costs for the entire action up to and including the motion to discontinue, and divide this by 151 (total number of plaintiffs). The 124 discontinuing plaintiffs were held to be jointly and severally responsible for 124/151 of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summary, I find that the remaining plaintiffs are not jointly and severally liable with 465911 B.C. Ltd. to pay the defendants costs as against 465911 B.C. Ltd. for anything other than the allegations of fraud and conspiracy. There remains to be decided the appropriate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reasons for judgment dated 6 October 1999, I found that no material was presented which contained reasonable evidence on which the plaintiffs could have founded pleas in fraud and conspiracy. I concluded from the circumstances of the case that the fraud and conspiracy pleadings were made recklessly. Due to the nature of the allegations and the conduct of the parties, I found that the defendants were entitled to special costs relating to the fraud and conspiracy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determined that 465911 B.C. Ltd. acted jointly with the remaining plaintiffs in bringing the fraud and conspiracy allegations. As such, it follows that my assessment of the issues regarding special costs in my reasons for judgment dated 6 October 1999 applies to the defendants' costs against 465911 B.C. Ltd. in relation to the allegations of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with regard to costs relating to the rest of 465911 B.C. Ltd.'s action, I decline to award the defendant special costs on the basis that no reprehensible conduct has been proven with regard to 465911 B.C. Ltd.'s handling of the allegations (other than fraud and conspiracy) contained in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factors to be considered with respect to entitlement to and the quantum of costs under the then new 1990 Rules of Court were considered by Mr. Justice Bouck in Bradshaw Construction Ltd. v. Bank of Nova Scotia </w:t>
      </w:r>
      <w:hyperlink r:id="rId275"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(B.C.S.C.). In that case he determined that the main factors to be taken into account when assessing the proper scale for ordinary costs are the importance and difficulty of the litigation. A party need only show that the litigation either has some "importance" or involves some "difficulty." Importance refers to the litigation's significance to the public at large or at least to other litigation of a similar nature. I do not feel that this matter could qualify for a higher scale of costs under because it raises issues of special importance. The issues arising in this case are not of any particular significance to the public at large, nor are they likely to be of significance to other litigation of a similar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order to determine a case's level of difficulty an examination will be made of its particular factual or legal circumstances. In Boogaars v. Anderson, </w:t>
      </w:r>
      <w:hyperlink r:id="rId276" w:history="1">
        <w:r>
          <w:rPr>
            <w:rFonts w:ascii="arial" w:eastAsia="arial" w:hAnsi="arial" w:cs="arial"/>
            <w:i/>
            <w:color w:val="0077CC"/>
            <w:sz w:val="20"/>
            <w:u w:val="single"/>
            <w:shd w:val="clear" w:color="auto" w:fill="FFFFFF"/>
            <w:lang w:val="en-US" w:eastAsia="en-US" w:bidi="ar-SA"/>
          </w:rPr>
          <w:t>[1991] B.C.J. No. 983</w:t>
        </w:r>
      </w:hyperlink>
      <w:r>
        <w:rPr>
          <w:rFonts w:ascii="arial" w:eastAsia="arial" w:hAnsi="arial" w:cs="arial"/>
          <w:color w:val="000000"/>
          <w:sz w:val="20"/>
          <w:lang w:val="en-US" w:eastAsia="en-US" w:bidi="ar-SA"/>
        </w:rPr>
        <w:t xml:space="preserve"> (S.C.), (29 April 1991) Vancouver Registry B884571 at para. 15, Catliff J. lists the following factors as being relevant in considering the degree of difficulty for the purpose of finding the appropriate scale of party and party costs: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trial;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Complexity of the issues involved;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the fact that this action has not yet been completed makes it difficult to assess some of these factors, others are relevant. This is a moderately complex case that poses some factual and legal issues of more than ordinary difficulty. The discovery process has occupied more than 22 days to the date of discontinuance. I therefore set Scale 4 as the appropriate level of costs for the defendants' costs relating to the 465911 B.C. Ltd.'s action on all but the fraud and conspiracy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answers with respect to the issues stated above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plaintiffs are jointly and severally liable, along with 465911 B.C. Ltd., to pay the defendants' costs relating to the fraud and conspiracy allegations.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action ordered against 465911 B.C. Ltd. relating to the fraud and conspiracy allegations are to be assessed as special 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action ordered against 465911 B.C. Ltd. relating to all claims other than the fraud and conspiracy claims are to be assessed at Scale 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the costs of this application, at Scale 3, jointly and severally against the remaining plaintiffs and 465911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making this determination, I have considered that it may be difficult to distinguish between costs incurred regarding the fraud and conspiracy allegations and those relating to the rest of the action. Further, I recognize that the parties will have to separate out what portion of costs incurred for the rest of the action represent the defendants' costs against 465911 B.C. Ltd. As I noted in my reasons for judgment on 6 October 1999, it is hoped that counsel will be able to reach some agreement with respect to these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DOWNS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Ali v. Manufacturers Life Insurance Co. (c.o.b. Manulife Financial), [2004] B.C.J. No. 3003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June 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S003328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3003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C.C.L.I. (4th) 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3600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Habiban Ali, plaintiff, and The Manufacturers Life Insurance Company/La Compagnie D'Assurance-vie Manufacturers, carrying on business as Manulife Financial, Al Jacob, Mary Donovan, Louis Jaquenoud, St. Jude's Anglican Home Society and Hospital Employees' Union,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0"/>
      <w:bookmarkEnd w:id="56"/>
      <w:r>
        <w:rPr>
          <w:rFonts w:ascii="arial" w:eastAsia="arial" w:hAnsi="arial" w:cs="arial"/>
          <w:b/>
          <w:color w:val="000000"/>
          <w:sz w:val="20"/>
          <w:lang w:val="en-US" w:eastAsia="en-US" w:bidi="ar-SA"/>
        </w:rPr>
        <w:t>Civil procedure — Trials — Juries — Right to — Setting aside jury notice — Application by defendants to strike plaintiff's notice for jury trial allowed — Plaintiff not entitled to trial with jury where plaintiff alleged that union and employer acted as trustees on her behalf in contracting with disability insurer — Rule 39(25) provided that court had no jurisdiction to hear case with a jury where case involved relief relating to execution of a trust — Rules of Court, Rule 39(25).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0"/>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to strike plaintiff's notice for jury trial and for an order for trial without jury -- Plaintiff was employee and member of bargaining unit who was eligible for disability insurance with Manulife -- Manulife denied plaintiff's claim for long-term disability benefits after she stopped working -- Plaintiff alleged that employer and union acted as her trustees when they entered into insurance contract with Manulife, and that they breached their trust obligations to plaintiff, their contract with plaintiff, and their fiduciary obligation to plaintiff -- HELD: Application allowed -- Rule 39(25) provided that court had no jurisdiction to hear case with a jury where case involved relief relating to execution of a trust -- Plaintiff herself alleged union and employer were trustees -- Alternatively, case should not be tried before a jury based on Rule 39(27), which provided cases were not to be heard with a jury where the issues were of an intricate or complex character.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Legislation Cited"/>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Act, </w:t>
      </w:r>
      <w:hyperlink r:id="rId284"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3(2), Rule 10(1), Rule 10(1)(b), Rule 10(1)(d), Rule 39(25), Rule 39(25)(j), Rule 39(27), Rule 39(27) (a), Rule 39(37)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9" w:name="Counsel_10"/>
      <w:bookmarkEnd w:id="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L.E. Pierce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Jacob, M. Donovan and L. Jaquenoud: D. 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Manulife Financial: J.A. Fishman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 Jude's Anglican Home Society: B.A. Laughton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10"/>
      <w:bookmarkEnd w:id="60"/>
      <w:r>
        <w:pict>
          <v:line id="_x0000_s1063"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KELLEHER J. (orally)"/>
            <w:bookmarkEnd w:id="61"/>
            <w:r>
              <w:rPr>
                <w:rFonts w:ascii="arial" w:eastAsia="arial" w:hAnsi="arial" w:cs="arial"/>
                <w:b/>
                <w:color w:val="000000"/>
                <w:sz w:val="30"/>
                <w:lang w:val="en-US" w:eastAsia="en-US" w:bidi="ar-SA"/>
              </w:rPr>
              <w:t>KELLEHER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Jacob, Donovan and Jaquenoud for the following: An order striking the plaintiff's notice for a jury trial pursuant to Rule 39(37) of the , an order for a trial without a jury, also pursuant to Rule 39(37), and leave to extend the time to bring portions of the above two applications pursuant to Rule 3(2). None of the other defendants oppose these applications. The parties made no issue of the application to extend the time, and that extension is hereby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in a general sense is fairly straightforward. The plaintiff was an employee at St. Jude's Anglican Home Society and a member of the Hospital Employees' Union ("HEU") bargaining unit. Bargaining unit employees were eligible for disability insurance with Manulife Financial under their Collective Agreement. The three personal defendants were Manulife or North American Life employees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stopped working in April 1994 and applied for long-term disability benefits. Manulife Financial denied her claim on the grounds that she was not totally disabled as defined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its face the plaintiff's claim is not unusual. However, the pleadings contain more than the expected allegations that Manulife breached its contract to provide the plaintiff with insurance coverage. The plaintiff also makes the following claims: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Manulife was the employer and/or the union's agent when it assessed the disability claim;</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Manulife was negligent in its assessment of the claim;</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Manulife breached its statutory duty to make certain adjustments under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Manulife acted in bad faith;</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Jacob, Donovan and Jaquenoud owed the plaintiff a duty of care independent from Manulife's duty of care toward her;</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acted as the plaintiff's trustee when it entered into the insurance contract with Manulife, and the employer breached the trust obligations it owed the plaintiff, its contract with the plaintiff and its fiduciary obligation to the plaintiff;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acted as the plaintiff's trustee when it entered into the insurance contract with Manulife, and the union breached the trust obligations it owed the plaintiff, its contract with the plaintiff and its fiduciary obligation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two bases for the defendant's application for an order that the trial proceed without a jury. Both are found in Rule 39(27):</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With reference to subrule 27(a), the defendants argue that the issues require an in-depth examination of medical reports and insurance policy and insurance application form, various employment contracts, a collective agreement and several years of correspondence between the parties. Further, the plaintiff has pled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deceit, breach of contract, breach of statutory duty, bad faith, breach of trust and breach of fiduciary obligation. Thus, the defendants say the matter is too complex to be explained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reference to subrule 27(b), the defendants rely on Rule 39(25) and paragraph (j) in particular. The relevant part of that rule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trial shall be heard by the court without a jury where it relates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effect, Rule 39(25) indicates the court has no jurisdiction to hear a case with a jury where it relates to a matter referred to in Rule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point specifically to subrules 10(1)(b) and (d), and they read as follows: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other than an interlocutory application or an application in the nature of an appeal, may be made by originating application 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enactment, will, deed, oral or written contract, or other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advice or direction sought relates to a question arising in the administration of an estate of a deceased person or the execution of a trust, or the performance of an act by a person in the person's capacity as executor, administrator or trustee, or the determination of the persons entitled as creditors or otherwise to the estate or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argue that the case falls within Rule 10(1)(b) because it will involve the construction of enactments,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as well as written contracts, in particular the Collective Agreement and the insurance contract. Moreover, they argue that Rule 10(1)(d) is applicable as well because the relief relates to a question arising from actions by parties in their capacity as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the subject matter of this litigation falls within Rule 10(1)(d), which is sufficient to dispose of the applications. The fact that the plaintiff alleges the employer and the union are trustees and seeks relief relating to the execution of a trust places this case squarely within the ambit of that rule. As such, Rule 39(25) mandates that the court hear the matter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If I am wrong in my disposition of the applications under Rule 39(25), I find that in any event the matter should not be tried before a jury based on Rule 39(27). Master Bolton's remarks in </w:t>
      </w:r>
      <w:r>
        <w:rPr>
          <w:rFonts w:ascii="arial" w:eastAsia="arial" w:hAnsi="arial" w:cs="arial"/>
          <w:b/>
          <w:i/>
          <w:color w:val="000000"/>
          <w:sz w:val="20"/>
          <w:lang w:val="en-US" w:eastAsia="en-US" w:bidi="ar-SA"/>
        </w:rPr>
        <w:t>Oakleigh Properties Ltd. v. Kebet Holdings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[1993] B.C.J. No. 247</w:t>
        </w:r>
      </w:hyperlink>
      <w:r>
        <w:rPr>
          <w:rFonts w:ascii="arial" w:eastAsia="arial" w:hAnsi="arial" w:cs="arial"/>
          <w:color w:val="000000"/>
          <w:sz w:val="20"/>
          <w:lang w:val="en-US" w:eastAsia="en-US" w:bidi="ar-SA"/>
        </w:rPr>
        <w:t xml:space="preserve"> (S.C.) at paragraph 17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own pleadings define issues which are too complex to be explained to a jury. Either of the two sets of issues - liability and damages in contract, tort, and trust, and the difficult and potentially vastly complex intricacies of all the estoppel-type arguments - would itself negate the plaintiff's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Russell v. Mutual Life Assurance Co. of Canada</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[2001] B.C.J. No. 494</w:t>
        </w:r>
      </w:hyperlink>
      <w:r>
        <w:rPr>
          <w:rFonts w:ascii="arial" w:eastAsia="arial" w:hAnsi="arial" w:cs="arial"/>
          <w:color w:val="000000"/>
          <w:sz w:val="20"/>
          <w:lang w:val="en-US" w:eastAsia="en-US" w:bidi="ar-SA"/>
        </w:rPr>
        <w:t xml:space="preserve"> (S.C.), Master Doolan stated at paragraphs 30 and 31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in this case there are no issues involving an estoppel-type argument, it is arguable that there is a claim of breach of trust which might arise out of a generous interpretation of the plaintiff's claim of bad faith or failure to act in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within action clearly raises issues which are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Though unrelated to my decision, I do feel compelled to comment on the brief of authorities presented here by counsel for the plaintiff. It included a master's decision in a case in which he had been counsel. That case was overturned in January of this year. Plaintiff's counsel is listed as counsel on the appeal as well. He claimed he was looking for the second decision. While I make no finding about whether the omission by plaintiff's counsel was intentional, I do want to stress that including the first decision and not the second in the brief of authorities was inappropriate. I strongly urge counsel for the plaintiff to avoid similar incidents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applications are allowed.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Amador v. Mo, [2005] B.C.J. No. 1068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B974591 and B975219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 C.P.C. (6th)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1132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Artur Amador, plaintiff, and Harjit Singh Hans and Z&amp;G Rai Holdings Inc., defendants (Registry No. B974591) And between Artur Amador, plaintiff, and Pui Fu Mo and Mei Kwan Mo, defendants (Registry No. B975219)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1"/>
      <w:bookmarkEnd w:id="62"/>
      <w:r>
        <w:rPr>
          <w:rFonts w:ascii="arial" w:eastAsia="arial" w:hAnsi="arial" w:cs="arial"/>
          <w:b/>
          <w:color w:val="000000"/>
          <w:sz w:val="20"/>
          <w:lang w:val="en-US" w:eastAsia="en-US" w:bidi="ar-SA"/>
        </w:rPr>
        <w:t>Civil procedure — Costs — Offers to settle — Calderbank letter — Amount of offer v. award — Statutory interpretation — Statutes — Purpose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1"/>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of the defendant, Mo, who had made a settlement offer in advance of trial that was greater than the amount awarded at trial. The action involved two separate motor vehicle accidents that occurred nine months apart, but the matters were tried together by consent order. There were two global offers to settle, and the plaintiff, Amador, argued that a global offer to settle was not permitted by Rule 37.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4" w:name="Holdings of Court_0"/>
            <w:bookmarkEnd w:id="64"/>
            <w:r>
              <w:rPr>
                <w:rFonts w:ascii="arial" w:eastAsia="arial" w:hAnsi="arial" w:cs="arial"/>
                <w:color w:val="000000"/>
                <w:sz w:val="20"/>
                <w:lang w:val="en-US" w:eastAsia="en-US" w:bidi="ar-SA"/>
              </w:rPr>
              <w:t>HELD: Mo was awarded costs from the date of the settlement offer.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costs related to the second accident were apportioned such that Mo was to pay 90 per cent of Amador's costs. The Rule was definitive and left no room for judicial discretion. Give that definitiveness, Mo's Calderbank offer was invalid insofar as triggering cost consequences in their favour. There was no differentiation by Amador of the damages between the two accidents respecting the major injuries. There was no evidence that there was any difficulty by Amador in understanding the offers. The offer was clear and unambiguous. To require Mo to make separate offers to settle was not consistent with the general object of the Rules. The Rule 37 offer made by Mo did meet the requirements of the Rules and Mo was entitled to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0"/>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Colombia Supreme Court Rules Rule 1, Rule 1(5), Rule 37, Rule 37(2), Rule 37(22), Rule 37(24), Rule 37(24)(a), Rule 37(31), Rule 37A, Rule 57(17)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Act s. 28(3)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6" w:name="Counsel_11"/>
      <w:bookmarkEnd w:id="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V.R.K. Orchard, Q.C. and R. Parsons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11"/>
      <w:bookmarkEnd w:id="67"/>
      <w:r>
        <w:pict>
          <v:line id="_x0000_s1068"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April 14 and 18, 2005.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MASUHARA J."/>
            <w:bookmarkEnd w:id="68"/>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costs at Scale 3 under Rule 37(24)(a) as a result of my reasons for judgment at </w:t>
      </w:r>
      <w:hyperlink r:id="rId294" w:history="1">
        <w:r>
          <w:rPr>
            <w:rFonts w:ascii="arial" w:eastAsia="arial" w:hAnsi="arial" w:cs="arial"/>
            <w:i/>
            <w:color w:val="0077CC"/>
            <w:sz w:val="20"/>
            <w:u w:val="single"/>
            <w:shd w:val="clear" w:color="auto" w:fill="FFFFFF"/>
            <w:lang w:val="en-US" w:eastAsia="en-US" w:bidi="ar-SA"/>
          </w:rPr>
          <w:t>[2004] B.C.J. No. 563</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2004 BCSC 348</w:t>
        </w:r>
      </w:hyperlink>
      <w:r>
        <w:rPr>
          <w:rFonts w:ascii="arial" w:eastAsia="arial" w:hAnsi="arial" w:cs="arial"/>
          <w:color w:val="000000"/>
          <w:sz w:val="20"/>
          <w:lang w:val="en-US" w:eastAsia="en-US" w:bidi="ar-SA"/>
        </w:rPr>
        <w:t>. At trial, I heard two separate actions, tried together by consent order entered on June 9, 2000. They related to two separate motor vehicle accidents that occurred nine months apart. Prior to the trial the defendants made two separate global settlement offers, meaning that the offers did not specify the amount allocated to each action. Each offer specified the amount of $110,000, a total sum which is greater than the $51,400 sum awarded at trial. The defendants ask for cost consequences to attach to the plaintiff's rejection of their offers to settle. In response to the defendants' application for costs, the plaintiff argues that a global offer to settle is not permitted by Rule 37, and as a result, the defendants are not entitled to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motor vehicle accidents in which the plaintiff was injured occurred on January 4, 1997 (the "First Accident") and September 8, 1997 (the "Second Accident"). In addition to an injury to his left elbow that he alleged resulted from the Second Accident, the plaintiff, in his statement of claim and at trial, claimed the following overlapping injuries resulting from the First Accident and the Second Accident:</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closed head injury;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neck;</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back;</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shoulders;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knees;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11, 2002, the plaintiff filed a notice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defendants were represented by the same counsel. The offers to settle by the defendants were made on a global basis to settle the two actions. The first offer to settle was made on September 14, 2001, for $110,000, in addition to monies paid to date, which I am told amounted to approximately $15,000, plus assessable costs and disbursements. This offer was presented in the form of a Calderbank letter. The second offer to settle was made on January 3, 2003 for the same amount, but was made pursuant to Rule 37(22) (the "Rule 37 Offer"). While neither of these offers was accepted, the plaintiff did not object to the form of either offer or make a request as to a breakdown of the offers in relation to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spanned 33 days in 2003. Liability on the part of the defendants in the first action was admitted and was not an issue at trial; the defendants in the second action, however, disputed liability. The main issues were whether the plaintiff had suffered a mild traumatic brain injury, knee injuries and the consequent damages. Though plaintiff's counsel indicated at the commencement of the trial that the symptoms and complex of issues consistent with a brain injury flowed after the First Accident; the injuries and consequent damages were not argued as having arisen from any one accident particularly; the possibility was left open that either accident could have been the cause. The pleadings of the plaintiff relating to each accident reflect the overlapping claims for these two injuries. At trial, the plaintiff approached damages globally; in closing submissions, the plaintiff did not break down damages as between the First Accident and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awarded $46,000 to the plaintiff with respect to damages in the First Accident and $5,400 to the plaintiff in the Second Accident. I attributed 90% of the liability to the defendants in the second action, with the plaintiff being held 10%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respect to the plaintiff's alleged injuries, I held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not suffered a mild traumatic brain injury in either the First Accident or the Second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alone caused a new injury to the plaintiff's left knee and aggravated pre-existing problems with the plaintiff's right knee;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minor soft tissue injuries in the First Accident and in the Second Accident relating to the right wrist and thumb, back and shoulders, elbow,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result achieved by the plaintiff fell substantially short of the $110,000 offers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relation to the first action, the defendants' primary position seeks costs and disbursements from January 3, 2003, or alternatively from September 14, 2001. In relation to the second action, the defendants seek to pay 90% of the plaintiff's costs and disbursements to January 3, 2003, and the plaintiff pay the defendants' costs and disbursements from January 3, 2003, or alternatively, that the defendants pay 90% of the plaintiff's costs and disbursements to September 14, 2001 and the plaintiff pay the defendants' costs and disbursements from September 14, 2001. The defendants ask further that the plaintiff set off the total costs and disbursements to which he is entitled against the costs and disbursements to which the defendants are entitled pursuant to Rule 57(17).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response, the plaintiff argues that the defendants are not entitled to any award of costs on the basis that the Rule 37 Offer was a global offer to settle two separate actions, which is not permitted under Rule 37. The plaintiff submits that if parties wish to avail themselves of the cost relief set out in Rule 37(24), an offer to settle must be made with respect to each action, not globally. With respect to the Calderbank offer, the plaintiff argues it was invalid, as Rule 37 was available to the defendants and they failed to make proper offers pursuant to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counsel agree that there are conflicting authorities on the point of whether global offers to settle are valid under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RELEVANT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relevant portion of Rule 1 is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relevant provisions of Rule 37 are as follows: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may deliver to any other party of record a written offer in Form 64 to settle one or more of the claims in the proceeding in the terms specified in the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22.1, if an offer is accepted,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the plaintiff, the plaintiff is entitled to costs,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the defendant, the plaintiff is entitled to costs assessed to the date the offer was delivered to the plaintiff, and the defendant to costs assessed from that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the offer has not expired or been withdrawn or been accepted,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the offer was delivered and the defendant is entitled to costs assessed form that date,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portion of Rule 57 is as follows: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entitled to receive costs is liable to pay costs to another party, the registrar may assess the costs the party is liable to pay and may adjust them by way of deduction or set-off or may delay the allowance of the costs the party is entitled to receive until the party has paid or tendered the costs the party is liable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issues before me are these: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defendants' global Calderbank offer effective?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is the defendants' Rule 37 Offer effective?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apportionment of liability with respect to the Second Accident reduce the plaintiff's entitlement to costs prior to January 3, 2003 (or, alternatively, September 14,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Both counsel focussed on the judgment of the Court of Appeal in Brown v. Lowe, </w:t>
      </w:r>
      <w:hyperlink r:id="rId295" w:history="1">
        <w:r>
          <w:rPr>
            <w:rFonts w:ascii="arial" w:eastAsia="arial" w:hAnsi="arial" w:cs="arial"/>
            <w:i/>
            <w:color w:val="0077CC"/>
            <w:sz w:val="20"/>
            <w:u w:val="single"/>
            <w:shd w:val="clear" w:color="auto" w:fill="FFFFFF"/>
            <w:lang w:val="en-US" w:eastAsia="en-US" w:bidi="ar-SA"/>
          </w:rPr>
          <w:t>[2002] B.C.J. No. 76</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The plaintiff argues that this case definitively holds that there is no room for global settlement offers under Rule 37. The defendants, on the other hand, argue that the case does not have such a restrictive scope. While the parties have divergent views on the application of Brown, they agree that it is settled that Rule 37 is a complete code and that there is no room for judicial discretion in the operation of Rule 37(24). This was reiterated by the Court of Appeal in Cridge v. Harper Grey, </w:t>
      </w:r>
      <w:hyperlink r:id="rId296" w:history="1">
        <w:r>
          <w:rPr>
            <w:rFonts w:ascii="arial" w:eastAsia="arial" w:hAnsi="arial" w:cs="arial"/>
            <w:i/>
            <w:color w:val="0077CC"/>
            <w:sz w:val="20"/>
            <w:u w:val="single"/>
            <w:shd w:val="clear" w:color="auto" w:fill="FFFFFF"/>
            <w:lang w:val="en-US" w:eastAsia="en-US" w:bidi="ar-SA"/>
          </w:rPr>
          <w:t>[2005] B.C.J. No. 74</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a decision released on the day of the hearing of this application and noted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Given the definitiveness of the authorities with respect to the completeness of Rule 37, I conclude that the defendants' Calderbank offer was invalid insofar as triggering cost consequences in favour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next issue is whether Rule 37 permits global offers to settle. The divergence in the authorities appears to arise from the competing policy interests of promoting settlements of disputes through cost incentives and the need for offers to be clear and unambiguous.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primary case in which the former policy view is articulated and applied in awarding costs is Starling v. Martin (1996), 45 C.P.C. (4th) 227 (S.C.). Madam Justice Dillon considered there whether costs consequences to a single offer to settle two actions heard together was permitted by Rule 37. The plaintiff suffered injuries in two motor vehicle accidents and made a formal offer to settle his claims against both defendants for $28,500 and costs. At trial, the plaintiff obtained judgment for approximately $33,000 and therefore sought double costs from the date of the offer. The defendants argued that the plaintiff's offer was not valid under Rule 37 because it did not separate out amounts for each action, but instead proposed a global amount in settlement of the two actions. In other words, the defendants in Starling advanced a position analogous to the plaintiff's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prefaced her refusal to accept the defendants' position with the observation that Rule 37 was intended to provide "a simple, inexpensive procedure for a party to make an offer to settle at any stage of the litigation. The rule should be interpreted to facilitate access to dispute resolution" (at [paragraph] 3). Speaking specifically to the issue of the validity of global offers to settle under Rule 37, the learned judge stated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actions were ordered to be tried together and, in that sense, became a single proceeding. Any ambiguity in the terms of the offer related only to the differentiation of amounts in the two actions. The rule should not be interpreted so strictly as to require two offers to settle to be made when actions are to be tried together and the damages are so intertwined that a single settlement offer is appropriate. If the receiver of the offer required differentiation of settlement amounts in the two actions, it should have requested clarification of the settlement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reference to a singular "proceeding" in Rule 37 was further commented upon by Mr. Justice Lysk in Antonio v. Federici, </w:t>
      </w:r>
      <w:hyperlink r:id="rId297" w:history="1">
        <w:r>
          <w:rPr>
            <w:rFonts w:ascii="arial" w:eastAsia="arial" w:hAnsi="arial" w:cs="arial"/>
            <w:i/>
            <w:color w:val="0077CC"/>
            <w:sz w:val="20"/>
            <w:u w:val="single"/>
            <w:shd w:val="clear" w:color="auto" w:fill="FFFFFF"/>
            <w:lang w:val="en-US" w:eastAsia="en-US" w:bidi="ar-SA"/>
          </w:rPr>
          <w:t>[2002] B.C.J. No. 1135</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2002 BCSC 784</w:t>
        </w:r>
      </w:hyperlink>
      <w:r>
        <w:rPr>
          <w:rFonts w:ascii="arial" w:eastAsia="arial" w:hAnsi="arial" w:cs="arial"/>
          <w:color w:val="000000"/>
          <w:sz w:val="20"/>
          <w:lang w:val="en-US" w:eastAsia="en-US" w:bidi="ar-SA"/>
        </w:rPr>
        <w:t xml:space="preserve"> at [paragraph] 24. He noted that the Interpretation Act applies to the Rules of Court, except where a contrary intention appears, and that s. 28(3) of that Act provides that words in the singular include the plural.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Gandham v. Dhillon, </w:t>
      </w:r>
      <w:hyperlink r:id="rId298" w:history="1">
        <w:r>
          <w:rPr>
            <w:rFonts w:ascii="arial" w:eastAsia="arial" w:hAnsi="arial" w:cs="arial"/>
            <w:i/>
            <w:color w:val="0077CC"/>
            <w:sz w:val="20"/>
            <w:u w:val="single"/>
            <w:shd w:val="clear" w:color="auto" w:fill="FFFFFF"/>
            <w:lang w:val="en-US" w:eastAsia="en-US" w:bidi="ar-SA"/>
          </w:rPr>
          <w:t>[2001] B.C.J. No. 2253</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BCSC 1456</w:t>
        </w:r>
      </w:hyperlink>
      <w:r>
        <w:rPr>
          <w:rFonts w:ascii="arial" w:eastAsia="arial" w:hAnsi="arial" w:cs="arial"/>
          <w:color w:val="000000"/>
          <w:sz w:val="20"/>
          <w:lang w:val="en-US" w:eastAsia="en-US" w:bidi="ar-SA"/>
        </w:rPr>
        <w:t>, Mr. Justice Edwards followed Starling in upholding a global offer to settle made by two defendants sued severally in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More recently, Madam Justice Allan in Doell v. McKay, </w:t>
      </w:r>
      <w:hyperlink r:id="rId299" w:history="1">
        <w:r>
          <w:rPr>
            <w:rFonts w:ascii="arial" w:eastAsia="arial" w:hAnsi="arial" w:cs="arial"/>
            <w:i/>
            <w:color w:val="0077CC"/>
            <w:sz w:val="20"/>
            <w:u w:val="single"/>
            <w:shd w:val="clear" w:color="auto" w:fill="FFFFFF"/>
            <w:lang w:val="en-US" w:eastAsia="en-US" w:bidi="ar-SA"/>
          </w:rPr>
          <w:t>[2004] B.C.J. No. 2393</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2004 BCSC 1502</w:t>
        </w:r>
      </w:hyperlink>
      <w:r>
        <w:rPr>
          <w:rFonts w:ascii="arial" w:eastAsia="arial" w:hAnsi="arial" w:cs="arial"/>
          <w:color w:val="000000"/>
          <w:sz w:val="20"/>
          <w:lang w:val="en-US" w:eastAsia="en-US" w:bidi="ar-SA"/>
        </w:rPr>
        <w:t xml:space="preserve"> endorsed the purposive approach articulated by Dillon J. in relation to upholding the validity of a global offer to settle under Rule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contrast, the competing line of authorities suggests that Rule 37 does not permit a global offer to settle multiple actions heard together. The underlying rationale is that such offers are not sufficiently clear and unambiguous: McCallum v. Hough, </w:t>
      </w:r>
      <w:hyperlink r:id="rId300" w:history="1">
        <w:r>
          <w:rPr>
            <w:rFonts w:ascii="arial" w:eastAsia="arial" w:hAnsi="arial" w:cs="arial"/>
            <w:i/>
            <w:color w:val="0077CC"/>
            <w:sz w:val="20"/>
            <w:u w:val="single"/>
            <w:shd w:val="clear" w:color="auto" w:fill="FFFFFF"/>
            <w:lang w:val="en-US" w:eastAsia="en-US" w:bidi="ar-SA"/>
          </w:rPr>
          <w:t>[2001] B.C.J. No. 320</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2001 BCSC 280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also argues support for its proposition is found in the obiter comments of Madam Justice Southin in Brown. In finding that the trial judge in that case had misapplied Rule 37(31) in concluding that the defendants were entitled to make a Calderbank offer, she stated at [paragraph] 157-158: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said to be sued "jointly" if they have joined together in committing the tort and the liability of the one is the liability of the other, e.g. if two landowners agree to enter upon the land of another and cut down his trees.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there was nothing to prevent the respondent Bryson from making an offer to settle as prescribed by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This passage has occasionally been interpreted as standing for the proposition that defendants who are sued severally in separate actions tried at the same time are not permitted under Rule 37 to make global offers to settle, and that the only way to make offers to settle is through separate offers: see, for example Chaube v. Campbell (31 October 2003), New Westminster S038197 and S068758 (S.C.), leave to appeal refused, </w:t>
      </w:r>
      <w:hyperlink r:id="rId301" w:history="1">
        <w:r>
          <w:rPr>
            <w:rFonts w:ascii="arial" w:eastAsia="arial" w:hAnsi="arial" w:cs="arial"/>
            <w:i/>
            <w:color w:val="0077CC"/>
            <w:sz w:val="20"/>
            <w:u w:val="single"/>
            <w:shd w:val="clear" w:color="auto" w:fill="FFFFFF"/>
            <w:lang w:val="en-US" w:eastAsia="en-US" w:bidi="ar-SA"/>
          </w:rPr>
          <w:t>[2004] B.C.J. No. 369</w:t>
        </w:r>
      </w:hyperlink>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2004 BCCA 85</w:t>
        </w:r>
      </w:hyperlink>
      <w:r>
        <w:rPr>
          <w:rFonts w:ascii="arial" w:eastAsia="arial" w:hAnsi="arial" w:cs="arial"/>
          <w:color w:val="000000"/>
          <w:sz w:val="20"/>
          <w:lang w:val="en-US" w:eastAsia="en-US" w:bidi="ar-SA"/>
        </w:rPr>
        <w:t xml:space="preserve"> and Chang v. Thindh (21 May 2004), New Westminster S074531 (S.C.), leave to appeal refused, </w:t>
      </w:r>
      <w:hyperlink r:id="rId302" w:history="1">
        <w:r>
          <w:rPr>
            <w:rFonts w:ascii="arial" w:eastAsia="arial" w:hAnsi="arial" w:cs="arial"/>
            <w:i/>
            <w:color w:val="0077CC"/>
            <w:sz w:val="20"/>
            <w:u w:val="single"/>
            <w:shd w:val="clear" w:color="auto" w:fill="FFFFFF"/>
            <w:lang w:val="en-US" w:eastAsia="en-US" w:bidi="ar-SA"/>
          </w:rPr>
          <w:t>[2004] B.C.J. No. 1798</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2004 BCCA 447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My reading of the passage from Brown does not lead me to such a conclusion. Madam Justice Southin's comment was a direct response to the reasons of the trial judge, who specifically held that since the parties were "joint", an offer to settle by only one defendant was invalid, as Rule 37(31) required an offer that included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not find a prohibition in the comments of Southin J.A., or in the wording of Rule 37, against defendants who are sued severally making a single offer to settle under Rule 37. Brown says nothing about the manner in which several non-joint defendants must make offers to settle, whether individually or globally. The only observation was that "there was nothing to prevent the defendant Bryson from making an offer to settle as prescribed by Rule 37" because Rule 37(31) only applied to joint tortfeasors obliging them to make joint offers to settle (at [paragraph] 158). Rule 37(31) has no application in the case of severally sued defendants and the manner in which they elect to make offers under Rule 37(2).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other cases that have rejected global offers to settle, it should be noted that Madam Justice Martinson in McCallum specifically distinguished Starling on the grounds that it was based on a different rule, dealt with two separate actions and that the damages were intertwined between the two. In McCallum, eight separate accidents were included under one action. Liability was admitted in all accidents. Defence counsel common to all defendants requested that the jury attribute damages to each accident individually, but made a global offer to settle for a single amount, purportedly pursuant to Rule 37(31). The jury found the plaintiff not to have suffered any damages in five of the eight accidents. In terms of finding the offer to settle invalid, Martinson J. based her reasons on the lack of certainty in the offer, which prevented the plaintiff from meaningfully analyzing the offer and "left the plaintiff to speculate as to how much of the offer was allocated to each accident" (at [paragraph]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present case, the facts and circumstances are simpler than in McCallum, and are much more akin to those in Starling, Gandham, and Doell. Putting aside the factors set out in McCallum that distinguished it from Starling, the requirement that an offer must allow the recipient to conduct a meaningful analysis should not be so stringent as to require in each case the same level of precision and detail such that the signals encouraging settlement inherent in the cost consequences rules are stultified. It is common for offers to settle to state an aggregate sum to settle all matters at issue in an action. Such offers do not fail to attract cost consequence because they are not disaggregated between the various claims and heads of damage. So also, the lack of allocation between multiple actions in an offer to settle, such as in the present circumstances, should not be an invalidating feature where the issues were so clearly overlapping. The individual circumstances of a case should determine whether there is a need for separate offers to settle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Rule 37 Offer was clear and unambiguous. As mentioned earlier, the case brought to trial revolved largely around whether the plaintiff had suffered a mild traumatic brain injury, knee injuries, and resultant economic effects. The plaintiff's claims regarding these injuries were overlapping in both the pleadings and the approach taken at trial. There was no differentiation by the plaintiff of the damages between the two accidents respecting the major injuries. Further, the materials in support of the plaintiff's position do not indicate any inability to understand or analyze the offers from a clarity and ambiguity perspective. In my opinion, the plaintiff was not at any disadvantage with respect to the offers to settle by the defendants. They mirrored in substance the overlapping approach taken by the plaintiff with respect to the two accidents. The difference between the parties was clearly in their views on the extent of the plaintiff's injuries and the resultant economic consequences. In the circumstances of this case, to require the defendants to make separate offers to settle would have not been consistent with the general object of the Rules as set out in Rule 1(5), nor the purpose of Rule 37 of encouraging and facilitating settlement. I find that the Rule 37 Offer of January 3, 2003 met the requirements of Rule 37 and the defendants are entitled to costs as set out in Rule 37(22).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Given the apportioned liability with respect to the Second Accident, the material difference between the Rule 37 Offer and my award, and the approach set out in Smith v. Knudsen, </w:t>
      </w:r>
      <w:hyperlink r:id="rId303"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I conclude that costs should be apportioned as they pertain to the Second Accident. The defendants are to pay the plaintiff 90% of his costs and disbursements to January 3, 2003 and the plaintiff is to pay the defendants their costs and disbursements from January 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the plaintiff should set off the costs and disbursements to which he is entitled against the costs and disbursements to which the defendants are entitled, pursuant to Rule 57(17).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Costs are to be assessed at Scale 3, as sought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I conclude that the Calderbank offer of September 14, 2001 was not valid. The Rule 37 Offer of January 3, 2003 was valid and the defendants are entitled to their costs assessed at Scale 3 from that date. The costs respecting the Second Accident are to be apportioned and set off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page 8, paragraph 26, the following words: "2004 BCCA 1502" should be read as "2004 BCCA 85".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name of Counsel for the Defendants should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V.R.K. Orchard, Q.C. and 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Andersen v. Porter, [2000] B.C.J. No. 1362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514/98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C.P.C. (5th)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900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Hazel Belle Reid Andersen, plaintiff, and Dr. G.R. Porter, Capital Health Region (formerly the Greater Victoria Hospital Society), Roberta MacIntosh, Donna Rolston, Daphne Pollock, J.R. Cabrera and Keely Fowler,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2"/>
      <w:bookmarkEnd w:id="69"/>
      <w:r>
        <w:rPr>
          <w:rFonts w:ascii="arial" w:eastAsia="arial" w:hAnsi="arial" w:cs="arial"/>
          <w:b/>
          <w:color w:val="000000"/>
          <w:sz w:val="20"/>
          <w:lang w:val="en-US" w:eastAsia="en-US" w:bidi="ar-SA"/>
        </w:rPr>
        <w:t>Practice — Juries and jury trials — Right to a jury —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2"/>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to set aside the plaintiff Anderson's election to have her claim heard by a judge and jury. Anderson claimed damages for personal injuries caused by the defendants Porter, the Capital Health Region, and several employees of the hospital. Porter performed a gallbladder operation on Anderson. Anderson suffered injury to her brain tissue and alleged that Porter failed to order a transfusion, failed to direct the monitoring of electrolytes, and did not personally visit and assess her in hospital. She complained about post-operative care received from the hospital and its employees. The defendants alleged that the issues in the case required a scientific investigation which could not be made conveniently with a jury and that the issues were of an intricate and complex character. Anderson's care at the hospital was documented in the hospital records. There was controversy as to why she received the care she did.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1"/>
            <w:bookmarkEnd w:id="71"/>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issues in this case did not require a scientific investigation. Rather, they required an investigation into human conduct. To the extent that medical issues factored into the case, they were not such that they could not be made conveniently with a jury. However, the case was intricate and complex. It was not appropriate for a jury. Particular considerations in reaching this finding were the multiplicity of parties, the duration of the trial, the volume of expert testimony, the multiplicity of standards of care, the use of unfamiliar medical terms, the apportionment of fault, the assessment of future loss, novel applications of the law, deliberation time, and preservation of the civil jury system.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Legislation Cited_1"/>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3" w:name="Counsel_12"/>
      <w:bookmarkEnd w:id="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P.G. Guy, for the plaintiff. M.L. McBride, for the defendant, Dr. G.R. Porter. J.C. Grauer, for the defendants, Capital Health Region, MacIntosh, Rolston and Pollock.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12"/>
      <w:bookmarkEnd w:id="74"/>
      <w:r>
        <w:pict>
          <v:line id="_x0000_s1073"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R.D. WILSON J._0"/>
            <w:bookmarkEnd w:id="75"/>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injuries, said to have been caused by the defendants. Her action sounds in contract and tort. The defendants deny any contractual relation with the plaintiff and deny that the plaintiff's injuries resulted from any conduct on their part. In any event, the defendants will argue that the plaintiff does not have a cause of action in contract. And too, they will object to the admissibility of opinion evidence from two of the plaintiff's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elected to have her claim heard by a court composed of a judge and jury. The defendants seek orders setting that election aside. The defendants rely on R. 39(27) of the Rules of Court. They say the issues in this case require a scientific investigation which cannot be made conveniently with a jury; and, the issues are of an intricate and complex character.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8 February 1996, the plaintiff underwent a gallbladder operation. The operation was performed by the defendant Dr. Porter. Post-operative care was provided by the defendant Hospital, its nurses, and nursing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10 February 1996, the plaintiff suffered injury to her brain tissue. The injury was inflicted by pressure on the brain tissue from accumulated liquid. The plaintiff says the injury was caused by the fault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alleged breaches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particularized in the plaintiff's amended statement of claim. It is apparent, however, that not all of the allegations will be pursued, as pleaded. That is to say, the plaintiff's claim will not be tried entirely as it has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trial purposes, it appears that the plaintiff's essential complaints against the defendant Dr. Porter are:</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order a transfusion;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adequately direct the monitoring of electrolytes;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personally visit and assess the plaintiff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complaints against the Hospital and the nurses remain as pleaded. They are complaints of how the nurses conducted themselves during the plaintiff's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What happened with the plaintiff 8 February 1996 through 10 February 1996 does not appear controversial. Those events appear to be largely memorialized in the hospital records. Controversy is introduced by the questions why what was done, was done and why what was not done, not done; and, what inferences are to be drawn from the answers to those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my opinion, the issues in this case do not require a "scientific" investigation. They require an investigation into human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there is a "scientific" component to that investigation, it is found in one expert's opinion that there was a pre-existing "susceptibility" for the injury; and in the reasons the various experts give for holding the opinions they do. I am not persuaded that the investigation into those matters cannot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 understand Mr. Guy, he contends that these matters are resolved by an analysis of all of the factors in the case presenting weighed against one's experience with jury determinations of such matters and a decision taken to retain or dismiss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not persuaded that the question is so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39(27) confers a discretionary power upon a Master or Judge to deprive a litigant of the privilege of a trial by a jury. That is a power which must be exercised judicially. One of the features giving content to the word of limitation, "judicially", is compliance with precedent. That may be another description of Mr. Grauer's observation that "like cases should have like results, or what's it all about." There comes a point at which, even the most devout adherent to the notion that juror participation in the administration of civil justice is a positive attribute, must yield to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Absent a universal referent for "intricate or complex", prior decisions have identified a constellation of factors, quantitative and qualitative, which may assume the character "intricate or complex". See World Wide Treasure Adventures Ltd. v. Ralph, </w:t>
      </w:r>
      <w:hyperlink r:id="rId311" w:history="1">
        <w:r>
          <w:rPr>
            <w:rFonts w:ascii="arial" w:eastAsia="arial" w:hAnsi="arial" w:cs="arial"/>
            <w:i/>
            <w:color w:val="0077CC"/>
            <w:sz w:val="20"/>
            <w:u w:val="single"/>
            <w:shd w:val="clear" w:color="auto" w:fill="FFFFFF"/>
            <w:lang w:val="en-US" w:eastAsia="en-US" w:bidi="ar-SA"/>
          </w:rPr>
          <w:t>[1995] B.C.J. No. 579</w:t>
        </w:r>
      </w:hyperlink>
      <w:r>
        <w:rPr>
          <w:rFonts w:ascii="arial" w:eastAsia="arial" w:hAnsi="arial" w:cs="arial"/>
          <w:color w:val="000000"/>
          <w:sz w:val="20"/>
          <w:lang w:val="en-US" w:eastAsia="en-US" w:bidi="ar-SA"/>
        </w:rPr>
        <w:t>. Examples of those factors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Multiplicity of parties: Nikal (Guardian ad litem of) v. Caira, </w:t>
      </w:r>
      <w:hyperlink r:id="rId312" w:history="1">
        <w:r>
          <w:rPr>
            <w:rFonts w:ascii="arial" w:eastAsia="arial" w:hAnsi="arial" w:cs="arial"/>
            <w:i/>
            <w:color w:val="0077CC"/>
            <w:sz w:val="20"/>
            <w:u w:val="single"/>
            <w:shd w:val="clear" w:color="auto" w:fill="FFFFFF"/>
            <w:lang w:val="en-US" w:eastAsia="en-US" w:bidi="ar-SA"/>
          </w:rPr>
          <w:t>[1993] B.C.J. No. 277</w:t>
        </w:r>
      </w:hyperlink>
      <w:r>
        <w:rPr>
          <w:rFonts w:ascii="arial" w:eastAsia="arial" w:hAnsi="arial" w:cs="arial"/>
          <w:color w:val="000000"/>
          <w:sz w:val="20"/>
          <w:lang w:val="en-US" w:eastAsia="en-US" w:bidi="ar-SA"/>
        </w:rPr>
        <w:t xml:space="preserve">; Lew (Guardian ad litem of) v. Mount Saint Joseph Hospital Society, </w:t>
      </w:r>
      <w:hyperlink r:id="rId313" w:history="1">
        <w:r>
          <w:rPr>
            <w:rFonts w:ascii="arial" w:eastAsia="arial" w:hAnsi="arial" w:cs="arial"/>
            <w:i/>
            <w:color w:val="0077CC"/>
            <w:sz w:val="20"/>
            <w:u w:val="single"/>
            <w:shd w:val="clear" w:color="auto" w:fill="FFFFFF"/>
            <w:lang w:val="en-US" w:eastAsia="en-US" w:bidi="ar-SA"/>
          </w:rPr>
          <w:t>[1995] B.C.J. No. 1974</w:t>
        </w:r>
      </w:hyperlink>
      <w:r>
        <w:rPr>
          <w:rFonts w:ascii="arial" w:eastAsia="arial" w:hAnsi="arial" w:cs="arial"/>
          <w:color w:val="000000"/>
          <w:sz w:val="20"/>
          <w:lang w:val="en-US" w:eastAsia="en-US" w:bidi="ar-SA"/>
        </w:rPr>
        <w:t xml:space="preserve">; Maki (Guardian ad litem of) v. Abrahams, </w:t>
      </w:r>
      <w:hyperlink r:id="rId314" w:history="1">
        <w:r>
          <w:rPr>
            <w:rFonts w:ascii="arial" w:eastAsia="arial" w:hAnsi="arial" w:cs="arial"/>
            <w:i/>
            <w:color w:val="0077CC"/>
            <w:sz w:val="20"/>
            <w:u w:val="single"/>
            <w:shd w:val="clear" w:color="auto" w:fill="FFFFFF"/>
            <w:lang w:val="en-US" w:eastAsia="en-US" w:bidi="ar-SA"/>
          </w:rPr>
          <w:t>[1996] B.C.J. No. 54</w:t>
        </w:r>
      </w:hyperlink>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Duration of trial: Wipfli (Guardian ad litem of) v. Britten, </w:t>
      </w:r>
      <w:hyperlink r:id="rId315"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Scott v. Davies; Maki.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of expert testimony: Scott; Nikal; Maki.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standards of care: Nikal; Lew; Maki.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unfamiliar medical terms: Nikal.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of fault: Wipfli; Mighton v. Maile, </w:t>
      </w:r>
      <w:hyperlink r:id="rId316" w:history="1">
        <w:r>
          <w:rPr>
            <w:rFonts w:ascii="arial" w:eastAsia="arial" w:hAnsi="arial" w:cs="arial"/>
            <w:i/>
            <w:color w:val="0077CC"/>
            <w:sz w:val="20"/>
            <w:u w:val="single"/>
            <w:shd w:val="clear" w:color="auto" w:fill="FFFFFF"/>
            <w:lang w:val="en-US" w:eastAsia="en-US" w:bidi="ar-SA"/>
          </w:rPr>
          <w:t>[1986] B.C.J. No. 1340</w:t>
        </w:r>
      </w:hyperlink>
      <w:r>
        <w:rPr>
          <w:rFonts w:ascii="arial" w:eastAsia="arial" w:hAnsi="arial" w:cs="arial"/>
          <w:color w:val="000000"/>
          <w:sz w:val="20"/>
          <w:lang w:val="en-US" w:eastAsia="en-US" w:bidi="ar-SA"/>
        </w:rPr>
        <w:t xml:space="preserve">; Jennings Estate v. Gibson, </w:t>
      </w:r>
      <w:hyperlink r:id="rId317" w:history="1">
        <w:r>
          <w:rPr>
            <w:rFonts w:ascii="arial" w:eastAsia="arial" w:hAnsi="arial" w:cs="arial"/>
            <w:i/>
            <w:color w:val="0077CC"/>
            <w:sz w:val="20"/>
            <w:u w:val="single"/>
            <w:shd w:val="clear" w:color="auto" w:fill="FFFFFF"/>
            <w:lang w:val="en-US" w:eastAsia="en-US" w:bidi="ar-SA"/>
          </w:rPr>
          <w:t>[1992] B.C.J. No. 1822</w:t>
        </w:r>
      </w:hyperlink>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future loss: Wipfli; Maki.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Novel applications of the law: Shobridge v. Thomas, </w:t>
      </w:r>
      <w:hyperlink r:id="rId318" w:history="1">
        <w:r>
          <w:rPr>
            <w:rFonts w:ascii="arial" w:eastAsia="arial" w:hAnsi="arial" w:cs="arial"/>
            <w:i/>
            <w:color w:val="0077CC"/>
            <w:sz w:val="20"/>
            <w:u w:val="single"/>
            <w:shd w:val="clear" w:color="auto" w:fill="FFFFFF"/>
            <w:lang w:val="en-US" w:eastAsia="en-US" w:bidi="ar-SA"/>
          </w:rPr>
          <w:t>[1999] B.C.J. No. 1747</w:t>
        </w:r>
      </w:hyperlink>
      <w:r>
        <w:rPr>
          <w:rFonts w:ascii="arial" w:eastAsia="arial" w:hAnsi="arial" w:cs="arial"/>
          <w:color w:val="000000"/>
          <w:sz w:val="20"/>
          <w:lang w:val="en-US" w:eastAsia="en-US" w:bidi="ar-SA"/>
        </w:rPr>
        <w:t>,; Lew.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Deliberation time: Wipfli; Scott; Nikal; Maki.</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Preservation of the civil jury system: Foote v. Royal Columbian Hospital, </w:t>
      </w:r>
      <w:hyperlink r:id="rId319" w:history="1">
        <w:r>
          <w:rPr>
            <w:rFonts w:ascii="arial" w:eastAsia="arial" w:hAnsi="arial" w:cs="arial"/>
            <w:i/>
            <w:color w:val="0077CC"/>
            <w:sz w:val="20"/>
            <w:u w:val="single"/>
            <w:shd w:val="clear" w:color="auto" w:fill="FFFFFF"/>
            <w:lang w:val="en-US" w:eastAsia="en-US" w:bidi="ar-SA"/>
          </w:rPr>
          <w:t>[1982] B.C.J. No. 456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Quantitatively, all of those factors are present in this case. To the extent it is possible, on an interlocutory application, to set one set of circumstances against another, I find a preponderance of qualitative similarity between this case, and those in which circumstances were found to be "intricate or complex". Comparing the circumstances in the previous decisions urged upon me by the defendants, where jury notices have been struck; with the previous decisions urged upon me by the plaintiff where the jury notices were not struck, I conclude that the factors in this case are of sufficient gravity to attract the designation "complex". That finding is made with the same regret expressed by other judges, in similar circumstances, where jury notices have been struck. In result, the motions are allowed and the notice of trial by jury in this case is struck out. In making that order, I follow the precedent set by McEachern C.J.S.C. (as he then was), in Mighton v. Maile, </w:t>
      </w:r>
      <w:hyperlink r:id="rId316" w:history="1">
        <w:r>
          <w:rPr>
            <w:rFonts w:ascii="arial" w:eastAsia="arial" w:hAnsi="arial" w:cs="arial"/>
            <w:i/>
            <w:color w:val="0077CC"/>
            <w:sz w:val="20"/>
            <w:u w:val="single"/>
            <w:shd w:val="clear" w:color="auto" w:fill="FFFFFF"/>
            <w:lang w:val="en-US" w:eastAsia="en-US" w:bidi="ar-SA"/>
          </w:rPr>
          <w:t>[1986] B.C.J. No. 1340</w:t>
        </w:r>
      </w:hyperlink>
      <w:r>
        <w:rPr>
          <w:rFonts w:ascii="arial" w:eastAsia="arial" w:hAnsi="arial" w:cs="arial"/>
          <w:color w:val="000000"/>
          <w:sz w:val="20"/>
          <w:lang w:val="en-US" w:eastAsia="en-US" w:bidi="ar-SA"/>
        </w:rPr>
        <w:t>, and order that there be no costs on those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British Columbia (Director of Civil Forfeiture) v. PacNet Services Ltd., [2018] B.C.J. No. 3720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11-12,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S182680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2070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(6th) 387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2 W.W.R. 474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Director of Civil Forfeiture, Plaintiff, and The Owners and All Others Interested in the Properties and Bank Funds, in particular PacNet Services Ltd., Rosanne Day, Gordon Day, Ruth Ferlow, Peter Ferlow and 672944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3"/>
      <w:bookmarkEnd w:id="76"/>
      <w:r>
        <w:rPr>
          <w:rFonts w:ascii="arial" w:eastAsia="arial" w:hAnsi="arial" w:cs="arial"/>
          <w:b/>
          <w:color w:val="000000"/>
          <w:sz w:val="20"/>
          <w:lang w:val="en-US" w:eastAsia="en-US" w:bidi="ar-SA"/>
        </w:rPr>
        <w:t>Civil litigation — Civil evidence — Documentary evidence — Sealed evidence — Application by the defendant PacNet Services Ltd and the Day Defendants for a sealing of the court file allowed in part — The Director of Civil Forfeiture alleged that the defendants had benefited from or had been complicit in various fraudulent direct mail schemes perpetrated by certain PacNet clients — The Director was seeking forfeiture of real property and bank account balances held by the defendants — It was appropriate to grant some protection to six affiants — However, a complete sealing of the court file was unnecessary — The witnesses could be referred to by initials or numbers.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3"/>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PacNet Services Ltd (PacNet) and the Day Defendants for a sealing of the entire court file. The Director of Civil Forfeiture (Director) alleged that the defendants had at best benefited from, or at worst been complicit in, various fraudulent direct mail schemes perpetrated by certain PacNet clients. The Director was seeking forfeiture of real property and bank account balances held by the defendants as proceeds of unlawful activities or instruments of unlawful activities. PacNet had faced many court proceedings in various jurisdictions arising from the fraudulent activities of some of its clients. However, PacNet and its principals had never been indicted, charged, or prosecuted with any criminal offences with respect to PacNet's business activities in any jurisdiction. The defendants contended that sealing the entire court file from public access was necessary to allow them the opportunity to fairly defend and refute the serious allegations advanced by the Director in this proceeding. They submitted that sealing the entire court file was necessary to protect various witnesses from further adverse consequences, to protect the confidential information of third parties from public disclosure, and to avoid the compelled production of evidence that may be shared with other law enforcement agencies, which was said to violate the defendants' rights under the Charter, including their right against self-incrimination. The Director was opposed to the sweeping nature of the relief sought. However, he took no position with respect to some protection for potential third party witnesses and some protection, assuming a proper evidentiary basis, in relation to third party privacy interests.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8" w:name="Holdings of Court_2"/>
            <w:bookmarkEnd w:id="7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considerable public interest in these proceedings. The Director was a public body fulfilling a public function in pursuing these types of cases. It was appropriate to grant some protection to six affiants in terms of their identity as might be disclosed in the court file. However, a complete sealing of the court file was an entirely disproportionate response to the defendants' concerns. Protections could be put in place with minimal limitations on the open court principle, by simply referring to the witnesses by their initials or by numbers. In addition, the affidavits of the six persons were to be filed under seal and were to be accessed only by the parties to the action and their counsel or pursuant to further court order. With respect to the confidential information of third parties, PacNet failed to establish that it was faced with the dilemma of having to choose between breaking clear confidentiality agreements and not relying on relevant documentation to present its case. It was entirely speculative that any lists of PacNet clients or information provided by those clients would ever be adduced in affidavits to be filed in these proceedings. Furthermore, the defendants failed to prove that there was any real and substantial or serious risk to an important interest, namely self-incrimination. Even if such a risk did exist, a sealing order was not necessary to address that risk as other reasonable alternative measures existed.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9" w:name="Legislation Cited_2"/>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Evidence Act, </w:t>
      </w:r>
      <w:hyperlink r:id="rId327" w:history="1">
        <w:r>
          <w:rPr>
            <w:rFonts w:ascii="arial" w:eastAsia="arial" w:hAnsi="arial" w:cs="arial"/>
            <w:i/>
            <w:color w:val="0077CC"/>
            <w:sz w:val="20"/>
            <w:u w:val="single"/>
            <w:shd w:val="clear" w:color="auto" w:fill="FFFFFF"/>
            <w:lang w:val="en-US" w:eastAsia="en-US" w:bidi="ar-SA"/>
          </w:rPr>
          <w:t>R.S.C. 1985, c. C-5, s. 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2(b), s. 7, s. 11(c),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Civil Forfeiture Act, </w:t>
      </w:r>
      <w:hyperlink r:id="rId328" w:history="1">
        <w:r>
          <w:rPr>
            <w:rFonts w:ascii="arial" w:eastAsia="arial" w:hAnsi="arial" w:cs="arial"/>
            <w:i/>
            <w:color w:val="0077CC"/>
            <w:sz w:val="20"/>
            <w:u w:val="single"/>
            <w:shd w:val="clear" w:color="auto" w:fill="FFFFFF"/>
            <w:lang w:val="en-US" w:eastAsia="en-US" w:bidi="ar-SA"/>
          </w:rPr>
          <w:t>S.B.C. 2005, c. 29, s. 22</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329" w:history="1">
        <w:r>
          <w:rPr>
            <w:rFonts w:ascii="arial" w:eastAsia="arial" w:hAnsi="arial" w:cs="arial"/>
            <w:i/>
            <w:color w:val="0077CC"/>
            <w:sz w:val="20"/>
            <w:u w:val="single"/>
            <w:shd w:val="clear" w:color="auto" w:fill="FFFFFF"/>
            <w:lang w:val="en-US" w:eastAsia="en-US" w:bidi="ar-SA"/>
          </w:rPr>
          <w:t>R.S.B.C. 1996, c. 124,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Mutual Legal Assistance Treaty,</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0" w:name="Counsel_13"/>
      <w:bookmarkEnd w:id="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 Mickelson, Q.C., A. Doolittle.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Rosanne Day, Gordon Day and 672944 B.C. Ltd.: P.J. Roberts, L.L. Bevan.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PacNet Services Ltd.: M. Bolton, Q.C., A. Sehmbi.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Peter Ferlow and Ruth Ferlow: B. Vaze, M. Greene.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3"/>
      <w:bookmarkEnd w:id="81"/>
      <w:r>
        <w:pict>
          <v:line id="_x0000_s1078"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(Sealing Order)</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S.C. FITZPATRICK J."/>
            <w:bookmarkEnd w:id="82"/>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proceedings are brought by the Director of Civil Forfeiture (the "Director") under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2005, c. 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The Director alleges that the Defendants have at best benefited from, or at worst been complicit in, various fraudulent direct mail schemes perpetrated by certain clients of the defendant PacNet Services Ltd. (the "PacNet"). The Director seeks forfeiture of real property and bank account balances held by the Defendants, as proceeds of unlawful activities or instruments of unlawful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These proceedings were commenced in February 2018. On that same date, I granted an interim preservation order (the "IPO") in respect of certain bank accounts held by the various Defendants: </w:t>
      </w:r>
      <w:r>
        <w:rPr>
          <w:rFonts w:ascii="arial" w:eastAsia="arial" w:hAnsi="arial" w:cs="arial"/>
          <w:i/>
          <w:color w:val="000000"/>
          <w:sz w:val="20"/>
          <w:lang w:val="en-US" w:eastAsia="en-US" w:bidi="ar-SA"/>
        </w:rPr>
        <w:t>Director of Civil Forfeiture v. PacNet Services Ltd.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2018 BCSC 387</w:t>
        </w:r>
      </w:hyperlink>
      <w:r>
        <w:rPr>
          <w:rFonts w:ascii="arial" w:eastAsia="arial" w:hAnsi="arial" w:cs="arial"/>
          <w:color w:val="000000"/>
          <w:sz w:val="20"/>
          <w:lang w:val="en-US" w:eastAsia="en-US" w:bidi="ar-SA"/>
        </w:rPr>
        <w:t xml:space="preserve"> (the "Reasons"). The Reasons contain a comprehensive review of the evidence presented by the Director at that time, which I will not repeat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Unfortunately, since February 2018, little progress has been made in respect of this litigation. Many issues or potential issues have arisen between the Director and the Defendants. The Defendants suggest that they may apply to set aside the IPO. They have applied for particulars of the Director's pleading and they have sought orders to address the timing and scope of document production in this litigation. Some of these issues will be addressed in my reasons for judgment, in relation to other applications that were also heard in November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outset of this proceeding, PacNet and the Defendants Rosanne Day, Gordon Day and 672944 B.C. Ltd. (collectively, the "Day Defendants") expressed concern about prejudice to them arising from any disclosure of evidence produced by them in this action through the filing of materials in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April 2018, PacNet and the Day Defendants filed the present applications. They seek a sealing of the entire court file to prevent members of the public from accessing documents that might be filed, such that only parties of record and counsel for those parties would have access, subject to further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concern was addressed in my Case Plan Order dated April 5, 2018 which implemented an interim measure pending the hearing of this application. That order allowed the parties to exchange application materials without filing them pending my decision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Accordingly, the issue to be decided is whether PacNet and the Day Defendants have met their onus in showing that the sealing of the entire court file from any public access is appropriate. They are supported in their position by the Defendants Ruth and Peter Ferlow, who similarly seek the protection of a sealing order in respect of any evidence placed in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Director is opposed to the sweeping nature of the relief sought in terms of a sealing of the entire court file. However, he takes no position with respect to some protection for potential third party witnesses and some protection, assuming a proper evidentiary basis, in relation to third party privacy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an overarching concern, PacNet and the Day Defendants contend that sealing the entire court file from public access is necessary to allow the Defendants the opportunity to fairly defend and refute the serious allegations advanced by the Director in this proceeding. That concern is specifically manifested in three subsidiary concerns where the Defendants seek to:</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various witnesses, said to have relevant evidence relating to the issues in this proceeding, from further adverse consequences;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the confidential information of third parties, said to be in the possession of the Defendants, from public disclosure;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avoid the compelled production of evidence that may be shared with other law enforcement agencies, which is said to violate the Defendants'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including their rights against self-incrimination.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the focus of this application has both domestic and international aspects. The first two specific concerns arise from domestic concerns. The final and third concern is largely international, as PacNet and the Day Defendants seek to avoid the possible sharing of compelled evidence produced in this action with other agencies, either local or in other jurisdictions, in which there are possible or actual criminal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argue that, if the court file is not sealed and information is available to the public, their ability to participate in this action fully by the filing of materials with be impaired; alternatively, if any material is disclosed in the court file, it may be used to their detriment in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PacNet has faced, albeit indirectly to this time, many court proceedings in various jurisdictions, arising from the fraudulent activities of some of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2007, the Australian Competition and Consumer Commission launched an investigation against a PacNet client, Tony Kasday. PacNet was implicated as the payment processor for Mr. Kasday's mail fraud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Importantly, as indicated in the Reasons, the Director has produced evidence indicating that PacNet and Ms. Day have been embroiled in significant litigation in the United States of America (the "U.S.") for about two decades now arising from PacNet's business operations in that jurisdiction: Reasons at paras. 54-108.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in support of the application for the IPO was provided by Detective Mah of the Vancouver Police Department (the "VPD"). Det. Mah's affidavit refers to and attaches various public documents which indicate that PacNet and Ms. Day have been implicated in a number of fraudulent direct mail schemes perpetrated by some of PacNet's clients. The U.S. authorities have initiated a number of investigations and prosecutions against those clients in respect of mail fraud schemes which have victimized American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Most concerning to the Defendants is that, in September 2016, the U.S. Department of the Treasury's Office of Foreign Assets Control (the "OFAC") designated PacNet, Ms. Day and Ms. Ferlow as part of a "significant transnational criminal organization" arising from their involvement in those schemes: Reasons at paras. 99-102. The announcement by the U.S. authorities stated that PacNet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lengthy history of money laundering by knowingly processing payments on behalf of a wide range of mail fraud schemes that target victims in the United States and throughout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OFAC designation with respect to Ms. Day and Ms. Ferlow was removed between February and October 2017. In addition, by agreement, in September 2007, the OFAC designation was lifted by the U.S. authorities with respect to PacNet in conjunction with PacNet filing interpleader proceedings in the U.S. in October 2017 in relation to funds it held on behalf of some of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Despite the lifting of the OFAC designations, PacNet and the Day Defendants remain fearful of prosecution in the U.S. They contend that events post-April 2018, when these applications were filed, provide further support for their concerns about the sharing of their compelled evidence from this action with the U.S.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filing of the U.S. interpleader was not the end of the matter. PacNet has not paid all of the agreed monies (approximately US$5.2 million) into court in that proceeding. Recently, in June 2018, PacNet brought a motion for a declaration that OFAC is in contempt of court for being in violation of various orders. PacNet alleges that OFAC "undermined" the agreement by which PacNet agreed to pay these monies. The dispute appears to have arisen because another U.S. enforcement agency seized approximately US$2.6 million which was held in court, funds that PacNet intended to use to pay the remainder of these monies in the interpleader. OFAC and the U.S. government are disputing the contempt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Throughout the course of the lengthy investigations and prosecutions in the U.S., and at least one investigation in Australia, PacNet and in particular, Ms. Day, have steadfastly denied any wrongdoing. To the extent that any of PacNet's clients, who were either alleged to be fraudsters or found to be fraudsters, Ms. Day contends that only a small number of PacNet clients were "bad apples". Ms. Day argues that PacNet simply unwittingly assisting those fraudsters in the facilitation of those illegal schemes through PacNet's normal business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this significant connection to various mail fraud schemes, PacNet and its principals have never been indicted, charged or prosecuted with any criminal offences in respect of PacNet's business activities in any jurisdiction, including Canada and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PacNet has not faced any civil proceedings arising from its business activities in any jurisdiction until the Director filed these civil proceedings in February 2018, based on allegations that PacNet received some of the proceeds of those fraudulent schemes as proceeds of crime and further, that PacNet and its principals knowingly facilitated these fraudulent mail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Clearly, PacNet and its principals take a broader view of these proceedings beyond British Columbia. Indeed, the Day Defendants state in their argument: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first legal proceeding that has afforded the defendants any opportunity to make answer to the serious and unsupportable allegations levied against them here and in the United States, albeit with the pall of the new rescinded executed action taken by OFAC still impairing the defendants' ability to make full answer and defence to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PacNet's headquarters are in Vancouver, its business operations are international and extend beyond Canada and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also refer to civil forfeiture proceedings filed in Ireland against PacNet, some related corporations and a number of individuals. It is not clear when the Irish proceedings began and what exactly they entail.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Day Defendants refer to an affidavit of Detective Garda Heneghan of the Criminal Assets Bureau (CAB) in Dublin, Ireland dated July 25, 2018 which was filed in the Irish forfeiture proceeding. Det. Heneghan refers in her affidavit to the CAB liaising with authorities in the U.S., the U.K., the Isle of Man and "other jurisdictions". The U.S. authorities include the Department of Treasury and Department of Justice. The Canadian authorities include the RCMP, the VPD, the Civil Forfeiture Office of B.C. and FINTRAC.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Det. Heneghan also refers to the International Mass Marketing Fraud Working Group (IMMFWG) formed in 2007 by various law enforcement, regulatory and consumer protection agencies from many countries (Australia, Belgium, Canada, the U.S., U.K., Netherlands and Nigeria) in an effort to "combat the globalization of these fraud schemes". The agencies involved in the IMMFWG include various law enforcement agencies in those jurisdictions (for example, the FBI and the RCMP) and regulatory agencies (for example, FINTRAC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Det. Heneghan's affidavit indicates that the various authorities are co-operating with each other in the sense of sharing certain documentation, although in some instances, the source of those documents is unclear. Her evidence refers to materials seized by the Irish authorities. In addition, she makes specific reference to Det. Mah's affidavit filed in this action and it is attached as an exhibit to her affidavit. There are also references in her affidavit, either directly or indirectly, to the authorities or agencies having received and reviewed various materials filed in court proceedings in various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Finally, the Day Defendants refer to further </w:t>
      </w:r>
      <w:r>
        <w:rPr>
          <w:rFonts w:ascii="arial" w:eastAsia="arial" w:hAnsi="arial" w:cs="arial"/>
          <w:i/>
          <w:color w:val="000000"/>
          <w:sz w:val="20"/>
          <w:lang w:val="en-US" w:eastAsia="en-US" w:bidi="ar-SA"/>
        </w:rPr>
        <w:t>Mutual Legal Assistance Treaty</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issues that have arisen beyond that referred to by Det. Mah in his affidavit filed in support of the IPO: Reasons at paras. 54-57. The previous evidence indicated that the U.S. has made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requests to Canada in 1997 and 2001 which led to PacNet's books and records being seized for the periods September 1991 to December 1997 and January 1998 to February 2000. PacNet's challenges to those seizures were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August 2016, the U.S. authorities made another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request to Canada in order to further its "criminal investigation" into PacNet, DeepCove Laboratories Ltd. (the "DeepCove"), Ms. Day, Ms. Ferlow and various other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21, 2016, this Court issued a search warrant authorizing the search and seizure of PacNet's offices in respect of documentation from January 1, 2003 to September 21, 2016. The warrant was issued based on evidence that found reasonable grounds to believe that these parties had violated various U.S. laws, including conspiracy, importing or transporting of lottery tickets, mailing lottery tickets, mail fraud and wire fraud. The search warrant was executed by the VPD on September 21 and 25,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am advised by PacNet and the Day Defendants that challenges to the 2016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proceedings are still before this Court and are not yet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jurisdiction and authority to grant a sealing order is derived from the inherent authority and power of the court with respect to its records: </w:t>
      </w:r>
      <w:r>
        <w:rPr>
          <w:rFonts w:ascii="arial" w:eastAsia="arial" w:hAnsi="arial" w:cs="arial"/>
          <w:i/>
          <w:color w:val="000000"/>
          <w:sz w:val="20"/>
          <w:lang w:val="en-US" w:eastAsia="en-US" w:bidi="ar-SA"/>
        </w:rPr>
        <w:t>Nova Scotia (Attorney General) v. MacIntyre</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[1982] 1 S.C.R. 175</w:t>
        </w:r>
      </w:hyperlink>
      <w:r>
        <w:rPr>
          <w:rFonts w:ascii="arial" w:eastAsia="arial" w:hAnsi="arial" w:cs="arial"/>
          <w:color w:val="000000"/>
          <w:sz w:val="20"/>
          <w:lang w:val="en-US" w:eastAsia="en-US" w:bidi="ar-SA"/>
        </w:rPr>
        <w:t xml:space="preserve"> at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presumption is in favour of public access to court records and anyone seeking to reverse that presumption bears the onus of supporting that result: </w:t>
      </w:r>
      <w:r>
        <w:rPr>
          <w:rFonts w:ascii="arial" w:eastAsia="arial" w:hAnsi="arial" w:cs="arial"/>
          <w:i/>
          <w:color w:val="000000"/>
          <w:sz w:val="20"/>
          <w:lang w:val="en-US" w:eastAsia="en-US" w:bidi="ar-SA"/>
        </w:rPr>
        <w:t>MacIntyre</w:t>
      </w:r>
      <w:r>
        <w:rPr>
          <w:rFonts w:ascii="arial" w:eastAsia="arial" w:hAnsi="arial" w:cs="arial"/>
          <w:color w:val="000000"/>
          <w:sz w:val="20"/>
          <w:lang w:val="en-US" w:eastAsia="en-US" w:bidi="ar-SA"/>
        </w:rPr>
        <w:t xml:space="preserve"> at 189. Similarly, in </w:t>
      </w:r>
      <w:r>
        <w:rPr>
          <w:rFonts w:ascii="arial" w:eastAsia="arial" w:hAnsi="arial" w:cs="arial"/>
          <w:i/>
          <w:color w:val="000000"/>
          <w:sz w:val="20"/>
          <w:lang w:val="en-US" w:eastAsia="en-US" w:bidi="ar-SA"/>
        </w:rPr>
        <w:t>Dagenais v. Canadian Broadcasting Corp.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xml:space="preserve"> at 876-877, the Court confirmed that freedom of expression, including freedom of the press, is a paramount value in Canadian society, as enshrined in s. 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which guarantees the rights of all Canadians to "freedom of thought, belief, opinion and expression, including freedom of the press and other media of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Sierra Club of Canada v. Canada (Minister of Finance)</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2002 SCC 41</w:t>
        </w:r>
      </w:hyperlink>
      <w:r>
        <w:rPr>
          <w:rFonts w:ascii="arial" w:eastAsia="arial" w:hAnsi="arial" w:cs="arial"/>
          <w:color w:val="000000"/>
          <w:sz w:val="20"/>
          <w:lang w:val="en-US" w:eastAsia="en-US" w:bidi="ar-SA"/>
        </w:rPr>
        <w:t>, the Court states that the principle of open and accessible court proceedings is fundamental, and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public and media access to the courts cannot be understated, as this access is the method by which the judicial process is scrutinized and criticized. Because it is essential to the administration of justice that justice is done and is seen to be done, such public scrutiny is fundamental. The open court principle has been described as "the very soul of justice", guaranteeing that justice is administered in a non-arbitrary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Within the context of this civil forfeiture action, the Defendants say that several competing interests arise here which are in conflict to the principles of freedom of expression and freedom of the press: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a fair trial as a fundamental principle of justice and the general public interest in protecting the right to a fair trial: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paras. 50-51;</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protect important commercial interests;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remain silent: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 7;</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not to be compelled to be a witness in criminal proceedings against that person in respect of the offence: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 11(c);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not to have incriminating evidence used to incriminate that person in another proceeding: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and approved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it is not appropriate to apply a hierarchy of rights so as to favour one over the other; rather, where a conflict exists, the task of the court in the exercise of its discretion is to "balance" the applicable principles, rights and interests in a manner that respects the importance of all of them: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at 877;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paras. 38, 40,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parties agree that the applicable test as to when a sealing order should be granted is set out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to prevent a serious risk to an important interest, including a commercial interest, in the context of litigation because reasonably alternative measures will not prevent the risk;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confidentiality order, including the effects on the right of civil litigants to a fair trial, outweigh its deleterious effects, including the effects on the right to free expression, which includes the public interest in open and accessible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paras. 54-57 stated that, under the first aspect of the test, the court will consider:</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risk is real and substantial, in that the risk is well grounded in the evidence and poses a serious threat to the important interests in question;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articulated "important commercial interest" cannot be specific to the party requesting the order, but must be expressed in terms of a public interest in confidentiality;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"reasonably alternative measures" to a confidentiality order and, if not, to restrict the order as much as is reasonably possible while preserving the commercial interest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Also particularly relevant to this application is the Court's discussion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as to the weight or importance to be assigned to the open court principle in terms of the degree of public interest. At paras. 82-84, the Court stated that, while public interest is a factor that strengthens the importance of open justice, the level of media interest should not be addressed as an independent consideration within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addressed the distinction between media interest and public interest, stating: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with respect, to the extent that Evans J.A. relied on media interest as an indicium of public interest, this was an error. In my view, it is important to distinguish </w:t>
      </w:r>
      <w:r>
        <w:rPr>
          <w:rFonts w:ascii="arial" w:eastAsia="arial" w:hAnsi="arial" w:cs="arial"/>
          <w:color w:val="000000"/>
          <w:sz w:val="20"/>
          <w:u w:val="single"/>
          <w:lang w:val="en-US" w:eastAsia="en-US" w:bidi="ar-SA"/>
        </w:rPr>
        <w:t>public</w:t>
      </w:r>
      <w:r>
        <w:rPr>
          <w:rFonts w:ascii="arial" w:eastAsia="arial" w:hAnsi="arial" w:cs="arial"/>
          <w:color w:val="000000"/>
          <w:sz w:val="20"/>
          <w:lang w:val="en-US" w:eastAsia="en-US" w:bidi="ar-SA"/>
        </w:rPr>
        <w:t xml:space="preserve"> interest, from </w:t>
      </w:r>
      <w:r>
        <w:rPr>
          <w:rFonts w:ascii="arial" w:eastAsia="arial" w:hAnsi="arial" w:cs="arial"/>
          <w:color w:val="000000"/>
          <w:sz w:val="20"/>
          <w:u w:val="single"/>
          <w:lang w:val="en-US" w:eastAsia="en-US" w:bidi="ar-SA"/>
        </w:rPr>
        <w:t>media</w:t>
      </w:r>
      <w:r>
        <w:rPr>
          <w:rFonts w:ascii="arial" w:eastAsia="arial" w:hAnsi="arial" w:cs="arial"/>
          <w:color w:val="000000"/>
          <w:sz w:val="20"/>
          <w:lang w:val="en-US" w:eastAsia="en-US" w:bidi="ar-SA"/>
        </w:rPr>
        <w:t xml:space="preserve"> interest, and I agree with Robertson J.A. that media exposure cannot be viewed as an impartial measure of public interest. </w:t>
      </w:r>
      <w:r>
        <w:rPr>
          <w:rFonts w:ascii="arial" w:eastAsia="arial" w:hAnsi="arial" w:cs="arial"/>
          <w:color w:val="000000"/>
          <w:sz w:val="20"/>
          <w:u w:val="single"/>
          <w:lang w:val="en-US" w:eastAsia="en-US" w:bidi="ar-SA"/>
        </w:rPr>
        <w:t>It is the public nature of the proceedings which increases the need for openness, and this public nature is not necessarily reflected by the media desire to probe the facts of the case</w:t>
      </w:r>
      <w:r>
        <w:rPr>
          <w:rFonts w:ascii="arial" w:eastAsia="arial" w:hAnsi="arial" w:cs="arial"/>
          <w:color w:val="000000"/>
          <w:sz w:val="20"/>
          <w:lang w:val="en-US" w:eastAsia="en-US" w:bidi="ar-SA"/>
        </w:rPr>
        <w:t xml:space="preserve">. I reiterate the caution given by Dickson C.J. in </w:t>
      </w:r>
      <w:r>
        <w:rPr>
          <w:rFonts w:ascii="arial" w:eastAsia="arial" w:hAnsi="arial" w:cs="arial"/>
          <w:i/>
          <w:color w:val="000000"/>
          <w:sz w:val="20"/>
          <w:lang w:val="en-US" w:eastAsia="en-US" w:bidi="ar-SA"/>
        </w:rPr>
        <w:t>Keegstra, supra</w:t>
      </w:r>
      <w:r>
        <w:rPr>
          <w:rFonts w:ascii="arial" w:eastAsia="arial" w:hAnsi="arial" w:cs="arial"/>
          <w:color w:val="000000"/>
          <w:sz w:val="20"/>
          <w:lang w:val="en-US" w:eastAsia="en-US" w:bidi="ar-SA"/>
        </w:rPr>
        <w:t>, at p. 760, where he stated that, while the speech in question must be examined in light of its relation to the core values, "we must guard carefully against judging expression according to its popularity".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Although the public interest in open access to the judicial review application as a whole is substantial, in my view, it is also important to bear in mind the nature and scope of the information for which the order is sought in assigning weight to the public interest</w:t>
      </w:r>
      <w:r>
        <w:rPr>
          <w:rFonts w:ascii="arial" w:eastAsia="arial" w:hAnsi="arial" w:cs="arial"/>
          <w:color w:val="000000"/>
          <w:sz w:val="20"/>
          <w:lang w:val="en-US" w:eastAsia="en-US" w:bidi="ar-SA"/>
        </w:rPr>
        <w:t>. With respect, the motions judge erred in failing to consider the narrow scope of the order when he considered the public interest in disclosure, and consequently attached excessive weight to this factor.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Open justice is a fundamentally important principle, particularly when the substance of the proceedings is public in nature. However, this does not detract from the duty to attach weight to this principle in accordance with the specific limitations on openness that the confidentiality order would have</w:t>
      </w:r>
      <w:r>
        <w:rPr>
          <w:rFonts w:ascii="arial" w:eastAsia="arial" w:hAnsi="arial" w:cs="arial"/>
          <w:color w:val="000000"/>
          <w:sz w:val="20"/>
          <w:lang w:val="en-US" w:eastAsia="en-US" w:bidi="ar-SA"/>
        </w:rPr>
        <w:t xml:space="preserve">. As Wilson J. observed in </w:t>
      </w:r>
      <w:r>
        <w:rPr>
          <w:rFonts w:ascii="arial" w:eastAsia="arial" w:hAnsi="arial" w:cs="arial"/>
          <w:i/>
          <w:color w:val="000000"/>
          <w:sz w:val="20"/>
          <w:lang w:val="en-US" w:eastAsia="en-US" w:bidi="ar-SA"/>
        </w:rPr>
        <w:t>Edmonton Journal, supra</w:t>
      </w:r>
      <w:r>
        <w:rPr>
          <w:rFonts w:ascii="arial" w:eastAsia="arial" w:hAnsi="arial" w:cs="arial"/>
          <w:color w:val="000000"/>
          <w:sz w:val="20"/>
          <w:lang w:val="en-US" w:eastAsia="en-US" w:bidi="ar-SA"/>
        </w:rPr>
        <w:t>, at pp. 1353-54: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One thing seems clear and that is that one should not balance one value at large and the conflicting value in its context. To do so could well be to pre-judge the issue by placing more weight on the value developed at large than is appropriate in the context of the case.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it is important that, although there is significant public interest in these proceedings, open access to the judicial review application would be only slightly impeded by the order sought. The narrow scope of the order coupled with the highly technical nature of the Confidential Documents significantly temper the deleterious effects the confidentiality order would have on the public interest in open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PacNet and the Day Defendants' contention that the OFAC designation in the U.S. in September 2016 attracted a substantial amount of media coverage with respect to PacNet and its business operations. Media reports on the commencement of the U.S. proceedings were issued in the U.S., Canada and the U.K.. To say the least, the coverage would likely not have cast PacNet and its principals in a very favourable light in terms of the public's perception of them arising from their involvement in these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Media coverage of PacNet's legal problems either continued or were renewed by the filing of these civil forfeiture proceedings in February 2018. Shortly thereafter, at least one media outlet, CNN, contacted the B.C. government in order to obtain copies of the court documents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Day Defendants argue that the "court of public opinion" has already branded them as "criminals". They point to several comments from members of the public to these news agencies to that effect. In my view, it is folly to attempt to rely on any social media in terms of assessing public opinion, even if relevant, which is doubtful. In any event, other media reports properly and responsibly acknowledge that none of the allegations have been proven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Perversely, the Defendants acknowledge the media and/or public interest in these proceedings and the allegations of mail fraud in relation to them generally, but then argue that this level of interest </w:t>
      </w:r>
      <w:r>
        <w:rPr>
          <w:rFonts w:ascii="arial" w:eastAsia="arial" w:hAnsi="arial" w:cs="arial"/>
          <w:i/>
          <w:color w:val="000000"/>
          <w:sz w:val="20"/>
          <w:lang w:val="en-US" w:eastAsia="en-US" w:bidi="ar-SA"/>
        </w:rPr>
        <w:t>supports</w:t>
      </w:r>
      <w:r>
        <w:rPr>
          <w:rFonts w:ascii="arial" w:eastAsia="arial" w:hAnsi="arial" w:cs="arial"/>
          <w:color w:val="000000"/>
          <w:sz w:val="20"/>
          <w:lang w:val="en-US" w:eastAsia="en-US" w:bidi="ar-SA"/>
        </w:rPr>
        <w:t xml:space="preserve"> a closing of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Here, I agree with the Director that, in addition to increased media interest, there is also considerable </w:t>
      </w:r>
      <w:r>
        <w:rPr>
          <w:rFonts w:ascii="arial" w:eastAsia="arial" w:hAnsi="arial" w:cs="arial"/>
          <w:i/>
          <w:color w:val="000000"/>
          <w:sz w:val="20"/>
          <w:lang w:val="en-US" w:eastAsia="en-US" w:bidi="ar-SA"/>
        </w:rPr>
        <w:t>public</w:t>
      </w:r>
      <w:r>
        <w:rPr>
          <w:rFonts w:ascii="arial" w:eastAsia="arial" w:hAnsi="arial" w:cs="arial"/>
          <w:color w:val="000000"/>
          <w:sz w:val="20"/>
          <w:lang w:val="en-US" w:eastAsia="en-US" w:bidi="ar-SA"/>
        </w:rPr>
        <w:t xml:space="preserve"> interest in these proceedings by reason of the nature of these proceedings. This is not litigation between private parties over private interests. The Director is a public body fulfilling a public function in pursuing these types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Chatterjee v. Ontario (Attorney General)</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2009 SCC 19</w:t>
        </w:r>
      </w:hyperlink>
      <w:r>
        <w:rPr>
          <w:rFonts w:ascii="arial" w:eastAsia="arial" w:hAnsi="arial" w:cs="arial"/>
          <w:color w:val="000000"/>
          <w:sz w:val="20"/>
          <w:lang w:val="en-US" w:eastAsia="en-US" w:bidi="ar-SA"/>
        </w:rPr>
        <w:t xml:space="preserve"> at paras. 16-23, followed in </w:t>
      </w:r>
      <w:r>
        <w:rPr>
          <w:rFonts w:ascii="arial" w:eastAsia="arial" w:hAnsi="arial" w:cs="arial"/>
          <w:i/>
          <w:color w:val="000000"/>
          <w:sz w:val="20"/>
          <w:lang w:val="en-US" w:eastAsia="en-US" w:bidi="ar-SA"/>
        </w:rPr>
        <w:t>British Columbia (Director of Civil Forfeiture) v. Onn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BCCA 402</w:t>
        </w:r>
      </w:hyperlink>
      <w:r>
        <w:rPr>
          <w:rFonts w:ascii="arial" w:eastAsia="arial" w:hAnsi="arial" w:cs="arial"/>
          <w:color w:val="000000"/>
          <w:sz w:val="20"/>
          <w:lang w:val="en-US" w:eastAsia="en-US" w:bidi="ar-SA"/>
        </w:rPr>
        <w:t xml:space="preserve"> at para. 14, the practical effect of the legislation it to take the profit out of crime and deter perpetrators of crime, all of which benefits the public. It is apparent enough that these mail fraud schemes are pernicious crimes, particularly as they typically target elderly and vulnerable people who succumb to the empty promises of fortunes to be received. The public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entitled to see that justice is done in these types of cases in terms of the Director achieving these public objectives. Litigating these issues without public access risks diminishing public confidence in our justice system that a just result has been achieved in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agree that, in the balancing exercise here, where there in considerable public interest, there must be greater scrutiny of the importance of the open court principle in terms of whether a limitation attenuating that principle is appropriate and, if so, to what degree any restrictions should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it useful to discuss the appropriateness of the sealing order sought in relation to the three specific concerns expressed by PacNet and the Day Defendants.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Protect Various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PacNet and the Day Defendants argue that the ruinous and disproportionate consequences of the OFAC designation extend beyond the individuals and entities named in the OFAC designation. They argue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PacNet needs to marshal this evidence not only directly from the defendants, but from former PacNet employees, whose lives have been disrupted by the OFAC sanctions and the consequences of those sanctions. PacNet will also need evidence from third parties who are likely to be reluctant to assist if there may be adverse consequences to them of a public connection to the defence of PacNet's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PacNet says that when it ceased its operations in Vancouver in 2016, after the OFAC designations, it employed approximately 80 people. It says that all but three of those employees are said to have lost their jobs as a result of the consequences of the OFAC sanctions. Finally, PacNet says that the remaining three employees are engaged solely in winding down and closing the business, after which they too will lose their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says that some of the remaining and former employees have evidence that they need to refute the Director's allegations. They further say that the disproportionate consequences that have occurred as a result of these witnesses' public association with PacNet are a serious deterrent to any participation by them such that the Defendants' ability to defend the proceeding fairly is in jeopardy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support of this aspect of the application, the Day Defendants have proffered six affidavits of potential key witnesses who are said to have evidence that will support defences to the Director's allegations. They include four former employees of PacNet or DeepCove, one of whom in particular the Director agrees will likely be an important witness. Another witness is an external accountant who provided accounting services to PacNet in the past. The final witness is a former employee of a Canadian bank that did business with PacNet.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Each of these witnesses attests as to the considerable adverse and personal consequences suffered by them after the OFAC sanctions, arising from their association with PacNet. I would, however, stress that there is nothing this Court can do to address the consequences that flow from past associations between these persons and PacNet. This is particularly so with respect to the information confirming that past association, that continues to be available to the public, and such other information that might normally be disclosed by those persons in the ordinary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However, the basis for the sealing order is said to be supported from the stated concerns and fears of these persons as to potential </w:t>
      </w:r>
      <w:r>
        <w:rPr>
          <w:rFonts w:ascii="arial" w:eastAsia="arial" w:hAnsi="arial" w:cs="arial"/>
          <w:i/>
          <w:color w:val="000000"/>
          <w:sz w:val="20"/>
          <w:lang w:val="en-US" w:eastAsia="en-US" w:bidi="ar-SA"/>
        </w:rPr>
        <w:t>future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further</w:t>
      </w:r>
      <w:r>
        <w:rPr>
          <w:rFonts w:ascii="arial" w:eastAsia="arial" w:hAnsi="arial" w:cs="arial"/>
          <w:color w:val="000000"/>
          <w:sz w:val="20"/>
          <w:lang w:val="en-US" w:eastAsia="en-US" w:bidi="ar-SA"/>
        </w:rPr>
        <w:t xml:space="preserve"> consequences to them in the event of media coverage of their continuing association to PacNet. As one witness states, he fears that the media coverage will "unfairly perpetuate and exacerbate the negative connotations of my past employment to PacNet". Each of the witnesses states that they are either reluctant or unwillingly to provide evidence in this proceeding unless they can be shielded from further damage to their reputations and future prospects by mere association with the Director's claim against the Defendants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 evidence on this issue arises from the affidavit of a legal assistant working at the Day Defendants' counsel's office. She states that she met an unnamed professional person who provided advice to PacNet prior to the OFAC designation in 2016. This individual told the legal assistant that both s/he and his/her partner suffered adverse consequences arising from the professional's previous association with PacNet. This professional is said to have also indicated that s/he was unwilling to provide evidence in this action without a sealing order because of the possibility of further adverse consequences to him/her and his/her family and business. I would not give any effect to this evidence, as it is unpersuasive without any indication as to who this professional is and what relevant evidence s/he might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however persuaded that some protection should be granted to the six affiants in terms of their identity as might be disclosed in the court file. This would achieve the salutary effect of ensuring that this evidence is available to the parties in the truth seeking process toward a determination of issues in this action in a fair and just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only question is how that protection can be implemented with as little violence to the open court principle as possible. I disagree that this protection can only be afforded by a complete sealing of the Court file. Such a remedy is an entirely disproportionate response to the Defendants' concerns, especially given that there is no evidentiary basis for the necessity of such sweeping protections, either for these six people or for speculative further witnesses who may materialize with similar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required by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reasonably alternative measures which will prevent the risk in question are to be considered. In my view, there is sufficient support upon which to protect the identity of these six witnesses based on the evidence on this application. Protections can be put in place with minimal limitations on the open court principle, by simply designating these witnesses by their initials or, if they wish, as Witness #1, Witness #2, etc. in relation to any materials that might be filed in this court: </w:t>
      </w:r>
      <w:r>
        <w:rPr>
          <w:rFonts w:ascii="arial" w:eastAsia="arial" w:hAnsi="arial" w:cs="arial"/>
          <w:i/>
          <w:color w:val="000000"/>
          <w:sz w:val="20"/>
          <w:lang w:val="en-US" w:eastAsia="en-US" w:bidi="ar-SA"/>
        </w:rPr>
        <w:t>A.A. (Re)</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2016 BCSC 511</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I grant an order that the affidavits of the six persons filed on this application are to be filed under seal and are to be accessed only by the parties to this action and their counsel or pursuant to further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PacNet and the Day Defendants identify any other witness who has similar concerns and takes a similar position in respect of evidence to be filed, a further application can be made on notice and with the appropriate evidentiary basis for the relief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Confidential Information of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the Court agreed that a "serious threat" to an "important commercial interest" had been established in accordance with the first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Court's finding related to the disclosure sought of certain confidential documents which comprised reports in the possession of the appellant which included information which was the property of the Chinese authorities. The appellant resisted disclosure because to do so would have resulted in it being in breach of its contractual obligations with the Chinese authorities since it had agreed to protect the confidentiality of that information. Accordingly, the dilemma faced by the appellant was either to breach its contractual obligations by public disclosure or not present the documents at all which would have hindered its ability to advance its case: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paras.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first branch of the test, the Court agreed that a potential breach of the confidentiality requirements was sufficient to justify a "serious risk" to the appellant's and the public's "important commercial interest" in avoiding such breaches and that a sealing order was necessary to prevent that risk: paras. 60-61. On the second branch of the test, the overall salutary effects weighed in favour of granting the sealing order as it allowed the appellant to utilize the documents in question, which in turn enhanced their ability to present their case: paras. 70-71. While it was clear enough that a sealing order would have a negative effect on the open court principle, overall the sealing order was seen as promoting the search for truth: paras. 74-81.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Day Defendants have proffered an affidavit from one of PacNet's current employees. He states that, in order to defend the Director's allegations, PacNet will have to release confidential and proprietary information of its former clients, including confidential banking and financial information, employee verifications, internal policies and procedures, client subscriptions, production information, customer and donor lists. He also refers to these clients having provided this information on the "understanding" that it would be kept confidential. Finally, he refers to PacNet's standard form agreement as including non-disclosure obligations with respect to certain clients, although he does not attach that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support, PacNet and the Day Defendants point to a sealing order that was granted in the U.S. interpleader proceeding on October 20, 2017. OFAC had created and supplied to PacNet a list of persons or entities that it believed had committed fraud or money laundering. The sealing order permitted PacNet to hide the identity of the names of 73 of its clients, identified in this list as interpleader claimants, from public view. The U.S. court agreed with PacNet's submission that, among other things, the legitimate commercial interests of the third parties clients selected by OFAC were significantly affected by the interpleader proceeding and that a sealing order in relation to those names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Similar to my finding that the sealing of the entire court file is an entirely disproportionate to these concerns, I do not consider that the evidence on this aspect of the application supports any such relief on the following grounds: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entirely speculative that any lists of PacNet clients or specific PacNet clients and information provided by those clients will ever be adduced in affidavits to be filed in these proceedings;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allegation by the Director that all of PacNet's clients were involved in mail fraud. Some no doubt were entirely legitimate. The fact that those clients chose to associate themselves with PacNet is not a relevant factor;</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allegation that the Director is seeking relief against any PacNet clients, similar to the U.S. interpleader proceeding where specific allegations of illegality were being advanced against them;</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persuasive evidence as to PacNet's alleged agreement to keep such information and documentation confidential, similar to that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Evidence as to an "understanding" is simply insufficient. PacNet has not established that it is faced with the choice presented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namely the dilemma of having to choose between breaking clear confidentiality agreements and not relying on relevant documentation to present its case.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can therefore be distinguished;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explanation as to why the standard form agreement, said to support PacNet's obligations as to confidentiality, was not produced on this application;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questionable that any protection should be granted to those PacNet clients who have already been found liable and/or guilty of mail fraud in the U.S. where their association with PacNet and the details of their criminal activities have already been laid bare in the public domain. It is difficult to imagine what "salutary effects" could possibly be achieved by non-disclosure of their identity and information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PacNet and the Day Defendants ignore the clear import of our Court's Practice Direction PD-35 "Sealing Orders in Civil and Family Proceedings" to consider whether the entire court file should be sealed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only particular documents should be sealed. This analysis is required in order to apply the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test in assessing whether "reasonably alternative measures" can be invoked to prevent the risk to important commercial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usual procedure in this Court would be to prepare the evidence that might otherwise be filed in the court file and seek a sealing order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with respect to any information or documentation that was truly confidential. This usually results in the entire affidavit being sealed. It also usually results in the affidavit, with redactions of the truly confidential information and/or documentation, being filed.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it was only the confidential documents that were filed under seal: para. 6. This is the "surgical" approach to addressing the problem that is warranted, as opposed to the blunt and extraordinary remedy of a blanket sealing of the entire court file that is sought here, in order to preserve the right of the public to otherwise unobjectionable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I would not accede to a sealing of the entire court file in order to address concerns about disclosure of information and documentation concerning PacNet's clients. The Defendants are at liberty to advance this argument on any further application as might be appropriate based on proper evidence that may support the need for confidentiality and the scope of the protections sought in relation to the interests to be protected, all as it may relate to the proposed filing of that information in the court file.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Sharing of Information /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PacNet, the Day Defendants and the Ferlows contend that they are impaired in their ability to make full answer and defence in this action if Ms. Day's evidence may be shared with other enforcement agencies through public disclosure via the court file. Their real fear is that, if Ms. Day is required to (or does give) evidence in this proceeding toward defending the matter, the evidence will be shared with the U.S.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Specifically, the Day Defendants argue:</w:t>
      </w:r>
      <w:r>
        <w:rPr>
          <w:rFonts w:ascii="arial" w:eastAsia="arial" w:hAnsi="arial" w:cs="arial"/>
          <w:sz w:val="20"/>
          <w:lang w:val="en-US" w:eastAsia="en-US" w:bidi="ar-SA"/>
        </w:rPr>
        <w:cr/>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This impairment is additionally significant because of the nature of civil forfeiture proceedings generally and in this case in particular. A civil forfeiture proceeding is very public in nature, and will result in the defendants providing compelled evidence by way of document disclosure, examinations for discovery, and other compellable process.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date, evidence relating to the subject-matter of these proceedings has already been shared amongst various law enforcement agencies for diverse purposes. It is possible, if not likely, that compelled evidence may find its way into the public sphere. In these circumstances, which may place undue pressures on defendants in conflict with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other protections, concerns arise that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is fundamentally unfair and prevents the defendants any meaningful opportunity to provide full answer and defence to what may be spurious allegations of criminal conduct. These concerns, which raise questions concerning the constitutionality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may be mitigated where there is a sealing order that prevents the proceedings from being public in their totality and prevents the sharing of compelled evidence beyond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Defendants point to paragraph 21 of Det. Mah's affidavit which refers to him having sourced certain information in publicly available court records, as well as through "conversations with law officers involved in the investigation of PacNet in the U.S." I have already referred to the most recent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proceedings which resulted in the VPD seizing various PacNet records in September 2016, the validity of which is still yet unresolved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Day's alleged fears also appear to stem from other events coincident with the filing of this action and the granting of the IPO on February 14,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 February 22, 2018, approximately one week after the IPO was granted, the U.S. Department of Justice announced "the largest coordinated sweep of elder fraud cases in history". Hundreds of criminal, civil and forfeiture actions were commenced, involving more than 250 defendants "from around the globe", 200 of whom were charged criminally. The press release refers to the U.S. government having benefitted from the efforts of the IMMFWG. Specific reference is made to the execution of search warrants, some of which were said to have been coordinated with the VPD (which I assume are likely the subject of the current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PacNet and the Day Defendants do not believe in coincidences. They are of the belief that the U.S. authorities are in the process of conducting a criminal investigation against them and that the U.S. authorities are being assisted by other jurisdictions and agencies around the world and specifically, the VPD. I agree that the </w:t>
      </w:r>
      <w:r>
        <w:rPr>
          <w:rFonts w:ascii="arial" w:eastAsia="arial" w:hAnsi="arial" w:cs="arial"/>
          <w:i/>
          <w:color w:val="000000"/>
          <w:sz w:val="20"/>
          <w:lang w:val="en-US" w:eastAsia="en-US" w:bidi="ar-SA"/>
        </w:rPr>
        <w:t>MLAT</w:t>
      </w:r>
      <w:r>
        <w:rPr>
          <w:rFonts w:ascii="arial" w:eastAsia="arial" w:hAnsi="arial" w:cs="arial"/>
          <w:color w:val="000000"/>
          <w:sz w:val="20"/>
          <w:lang w:val="en-US" w:eastAsia="en-US" w:bidi="ar-SA"/>
        </w:rPr>
        <w:t xml:space="preserve"> proceedings in B.C. and the Irish proceedings currently underway does give rise to a reasonable inference to support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as noted above, there are currently no criminal charges pending against any of the Defendants in the U.S. or elsewhere; nor are there any civil or forfeiture actions pending against any of the Defendants, save in B.C. and Ireland. There is no certainty that there ever will be any further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right to remain silent and not be compelled to provide incriminating evidence against oneself if subject to criminal charges is a cornerstone of our criminal justice system: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ss. 7 and 11(c). Section 13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also enshrines protection against self-incrimination in relation to evidence given being used in another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witness who testifies in any proceedings has the right not to have any incriminating evidence so given used to incriminate that witness in any other proceedings, except in a prosecution for perjury or for the giving of contradictory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 provides further protection against self-incrimination in respect of compelled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(1)</w:t>
      </w:r>
      <w:r>
        <w:rPr>
          <w:rFonts w:ascii="arial" w:eastAsia="arial" w:hAnsi="arial" w:cs="arial"/>
          <w:color w:val="000000"/>
          <w:sz w:val="20"/>
          <w:lang w:val="en-US" w:eastAsia="en-US" w:bidi="ar-SA"/>
        </w:rPr>
        <w:t xml:space="preserve"> No witness shall be excused from answering any question on the ground that the answer to the question may tend to criminate him, or may tend to establish his liability to a civil proceeding at the instance of the Crown or of any person.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Where with respect to any question a witness objects to answer on the ground that his answer may tend to criminate him, or may tend to establish his liability to a civil proceeding at the instance of the Crown or of any person, and if but for this Act, or the Act of any provincial legislature, the witness would therefore have been excused from answering the question, then although the witness is by reason of this Act or the provincial Act compelled to answer, the answer so given shall not be used or admissible in evidence against him in any criminal trial or other criminal proceeding against him thereafter taking place, other than a prosecution for perjury in the giving of that evidence or for the giving of contradictory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British Columbia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contains similar protections for witnesses against self-incrimination in later criminal or civil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In this section, "</w:t>
      </w:r>
      <w:r>
        <w:rPr>
          <w:rFonts w:ascii="arial" w:eastAsia="arial" w:hAnsi="arial" w:cs="arial"/>
          <w:b/>
          <w:color w:val="000000"/>
          <w:sz w:val="20"/>
          <w:lang w:val="en-US" w:eastAsia="en-US" w:bidi="ar-SA"/>
        </w:rPr>
        <w:t>witness</w:t>
      </w:r>
      <w:r>
        <w:rPr>
          <w:rFonts w:ascii="arial" w:eastAsia="arial" w:hAnsi="arial" w:cs="arial"/>
          <w:color w:val="000000"/>
          <w:sz w:val="20"/>
          <w:lang w:val="en-US" w:eastAsia="en-US" w:bidi="ar-SA"/>
        </w:rPr>
        <w:t>" includes any person who testifies in the course of any proceedings authorized by law.</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witness must not be excused from answering a question or producing a document on the ground that the answer or the document may tend to incriminate the witness or any other person, or may tend to establish his or her liability to a civil proceeding at the instance of the Crown or of any person or to a prosecution under any Act.</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witness objects to answering a question on any of the grounds referred to in subsection (2), and if, but for this section or any Act of Canada, the witness would have been excused from answering the question, then, although the witness is by reason of this section or by reason of any Act of Canada compelled to answer, the answer given must not be used or receivable in evidence against that witness in any civil proceeding or in any proceeding under 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under the above protections, witnesses do not have the right to refuse to answer questions in a proceeding on the basis that the answer might incriminate them. They must answer; however, that evidence may not be used against them in another proceeding to establish a crime or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addition, all parties acknowledge the protections afforded the Defendants in this proceeding by reason of the implied undertaking rule that prevents the Director from using compelled evidence for any purpose other than prosecuting the present action: </w:t>
      </w:r>
      <w:r>
        <w:rPr>
          <w:rFonts w:ascii="arial" w:eastAsia="arial" w:hAnsi="arial" w:cs="arial"/>
          <w:i/>
          <w:color w:val="000000"/>
          <w:sz w:val="20"/>
          <w:lang w:val="en-US" w:eastAsia="en-US" w:bidi="ar-SA"/>
        </w:rPr>
        <w:t>Juman v. Doucette</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2008 SCC 8</w:t>
        </w:r>
      </w:hyperlink>
      <w:r>
        <w:rPr>
          <w:rFonts w:ascii="arial" w:eastAsia="arial" w:hAnsi="arial" w:cs="arial"/>
          <w:color w:val="000000"/>
          <w:sz w:val="20"/>
          <w:lang w:val="en-US" w:eastAsia="en-US" w:bidi="ar-SA"/>
        </w:rPr>
        <w:t xml:space="preserve"> at paras. 4-5; </w:t>
      </w:r>
      <w:r>
        <w:rPr>
          <w:rFonts w:ascii="arial" w:eastAsia="arial" w:hAnsi="arial" w:cs="arial"/>
          <w:i/>
          <w:color w:val="000000"/>
          <w:sz w:val="20"/>
          <w:lang w:val="en-US" w:eastAsia="en-US" w:bidi="ar-SA"/>
        </w:rPr>
        <w:t>No Limits Sportswear Inc. v. 0912139 B.C Ltd.</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2014 BCCA 258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There is no substance to the stated concerns of the Defendants that "somehow" the VPD "may" gain access to document disclosure in this case in breach of the implied undertaking. There is no suggestion that the Director will not comply with that undertaking, although I recognize that the Director has the ability to share information with other agencies in accordance with s. 22(4)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In any event, the Defendants have not brought any application to expand or amend the implied undertaking imposed upon the Director in this case or address any concerns arising under s. 22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Ms. Day has yet to provide any evidence in this proceeding, whether in affidavit form, by production of documents or by examination for discovery. I accept that, in doing so, the Defendants will have given "compelled" evidence: </w:t>
      </w:r>
      <w:r>
        <w:rPr>
          <w:rFonts w:ascii="arial" w:eastAsia="arial" w:hAnsi="arial" w:cs="arial"/>
          <w:i/>
          <w:color w:val="000000"/>
          <w:sz w:val="20"/>
          <w:lang w:val="en-US" w:eastAsia="en-US" w:bidi="ar-SA"/>
        </w:rPr>
        <w:t>National Financial Services Corp. v. Wolverton Securities Ltd.</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[1998] 46 B.C.L.R. (3d) 275</w:t>
        </w:r>
      </w:hyperlink>
      <w:r>
        <w:rPr>
          <w:rFonts w:ascii="arial" w:eastAsia="arial" w:hAnsi="arial" w:cs="arial"/>
          <w:color w:val="000000"/>
          <w:sz w:val="20"/>
          <w:lang w:val="en-US" w:eastAsia="en-US" w:bidi="ar-SA"/>
        </w:rPr>
        <w:t xml:space="preserve"> (B.C.S.C.) at paras. 7-8;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at para. 1. In that event, there are no rules that prevent such testimony from being used against a defendant in a civil forfeiture action: </w:t>
      </w:r>
      <w:r>
        <w:rPr>
          <w:rFonts w:ascii="arial" w:eastAsia="arial" w:hAnsi="arial" w:cs="arial"/>
          <w:i/>
          <w:color w:val="000000"/>
          <w:sz w:val="20"/>
          <w:lang w:val="en-US" w:eastAsia="en-US" w:bidi="ar-SA"/>
        </w:rPr>
        <w:t>British Columbia (Director of Civil Forfeiture) v. Cronin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2016 BCSC 284</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Accordingly, to the extent that actions of the state result in relevant evidence to be used in this civil forfeiture action, it is subject to the rigors and requirements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Cronin</w:t>
      </w:r>
      <w:r>
        <w:rPr>
          <w:rFonts w:ascii="arial" w:eastAsia="arial" w:hAnsi="arial" w:cs="arial"/>
          <w:color w:val="000000"/>
          <w:sz w:val="20"/>
          <w:lang w:val="en-US" w:eastAsia="en-US" w:bidi="ar-SA"/>
        </w:rPr>
        <w:t xml:space="preserve"> at para. 14. Further protections are in place under both </w:t>
      </w:r>
      <w:r>
        <w:rPr>
          <w:rFonts w:ascii="arial" w:eastAsia="arial" w:hAnsi="arial" w:cs="arial"/>
          <w:i/>
          <w:color w:val="000000"/>
          <w:sz w:val="20"/>
          <w:lang w:val="en-US" w:eastAsia="en-US" w:bidi="ar-SA"/>
        </w:rPr>
        <w:t>Evidence Acts</w:t>
      </w:r>
      <w:r>
        <w:rPr>
          <w:rFonts w:ascii="arial" w:eastAsia="arial" w:hAnsi="arial" w:cs="arial"/>
          <w:color w:val="000000"/>
          <w:sz w:val="20"/>
          <w:lang w:val="en-US" w:eastAsia="en-US" w:bidi="ar-SA"/>
        </w:rPr>
        <w:t xml:space="preserve"> and pursuant to the implied undertaking rule concerning the use of any compelled testimony and evidence arising in this civil proceeding: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Ontario Psychological Assn. v. Mardonet</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2015 ONSC 1286</w:t>
        </w:r>
      </w:hyperlink>
      <w:r>
        <w:rPr>
          <w:rFonts w:ascii="arial" w:eastAsia="arial" w:hAnsi="arial" w:cs="arial"/>
          <w:color w:val="000000"/>
          <w:sz w:val="20"/>
          <w:lang w:val="en-US" w:eastAsia="en-US" w:bidi="ar-SA"/>
        </w:rPr>
        <w:t xml:space="preserve"> at paras. 27-35.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With these protections in place, the question to be asked is whether the Defendants have satisfied the first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condition which requires that the Defendants' establish the necessity of a sealing order to prevent a "serious risk" to an important interest. In this case, the Defendants contend that their interests are at serious risk, not in Canada, but in other jurisdictions around the world as a result of the laws that apply in those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PacNet and the Day Defendants refer in particular to potential jeopardy they face in the U.S. where their Fifth Amendment rights would otherwise allow them to refuse to provide incriminating evidence that might be used against them. As the above discussion makes clear, in Canada there is no such right to refuse to answer, although the answers may not later be used to incriminate them. This is said to give rise to a "gap" between the rights faced by individuals in Canada and in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terms of proving a "serious risk" to their interests, PacNet and the Day Defendants contend that whether a compelled statement obtained in a foreign jurisdiction may be used as evidence in a U.S. criminal proceeding is an "unsettled question" in U.S.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first difficulty with this contention is a lack of evidence to support such a statement. They only cite two appeal cases in support, being </w:t>
      </w:r>
      <w:r>
        <w:rPr>
          <w:rFonts w:ascii="arial" w:eastAsia="arial" w:hAnsi="arial" w:cs="arial"/>
          <w:i/>
          <w:color w:val="000000"/>
          <w:sz w:val="20"/>
          <w:lang w:val="en-US" w:eastAsia="en-US" w:bidi="ar-SA"/>
        </w:rPr>
        <w:t>Mickey v. Ayers</w:t>
      </w:r>
      <w:r>
        <w:rPr>
          <w:rFonts w:ascii="arial" w:eastAsia="arial" w:hAnsi="arial" w:cs="arial"/>
          <w:color w:val="000000"/>
          <w:sz w:val="20"/>
          <w:lang w:val="en-US" w:eastAsia="en-US" w:bidi="ar-SA"/>
        </w:rPr>
        <w:t xml:space="preserve">, 606 F.3d 1223 (9th Cir. 2010) and </w:t>
      </w:r>
      <w:r>
        <w:rPr>
          <w:rFonts w:ascii="arial" w:eastAsia="arial" w:hAnsi="arial" w:cs="arial"/>
          <w:i/>
          <w:color w:val="000000"/>
          <w:sz w:val="20"/>
          <w:lang w:val="en-US" w:eastAsia="en-US" w:bidi="ar-SA"/>
        </w:rPr>
        <w:t>U.S.A. v. Allen and Conti</w:t>
      </w:r>
      <w:r>
        <w:rPr>
          <w:rFonts w:ascii="arial" w:eastAsia="arial" w:hAnsi="arial" w:cs="arial"/>
          <w:color w:val="000000"/>
          <w:sz w:val="20"/>
          <w:lang w:val="en-US" w:eastAsia="en-US" w:bidi="ar-SA"/>
        </w:rPr>
        <w:t>, 864 F.3d 63 (2nd Cir.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have not produced any expert evidence from a U.S. attorney to establish the accuracy of this statement. This state of affairs is perplexing since counsel for the Day Defendants in particular was well aware of the need to establish foreign law as a fact before this Court through appropriate expert evidence: see </w:t>
      </w:r>
      <w:r>
        <w:rPr>
          <w:rFonts w:ascii="arial" w:eastAsia="arial" w:hAnsi="arial" w:cs="arial"/>
          <w:i/>
          <w:color w:val="000000"/>
          <w:sz w:val="20"/>
          <w:lang w:val="en-US" w:eastAsia="en-US" w:bidi="ar-SA"/>
        </w:rPr>
        <w:t>Google Inc. v. Equustek Solutions Inc.</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2017 SCC 34</w:t>
        </w:r>
      </w:hyperlink>
      <w:r>
        <w:rPr>
          <w:rFonts w:ascii="arial" w:eastAsia="arial" w:hAnsi="arial" w:cs="arial"/>
          <w:color w:val="000000"/>
          <w:sz w:val="20"/>
          <w:lang w:val="en-US" w:eastAsia="en-US" w:bidi="ar-SA"/>
        </w:rPr>
        <w:t xml:space="preserve"> at paras. 46-47; </w:t>
      </w:r>
      <w:r>
        <w:rPr>
          <w:rFonts w:ascii="arial" w:eastAsia="arial" w:hAnsi="arial" w:cs="arial"/>
          <w:i/>
          <w:color w:val="000000"/>
          <w:sz w:val="20"/>
          <w:lang w:val="en-US" w:eastAsia="en-US" w:bidi="ar-SA"/>
        </w:rPr>
        <w:t>Pitre v. Nguyen</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2007 BCSC 1161</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First Majestic Silver Corp. v. Santos</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2011 BCSC 363</w:t>
        </w:r>
      </w:hyperlink>
      <w:r>
        <w:rPr>
          <w:rFonts w:ascii="arial" w:eastAsia="arial" w:hAnsi="arial" w:cs="arial"/>
          <w:color w:val="000000"/>
          <w:sz w:val="20"/>
          <w:lang w:val="en-US" w:eastAsia="en-US" w:bidi="ar-SA"/>
        </w:rPr>
        <w:t xml:space="preserve"> at para. 9; Jean-Gabriel Castel &amp; Janet Walker,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6th ed., looseleaf v.1 (Markham: LexisNexis Canada, 2005) at sec.7.1-7.3.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fact that the Director did not specifically dispute the contention as to the state of U.S. law in its response to the application is not a complete answer to the lack of evidence on this point. It is the </w:t>
      </w:r>
      <w:r>
        <w:rPr>
          <w:rFonts w:ascii="arial" w:eastAsia="arial" w:hAnsi="arial" w:cs="arial"/>
          <w:i/>
          <w:color w:val="000000"/>
          <w:sz w:val="20"/>
          <w:lang w:val="en-US" w:eastAsia="en-US" w:bidi="ar-SA"/>
        </w:rPr>
        <w:t>Court's</w:t>
      </w:r>
      <w:r>
        <w:rPr>
          <w:rFonts w:ascii="arial" w:eastAsia="arial" w:hAnsi="arial" w:cs="arial"/>
          <w:color w:val="000000"/>
          <w:sz w:val="20"/>
          <w:lang w:val="en-US" w:eastAsia="en-US" w:bidi="ar-SA"/>
        </w:rPr>
        <w:t xml:space="preserve"> duty to consider only </w:t>
      </w:r>
      <w:r>
        <w:rPr>
          <w:rFonts w:ascii="arial" w:eastAsia="arial" w:hAnsi="arial" w:cs="arial"/>
          <w:i/>
          <w:color w:val="000000"/>
          <w:sz w:val="20"/>
          <w:lang w:val="en-US" w:eastAsia="en-US" w:bidi="ar-SA"/>
        </w:rPr>
        <w:t>reliable</w:t>
      </w:r>
      <w:r>
        <w:rPr>
          <w:rFonts w:ascii="arial" w:eastAsia="arial" w:hAnsi="arial" w:cs="arial"/>
          <w:color w:val="000000"/>
          <w:sz w:val="20"/>
          <w:lang w:val="en-US" w:eastAsia="en-US" w:bidi="ar-SA"/>
        </w:rPr>
        <w:t xml:space="preserve"> evidence as may be relevant to a determination of the issues. As it is, I can have no confidence that the Day Defendants have accurately stated the current U.S. law on the potential for self-incrimination in the U.S. arising from Canadian compelled evidence. In that event, the Day Defendants sought an adjournment so that they could take steps to obtain the necessary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any event, on a quick review, these two U.S. authorities do not support the Defendants'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Mickey</w:t>
      </w:r>
      <w:r>
        <w:rPr>
          <w:rFonts w:ascii="arial" w:eastAsia="arial" w:hAnsi="arial" w:cs="arial"/>
          <w:color w:val="000000"/>
          <w:sz w:val="20"/>
          <w:lang w:val="en-US" w:eastAsia="en-US" w:bidi="ar-SA"/>
        </w:rPr>
        <w:t xml:space="preserve">, the accused sought to exclude certain statements made by the accused to the police, relying in part on the conditions he faced while in a Japanese prison. The U.S. court rejected this argument, stating at 1234 that "it is well-established that "coercive police activity is a necessary predicate to finding a confession is not 'voluntary' within the meaning of the Due Process Clause of the Fourteenth Amendment" </w:t>
      </w:r>
      <w:r>
        <w:rPr>
          <w:rFonts w:ascii="arial" w:eastAsia="arial" w:hAnsi="arial" w:cs="arial"/>
          <w:i/>
          <w:color w:val="000000"/>
          <w:sz w:val="20"/>
          <w:lang w:val="en-US" w:eastAsia="en-US" w:bidi="ar-SA"/>
        </w:rPr>
        <w:t>Colorado v. Connelly</w:t>
      </w:r>
      <w:r>
        <w:rPr>
          <w:rFonts w:ascii="arial" w:eastAsia="arial" w:hAnsi="arial" w:cs="arial"/>
          <w:color w:val="000000"/>
          <w:sz w:val="20"/>
          <w:lang w:val="en-US" w:eastAsia="en-US" w:bidi="ar-SA"/>
        </w:rPr>
        <w:t>, 479 U.S. 157, 167, 107 S.Ct. 515, 93 L.Ed.2d 473 (1986)". This case did not address the U.S. Fifth Amendment right to remain silent.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is more on point, as it concerned the question as to whether involuntary testimony by an individual under legal compulsion of a foreign power may be used against that individual in a criminal case in the U.S. The court found at 68 and 82-86 that the Fifth Amendment prohibition on the use of compelled testimony in American criminal proceedings applies even where a foreign sovereign has compelled the testimony so as to prohibit the use of such testimony against the defendant who provided it. To similar effect, see </w:t>
      </w:r>
      <w:r>
        <w:rPr>
          <w:rFonts w:ascii="arial" w:eastAsia="arial" w:hAnsi="arial" w:cs="arial"/>
          <w:i/>
          <w:color w:val="000000"/>
          <w:sz w:val="20"/>
          <w:lang w:val="en-US" w:eastAsia="en-US" w:bidi="ar-SA"/>
        </w:rPr>
        <w:t>R. v. Eurocopter Canada Ltd</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(2004), 185 C.C.C. (3d) 233</w:t>
        </w:r>
      </w:hyperlink>
      <w:r>
        <w:rPr>
          <w:rFonts w:ascii="arial" w:eastAsia="arial" w:hAnsi="arial" w:cs="arial"/>
          <w:color w:val="000000"/>
          <w:sz w:val="20"/>
          <w:lang w:val="en-US" w:eastAsia="en-US" w:bidi="ar-SA"/>
        </w:rPr>
        <w:t xml:space="preserve"> (Ont. S.C.J.) at para. 64 in relation to the treatment of such evidence under German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 close reading of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83-84 also confirms the court's view that the reasoning in </w:t>
      </w:r>
      <w:r>
        <w:rPr>
          <w:rFonts w:ascii="arial" w:eastAsia="arial" w:hAnsi="arial" w:cs="arial"/>
          <w:i/>
          <w:color w:val="000000"/>
          <w:sz w:val="20"/>
          <w:lang w:val="en-US" w:eastAsia="en-US" w:bidi="ar-SA"/>
        </w:rPr>
        <w:t>Connelly</w:t>
      </w:r>
      <w:r>
        <w:rPr>
          <w:rFonts w:ascii="arial" w:eastAsia="arial" w:hAnsi="arial" w:cs="arial"/>
          <w:color w:val="000000"/>
          <w:sz w:val="20"/>
          <w:lang w:val="en-US" w:eastAsia="en-US" w:bidi="ar-SA"/>
        </w:rPr>
        <w:t xml:space="preserve">, relied on in </w:t>
      </w:r>
      <w:r>
        <w:rPr>
          <w:rFonts w:ascii="arial" w:eastAsia="arial" w:hAnsi="arial" w:cs="arial"/>
          <w:i/>
          <w:color w:val="000000"/>
          <w:sz w:val="20"/>
          <w:lang w:val="en-US" w:eastAsia="en-US" w:bidi="ar-SA"/>
        </w:rPr>
        <w:t>Mickey</w:t>
      </w:r>
      <w:r>
        <w:rPr>
          <w:rFonts w:ascii="arial" w:eastAsia="arial" w:hAnsi="arial" w:cs="arial"/>
          <w:color w:val="000000"/>
          <w:sz w:val="20"/>
          <w:lang w:val="en-US" w:eastAsia="en-US" w:bidi="ar-SA"/>
        </w:rPr>
        <w:t>, did not address Fifth Amendment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At its highest, PacNet, the Day Defendants and the Ferlows simply argue that they "don't know" if any evidence compelled in this proceeding can be used in any action that might be taken against them in the U.S. As such, their current concern is therefore only complete speculation that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may not be applied in other U.S. courts other than the Second Circuit or that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might be overturned by the U.S. Supreme Court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Given the above circumstances, I agree with the Director that the Defendants have abjectly failed to put forward any "cogent evidence" before this Court that would support the exceptional limitation on the important open court principle and the public interests that arise in this proceeding by a sealing of the entire court file: </w:t>
      </w:r>
      <w:r>
        <w:rPr>
          <w:rFonts w:ascii="arial" w:eastAsia="arial" w:hAnsi="arial" w:cs="arial"/>
          <w:i/>
          <w:color w:val="000000"/>
          <w:sz w:val="20"/>
          <w:lang w:val="en-US" w:eastAsia="en-US" w:bidi="ar-SA"/>
        </w:rPr>
        <w:t>Elsner v. British Columbia (Police Complaints Commissioner)</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2016 BCSC 1914</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 review of Canadian jurisprudence on the issue provides strong support for the Director's position where a party seeks to abrogate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or other rights arising in Canada in relation to actual or possible extra-territorial proceedings. The following cases consider that issue both in the context of sealing orders and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Wolverton Securities</w:t>
      </w:r>
      <w:r>
        <w:rPr>
          <w:rFonts w:ascii="arial" w:eastAsia="arial" w:hAnsi="arial" w:cs="arial"/>
          <w:color w:val="000000"/>
          <w:sz w:val="20"/>
          <w:lang w:val="en-US" w:eastAsia="en-US" w:bidi="ar-SA"/>
        </w:rPr>
        <w:t>, decided in 1998, involved a consideration of the possible use of evidence from a Canadian civil action being used against a party in a later U.S. criminal proceeding. There, the defendants had not yet been charged in the U.S.; however, they applied to stay the Canadian proceeding given that perceived risk. Justice Henderson accepted that evidence in that proceeding would be admissible in a subsequent U.S. criminal proceeding: para. 36. However, he declined to impose the "drastic remedy" of a stay in the face of speculation of the "possibility" as to whether any charges might be laid and if so, what decision a U.S. court might make as to the admissibility of such evidence in that proceeding: paras. 43-45.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CC&amp;L Dedicated Enterprise Fund (Trustee of) v. Fisherman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[2000], 49 O.R. (3d) 187</w:t>
        </w:r>
      </w:hyperlink>
      <w:r>
        <w:rPr>
          <w:rFonts w:ascii="arial" w:eastAsia="arial" w:hAnsi="arial" w:cs="arial"/>
          <w:color w:val="000000"/>
          <w:sz w:val="20"/>
          <w:lang w:val="en-US" w:eastAsia="en-US" w:bidi="ar-SA"/>
        </w:rPr>
        <w:t xml:space="preserve"> (S.C.J.), leave to appeal ref'd </w:t>
      </w:r>
      <w:hyperlink r:id="rId349" w:history="1">
        <w:r>
          <w:rPr>
            <w:rFonts w:ascii="arial" w:eastAsia="arial" w:hAnsi="arial" w:cs="arial"/>
            <w:i/>
            <w:color w:val="0077CC"/>
            <w:sz w:val="20"/>
            <w:u w:val="single"/>
            <w:shd w:val="clear" w:color="auto" w:fill="FFFFFF"/>
            <w:lang w:val="en-US" w:eastAsia="en-US" w:bidi="ar-SA"/>
          </w:rPr>
          <w:t>[2000] O.J. No. 4245</w:t>
        </w:r>
      </w:hyperlink>
      <w:r>
        <w:rPr>
          <w:rFonts w:ascii="arial" w:eastAsia="arial" w:hAnsi="arial" w:cs="arial"/>
          <w:color w:val="000000"/>
          <w:sz w:val="20"/>
          <w:lang w:val="en-US" w:eastAsia="en-US" w:bidi="ar-SA"/>
        </w:rPr>
        <w:t xml:space="preserve"> (Ont. S.C.J.), leave to appeal to S.C.C. ref'd </w:t>
      </w:r>
      <w:hyperlink r:id="rId350" w:history="1">
        <w:r>
          <w:rPr>
            <w:rFonts w:ascii="arial" w:eastAsia="arial" w:hAnsi="arial" w:cs="arial"/>
            <w:i/>
            <w:color w:val="0077CC"/>
            <w:sz w:val="20"/>
            <w:u w:val="single"/>
            <w:shd w:val="clear" w:color="auto" w:fill="FFFFFF"/>
            <w:lang w:val="en-US" w:eastAsia="en-US" w:bidi="ar-SA"/>
          </w:rPr>
          <w:t>[2001] S.C.C.A. No. 11</w:t>
        </w:r>
      </w:hyperlink>
      <w:r>
        <w:rPr>
          <w:rFonts w:ascii="arial" w:eastAsia="arial" w:hAnsi="arial" w:cs="arial"/>
          <w:color w:val="000000"/>
          <w:sz w:val="20"/>
          <w:lang w:val="en-US" w:eastAsia="en-US" w:bidi="ar-SA"/>
        </w:rPr>
        <w:t>, an American corporation pleaded guilty to criminal conspiracy in the U.S. for selling shares at an artificially inflated price. The defendant Bogatin, a director of the corporation, an American citizen, was the subject of an ongoing criminal investigation in U.S. Civil proceedings were also brought against Bogatin in Canada relating to matters within the scope of the U.S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Similar to the relief sought in </w:t>
      </w:r>
      <w:r>
        <w:rPr>
          <w:rFonts w:ascii="arial" w:eastAsia="arial" w:hAnsi="arial" w:cs="arial"/>
          <w:i/>
          <w:color w:val="000000"/>
          <w:sz w:val="20"/>
          <w:lang w:val="en-US" w:eastAsia="en-US" w:bidi="ar-SA"/>
        </w:rPr>
        <w:t>Wolverton Securities</w:t>
      </w:r>
      <w:r>
        <w:rPr>
          <w:rFonts w:ascii="arial" w:eastAsia="arial" w:hAnsi="arial" w:cs="arial"/>
          <w:color w:val="000000"/>
          <w:sz w:val="20"/>
          <w:lang w:val="en-US" w:eastAsia="en-US" w:bidi="ar-SA"/>
        </w:rPr>
        <w:t xml:space="preserve">, Bogatin applied to stay the Canadian civil actions on the grounds that his participation in the proceedings would deprive him of the right against self-incrimination with respect to any U.S. criminal trial. In denying the stay, Cumming J. ruled that Canadian courts should not impose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against self-incrimination in order to protect against apparent deficiencies in American protection against self-incrimination, emphasizing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apply extra-territorially: see paras. 35-38. He further held that the issue as to whether a U.S. court would admit such evidence, if admission was not in violation of procedural requirements, was for an U.S. court to determine based on an application of American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Cumming J.'s reasoning is apposite in a sealing order context:</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this Court should not give a stay for the purpose of denying the American authorities access to incriminating evidence where the American court would admit such evidence because its admission would not shock the judicial conscience or violate baseline due process requirements. This is a matter of standards for the American court to determine when applying American law. The principles at stake arise from American constitutional requirements and not Canadian constitutional requirements: see </w:t>
      </w:r>
      <w:r>
        <w:rPr>
          <w:rFonts w:ascii="arial" w:eastAsia="arial" w:hAnsi="arial" w:cs="arial"/>
          <w:i/>
          <w:color w:val="000000"/>
          <w:sz w:val="20"/>
          <w:lang w:val="en-US" w:eastAsia="en-US" w:bidi="ar-SA"/>
        </w:rPr>
        <w:t>National Financial Services Corp</w:t>
      </w:r>
      <w:r>
        <w:rPr>
          <w:rFonts w:ascii="arial" w:eastAsia="arial" w:hAnsi="arial" w:cs="arial"/>
          <w:color w:val="000000"/>
          <w:sz w:val="20"/>
          <w:lang w:val="en-US" w:eastAsia="en-US" w:bidi="ar-SA"/>
        </w:rPr>
        <w:t>. at page 289. The principle of comity and respect for the sovereignty of another nation applies, particularly when that other country is a recognized democracy governed by the rule of law.</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apply extraterritorially. It does not govern the actions of a foreign country and cannot be given extraterritorial effect to govern how criminal proceedings in a foreign country are to be conducted: see </w:t>
      </w:r>
      <w:r>
        <w:rPr>
          <w:rFonts w:ascii="arial" w:eastAsia="arial" w:hAnsi="arial" w:cs="arial"/>
          <w:i/>
          <w:color w:val="000000"/>
          <w:sz w:val="20"/>
          <w:lang w:val="en-US" w:eastAsia="en-US" w:bidi="ar-SA"/>
        </w:rPr>
        <w:t>United States v. Dynar</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[1997] 2 S.C.R. 462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Schmidt</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[1987] 1 S.C.R.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Argentina (Republic) v. Mellino</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[1987] 1 S.C.R. 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United States v. Allard</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[1987] 1 S.C.R. 564</w:t>
        </w:r>
      </w:hyperlink>
      <w:r>
        <w:rPr>
          <w:rFonts w:ascii="arial" w:eastAsia="arial" w:hAnsi="arial" w:cs="arial"/>
          <w:color w:val="000000"/>
          <w:sz w:val="20"/>
          <w:lang w:val="en-US" w:eastAsia="en-US" w:bidi="ar-SA"/>
        </w:rPr>
        <w:t>. Although all of these decisions are in the context of extradition hearings, I find that their reasoning also applies to the case at hand.</w:t>
      </w:r>
    </w:p>
    <w:p>
      <w:pPr>
        <w:numPr>
          <w:numId w:val="3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accept Mr. Bogatin's position would also, in effect, have the paradoxical result that the laws of the United States would shape the conduct of Ontario civil proceedings. </w:t>
      </w:r>
      <w:r>
        <w:rPr>
          <w:rFonts w:ascii="arial" w:eastAsia="arial" w:hAnsi="arial" w:cs="arial"/>
          <w:color w:val="000000"/>
          <w:sz w:val="20"/>
          <w:u w:val="single"/>
          <w:lang w:val="en-US" w:eastAsia="en-US" w:bidi="ar-SA"/>
        </w:rPr>
        <w:t>It is not for a Canadian court to frustrate the rights of Canadian plaintiff litigants on the assumption that it must remedy the deficiencies of the Fifth Amendment</w:t>
      </w:r>
      <w:r>
        <w:rPr>
          <w:rFonts w:ascii="arial" w:eastAsia="arial" w:hAnsi="arial" w:cs="arial"/>
          <w:color w:val="000000"/>
          <w:sz w:val="20"/>
          <w:lang w:val="en-US" w:eastAsia="en-US" w:bidi="ar-SA"/>
        </w:rPr>
        <w:t>.</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Finally, each principle of fundamental justice must be interpreted in light of those other individual and societal interests of sufficient importance that they too are "characterized as principles of fundamental justice in Canadian society.": R. v. White at page 439. When considering the balancing of interests of the plaintiffs and the defendant, it becomes apparent that a stay of the three Canadian civil proceedings is a drastic step. It might compromise the plaintiffs' ability to achieve redress. ... Mr. Bogatin has not yet been charged in the United States. It is conceivable he might never be charged or that, if so, the charges are not laid for some time yet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Fund General Partner I Inc. v. Hollinger Inc</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(2005), 261 D.L.R. (4th) 591</w:t>
        </w:r>
      </w:hyperlink>
      <w:r>
        <w:rPr>
          <w:rFonts w:ascii="arial" w:eastAsia="arial" w:hAnsi="arial" w:cs="arial"/>
          <w:color w:val="000000"/>
          <w:sz w:val="20"/>
          <w:lang w:val="en-US" w:eastAsia="en-US" w:bidi="ar-SA"/>
        </w:rPr>
        <w:t xml:space="preserve"> (O.N.C.A.), the court declined to provide a constitutional exemption for broad anticipatory protection in relation to a proposed examination that was to be conducted of Hollinger's officers. The officers resisted having to submit to the examination, submitting that their right to remain silent and be free from self-incrimination under ss. 7 and 13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would be infringed as the answers they might give in response to a Canadian investigation may be used against them in an ongoing U.S. criminal investigation. Of note, there were no criminal charges against the appellants in the U.S.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At paras. 9-12 of </w:t>
      </w:r>
      <w:r>
        <w:rPr>
          <w:rFonts w:ascii="arial" w:eastAsia="arial" w:hAnsi="arial" w:cs="arial"/>
          <w:i/>
          <w:color w:val="000000"/>
          <w:sz w:val="20"/>
          <w:lang w:val="en-US" w:eastAsia="en-US" w:bidi="ar-SA"/>
        </w:rPr>
        <w:t>Hollinger</w:t>
      </w:r>
      <w:r>
        <w:rPr>
          <w:rFonts w:ascii="arial" w:eastAsia="arial" w:hAnsi="arial" w:cs="arial"/>
          <w:color w:val="000000"/>
          <w:sz w:val="20"/>
          <w:lang w:val="en-US" w:eastAsia="en-US" w:bidi="ar-SA"/>
        </w:rPr>
        <w:t>, the court dismissed the appeal, finding that the basis for the relief sought was speculative and advanced in a "factual vacuum" where self-incrimination issues may or may not arise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Director also specifically refers to </w:t>
      </w:r>
      <w:r>
        <w:rPr>
          <w:rFonts w:ascii="arial" w:eastAsia="arial" w:hAnsi="arial" w:cs="arial"/>
          <w:i/>
          <w:color w:val="000000"/>
          <w:sz w:val="20"/>
          <w:lang w:val="en-US" w:eastAsia="en-US" w:bidi="ar-SA"/>
        </w:rPr>
        <w:t>Hallstone Products Ltd. v. Canada Customs and Revenue Agency</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(2006), 82 O.R. (3d) 368</w:t>
        </w:r>
      </w:hyperlink>
      <w:r>
        <w:rPr>
          <w:rFonts w:ascii="arial" w:eastAsia="arial" w:hAnsi="arial" w:cs="arial"/>
          <w:color w:val="000000"/>
          <w:sz w:val="20"/>
          <w:lang w:val="en-US" w:eastAsia="en-US" w:bidi="ar-SA"/>
        </w:rPr>
        <w:t xml:space="preserve"> (S.C.J.) where the relief sought was a sealing order in relation to discovery evidence that might be placed in the court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plaintiffs in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xml:space="preserve">, including Mr. Stucky, were involved in the cross-border mail promotion of the sale of lottery tickets. They came under criminal and regulatory investigation by Canadian and U.S. authorities, and were charged with three counts of fraud in Canada. When the Canadian charges were stayed, the plaintiffs commenced an action for damages against the CRA for malicious prosecution,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abuse of process and violations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plaintiffs sought a sealing order for the evidence adduced during pretrial proceedings. They argued that testimony compelled in the course of the Canadian proceedings would, in all likelihood, be considered admissible in an American court. They argued that this compulsion would violate Mr. Stucky's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rights against self-incrimination, despite that he not yet been charged with an offense in the United States. Similar to the circumstances in this case, there was an ongoing investigation in the U.S., however, no charges had been laid: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xml:space="preserve"> found that the concern that compelled evidence could become available to U.S. authorities was, as here, speculative, and did not tip the balance in favour of granting a sealing order given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the public to an open court procedure. The court refused to derogate from the open court principle in those circumstances:</w:t>
      </w:r>
      <w:r>
        <w:rPr>
          <w:rFonts w:ascii="arial" w:eastAsia="arial" w:hAnsi="arial" w:cs="arial"/>
          <w:sz w:val="20"/>
          <w:lang w:val="en-US" w:eastAsia="en-US" w:bidi="ar-SA"/>
        </w:rPr>
        <w:cr/>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Canadian judicial system is based on a presumption that all court proceedings must be conducted in an open and public manner so as to maintain confidence in the administration of justice. The party seeking a sealing order must establish that such an order is necessary to protect societal values of superordinate importance in order to rebut the presumption. Hence, the test for granting a sealing order is whether the social value raised by the plaintiffs is one of superordinate importance to the rights of the public to open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case law is clear that a party seeking a publication ban or, indeed, a sealing order, bears the burden of showing that it is necessary to prevent a real and substantial risk, and also that the relief sought is minimally impairing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protected interest of the public.</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we are dealing with the concern that discovery testimony and productions which are presently protected by the deemed undertaking rule could become available to U.S. authorities should a pre-trial motion be brought, and discovery transcripts and/or productions are made part of the public record on such a motion ... </w:t>
      </w:r>
      <w:r>
        <w:rPr>
          <w:rFonts w:ascii="arial" w:eastAsia="arial" w:hAnsi="arial" w:cs="arial"/>
          <w:color w:val="000000"/>
          <w:sz w:val="20"/>
          <w:u w:val="single"/>
          <w:lang w:val="en-US" w:eastAsia="en-US" w:bidi="ar-SA"/>
        </w:rPr>
        <w:t>However, it is pure speculation at the moment that any such motion will, in fact, be brought thereby creating risk of public exposure. Until such time, there is no specific context in which to assess the extent of the risk faced by Stucky</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Hollinger Inc., supra</w:t>
      </w:r>
      <w:r>
        <w:rPr>
          <w:rFonts w:ascii="arial" w:eastAsia="arial" w:hAnsi="arial" w:cs="arial"/>
          <w:color w:val="000000"/>
          <w:sz w:val="20"/>
          <w:lang w:val="en-US" w:eastAsia="en-US" w:bidi="ar-SA"/>
        </w:rPr>
        <w:t>, made the following apposite comment at para.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protection under the Charter is witness-specific and fact-specific. The balancing of potential prejudice to a particular appellant against the necessity of obtaining the evidence must be undertaken in context.</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Decisions about one Charter right overriding another should not be made prematurely based on hypothetical scenarios without the court having before it the appropriate context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2006, when the </w:t>
      </w:r>
      <w:r>
        <w:rPr>
          <w:rFonts w:ascii="arial" w:eastAsia="arial" w:hAnsi="arial" w:cs="arial"/>
          <w:i/>
          <w:color w:val="000000"/>
          <w:sz w:val="20"/>
          <w:lang w:val="en-US" w:eastAsia="en-US" w:bidi="ar-SA"/>
        </w:rPr>
        <w:t>Hollinger</w:t>
      </w:r>
      <w:r>
        <w:rPr>
          <w:rFonts w:ascii="arial" w:eastAsia="arial" w:hAnsi="arial" w:cs="arial"/>
          <w:color w:val="000000"/>
          <w:sz w:val="20"/>
          <w:lang w:val="en-US" w:eastAsia="en-US" w:bidi="ar-SA"/>
        </w:rPr>
        <w:t xml:space="preserve"> litigation was still underway, Lord Black was then in fact facing criminal charges in the U.S. Applying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xml:space="preserve"> at that time, Justice Campbell maintained a previously issued protective or sealing order in Ontario of certain motion materials in light of those circumstances, despite requests by the media for access to those materials: </w:t>
      </w:r>
      <w:r>
        <w:rPr>
          <w:rFonts w:ascii="arial" w:eastAsia="arial" w:hAnsi="arial" w:cs="arial"/>
          <w:i/>
          <w:color w:val="000000"/>
          <w:sz w:val="20"/>
          <w:lang w:val="en-US" w:eastAsia="en-US" w:bidi="ar-SA"/>
        </w:rPr>
        <w:t>Hollinger Inc. v. The Ravelston Corp</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(2006), 83 O.R. (3d) 258</w:t>
        </w:r>
      </w:hyperlink>
      <w:r>
        <w:rPr>
          <w:rFonts w:ascii="arial" w:eastAsia="arial" w:hAnsi="arial" w:cs="arial"/>
          <w:color w:val="000000"/>
          <w:sz w:val="20"/>
          <w:lang w:val="en-US" w:eastAsia="en-US" w:bidi="ar-SA"/>
        </w:rPr>
        <w:t xml:space="preserve"> (S.C.J.) at paras. 66,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That decision was overturned on appeal: </w:t>
      </w:r>
      <w:r>
        <w:rPr>
          <w:rFonts w:ascii="arial" w:eastAsia="arial" w:hAnsi="arial" w:cs="arial"/>
          <w:i/>
          <w:color w:val="000000"/>
          <w:sz w:val="20"/>
          <w:lang w:val="en-US" w:eastAsia="en-US" w:bidi="ar-SA"/>
        </w:rPr>
        <w:t>Hollinger Inc. v. The Ravelston Corp.</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2008 ONCA 207</w:t>
        </w:r>
      </w:hyperlink>
      <w:r>
        <w:rPr>
          <w:rFonts w:ascii="arial" w:eastAsia="arial" w:hAnsi="arial" w:cs="arial"/>
          <w:color w:val="000000"/>
          <w:sz w:val="20"/>
          <w:lang w:val="en-US" w:eastAsia="en-US" w:bidi="ar-SA"/>
        </w:rPr>
        <w:t>. The majority of the court overturned the protective or sealing order on the basis that Campbell J. had erred in not granting the media intervenor status. Therefore, the sealing order had been continued without necessary input from the media and the balancing exercise was "tainted": para. 123-124. The result was to send the matter back to the lower court for a full consideration of the issue then with media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Although in dissent on the appropriate remedy regarding the erroneously issued protective order, the comments of Juriansz J.A., adopted by the majority in </w:t>
      </w:r>
      <w:r>
        <w:rPr>
          <w:rFonts w:ascii="arial" w:eastAsia="arial" w:hAnsi="arial" w:cs="arial"/>
          <w:i/>
          <w:color w:val="000000"/>
          <w:sz w:val="20"/>
          <w:lang w:val="en-US" w:eastAsia="en-US" w:bidi="ar-SA"/>
        </w:rPr>
        <w:t>Hollinger</w:t>
      </w:r>
      <w:r>
        <w:rPr>
          <w:rFonts w:ascii="arial" w:eastAsia="arial" w:hAnsi="arial" w:cs="arial"/>
          <w:color w:val="000000"/>
          <w:sz w:val="20"/>
          <w:lang w:val="en-US" w:eastAsia="en-US" w:bidi="ar-SA"/>
        </w:rPr>
        <w:t>, have relevance here in terms of the (in)adequacy of a "simple assertion" by a party as to any prejudice or risk toward displacing the open court principle:</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 are left with is the potential that the U.S. prosecutors might conceivably find the material filed by Hollinger to be of some assistance to them in their prosecution of Mr. Black. Any civil litigant involved in related criminal proceedings, even those taking place in Canada, would be concerned that information filed by another party in the civil proceeding might assist the prosecution in the criminal case. Recognizing such a bald, unformulated concern as sufficient reason to seal a civil court file would significantly erode the open court principle and frustrate the public interest in the prosecution of crime. The open availability of information fosters the goal of criminal and civil proceedings to ascertain the truth. The fact that probative evidence becomes available to the prosecution does not, in itself, render a criminal trial unfair. Additional circumstances would have to exist to support the discretionary sealing of a civil court file to prevent prejudicial information becoming available to a criminal prosecutor.</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motion judge did not indicate any additional circumstances that existed in this case that made continuing the protective order "necessary" to ensure the fairness of Mr. Black's trial. Rather, he stated that [he] was aware of the charge against Mr. Black "in only the most general way" and so he would not be able to determine what of the material "might be said to be relevant or prejudicial to the defence of those charges". </w:t>
      </w:r>
      <w:r>
        <w:rPr>
          <w:rFonts w:ascii="arial" w:eastAsia="arial" w:hAnsi="arial" w:cs="arial"/>
          <w:color w:val="000000"/>
          <w:sz w:val="20"/>
          <w:u w:val="single"/>
          <w:lang w:val="en-US" w:eastAsia="en-US" w:bidi="ar-SA"/>
        </w:rPr>
        <w:t>The motion judge's reasoning in this regard failed to apply the burden on the respondents to establish that continuing the sealing order was necessary to prevent Mr. Black's U.S. trial from being unfair. It was for the respondents to place before the court sufficient information to enable it to understand how prosecutor access to the sealed material would render Mr. Black's trial on the specific charges he was facing unfair. Something more than the simple assertion that prosecutor access to the material would be to Mr. Black's disadvantage in his criminal trial was required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Other cases have considered the above issues, not in the context of a sealing order, but in the context of Canadian courts considering requests to assist U.S. courts in procuring evidence for use in 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Justice L. Smith of this Court addressed such a request in </w:t>
      </w:r>
      <w:r>
        <w:rPr>
          <w:rFonts w:ascii="arial" w:eastAsia="arial" w:hAnsi="arial" w:cs="arial"/>
          <w:i/>
          <w:color w:val="000000"/>
          <w:sz w:val="20"/>
          <w:lang w:val="en-US" w:eastAsia="en-US" w:bidi="ar-SA"/>
        </w:rPr>
        <w:t>EchoStar Satellite Corp. v. Quinn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2007 BCSC 1225</w:t>
        </w:r>
      </w:hyperlink>
      <w:r>
        <w:rPr>
          <w:rFonts w:ascii="arial" w:eastAsia="arial" w:hAnsi="arial" w:cs="arial"/>
          <w:color w:val="000000"/>
          <w:sz w:val="20"/>
          <w:lang w:val="en-US" w:eastAsia="en-US" w:bidi="ar-SA"/>
        </w:rPr>
        <w:t xml:space="preserve"> where there were Letters Rogatory and Requests for Judicial Assistance from the U.S. court. The persons who were the subject of those requests for documents objected on the basis that to do so would deprive him of his Fifth Amendment rights in relation to any subsequent proceedings against him in the U.S. The Court noted that similar arguments in that same context were made and rejected by Justice Davies in </w:t>
      </w:r>
      <w:r>
        <w:rPr>
          <w:rFonts w:ascii="arial" w:eastAsia="arial" w:hAnsi="arial" w:cs="arial"/>
          <w:i/>
          <w:color w:val="000000"/>
          <w:sz w:val="20"/>
          <w:lang w:val="en-US" w:eastAsia="en-US" w:bidi="ar-SA"/>
        </w:rPr>
        <w:t>GST Telecommunications v. Provenzano</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2000 BCSC 72</w:t>
        </w:r>
      </w:hyperlink>
      <w:r>
        <w:rPr>
          <w:rFonts w:ascii="arial" w:eastAsia="arial" w:hAnsi="arial" w:cs="arial"/>
          <w:color w:val="000000"/>
          <w:sz w:val="20"/>
          <w:lang w:val="en-US" w:eastAsia="en-US" w:bidi="ar-SA"/>
        </w:rPr>
        <w:t xml:space="preserve"> at paras. 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At para. 54 of </w:t>
      </w:r>
      <w:r>
        <w:rPr>
          <w:rFonts w:ascii="arial" w:eastAsia="arial" w:hAnsi="arial" w:cs="arial"/>
          <w:i/>
          <w:color w:val="000000"/>
          <w:sz w:val="20"/>
          <w:lang w:val="en-US" w:eastAsia="en-US" w:bidi="ar-SA"/>
        </w:rPr>
        <w:t>EchoStar</w:t>
      </w:r>
      <w:r>
        <w:rPr>
          <w:rFonts w:ascii="arial" w:eastAsia="arial" w:hAnsi="arial" w:cs="arial"/>
          <w:color w:val="000000"/>
          <w:sz w:val="20"/>
          <w:lang w:val="en-US" w:eastAsia="en-US" w:bidi="ar-SA"/>
        </w:rPr>
        <w:t>, the Court notes that no U.S. criminal proceedings were underway or contemplated. Further, the Court commented:</w:t>
      </w:r>
      <w:r>
        <w:rPr>
          <w:rFonts w:ascii="arial" w:eastAsia="arial" w:hAnsi="arial" w:cs="arial"/>
          <w:sz w:val="20"/>
          <w:lang w:val="en-US" w:eastAsia="en-US" w:bidi="ar-SA"/>
        </w:rPr>
        <w:cr/>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have extraterritorial application, except in certain limited and rare circumstances (see </w:t>
      </w:r>
      <w:r>
        <w:rPr>
          <w:rFonts w:ascii="arial" w:eastAsia="arial" w:hAnsi="arial" w:cs="arial"/>
          <w:i/>
          <w:color w:val="000000"/>
          <w:sz w:val="20"/>
          <w:lang w:val="en-US" w:eastAsia="en-US" w:bidi="ar-SA"/>
        </w:rPr>
        <w:t>R. v. Cook</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[1998] 2 S.C.R. 597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Hape</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2007 SCC 26</w:t>
        </w:r>
      </w:hyperlink>
      <w:r>
        <w:rPr>
          <w:rFonts w:ascii="arial" w:eastAsia="arial" w:hAnsi="arial" w:cs="arial"/>
          <w:color w:val="000000"/>
          <w:sz w:val="20"/>
          <w:lang w:val="en-US" w:eastAsia="en-US" w:bidi="ar-SA"/>
        </w:rPr>
        <w:t>), a Canadian court should not turn a blind eye to the possible consequences of compelled testimony outside this country, particularly where the compulsion is at the request of a court of the country where those consequences might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After summarizing </w:t>
      </w:r>
      <w:r>
        <w:rPr>
          <w:rFonts w:ascii="arial" w:eastAsia="arial" w:hAnsi="arial" w:cs="arial"/>
          <w:i/>
          <w:color w:val="000000"/>
          <w:sz w:val="20"/>
          <w:lang w:val="en-US" w:eastAsia="en-US" w:bidi="ar-SA"/>
        </w:rPr>
        <w:t>Wolverton Securities, Hollinger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Fisherman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and the balancing of rights in those cases, L. Smith J. similarly concluded that the request should be considered in the context of any proven "material risk" of a rights violation and whether there were any means by which to reasonably protect these rights:</w:t>
      </w:r>
      <w:r>
        <w:rPr>
          <w:rFonts w:ascii="arial" w:eastAsia="arial" w:hAnsi="arial" w:cs="arial"/>
          <w:sz w:val="20"/>
          <w:lang w:val="en-US" w:eastAsia="en-US" w:bidi="ar-SA"/>
        </w:rPr>
        <w:cr/>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cases such as </w:t>
      </w:r>
      <w:r>
        <w:rPr>
          <w:rFonts w:ascii="arial" w:eastAsia="arial" w:hAnsi="arial" w:cs="arial"/>
          <w:i/>
          <w:color w:val="000000"/>
          <w:sz w:val="20"/>
          <w:lang w:val="en-US" w:eastAsia="en-US" w:bidi="ar-SA"/>
        </w:rPr>
        <w:t>Cuenca, National Financial Services Corp. v. Wolverton Securities Ltd., Ritter v. Hoag, Catalyst Fund, Fisherman, Hallstone Products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Sun-Times</w:t>
      </w:r>
      <w:r>
        <w:rPr>
          <w:rFonts w:ascii="arial" w:eastAsia="arial" w:hAnsi="arial" w:cs="arial"/>
          <w:color w:val="000000"/>
          <w:sz w:val="20"/>
          <w:lang w:val="en-US" w:eastAsia="en-US" w:bidi="ar-SA"/>
        </w:rPr>
        <w:t xml:space="preserve"> show that in other contexts involving compelled testimony or production of evidence in Canadian proceedings, the impact of an order on an individual's right to protection from self-incrimination in another jurisdiction may be a factor for the court's consideration.</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is so in Canadian proceedings, it must be so in the context of a request from a foreign court. Specifically, Canadian courts, when asked to assist courts of the United States in procuring evidence for civil trials there, should be aware of the risk that they might put citizens or residents of Canada in the worst of both worlds - compulsion to testify in Canada followed by use of the compelled material in the U.S..</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follow that whenever there is any possibility of criminal proceedings the civil proceedings in the foreign court should be deprived of the desired evidence. The starting point in responding to a Letter of Request, as I have said, is that the foreign court should be assisted unless there is good reason to the contrary. </w:t>
      </w:r>
      <w:r>
        <w:rPr>
          <w:rFonts w:ascii="arial" w:eastAsia="arial" w:hAnsi="arial" w:cs="arial"/>
          <w:color w:val="000000"/>
          <w:sz w:val="20"/>
          <w:u w:val="single"/>
          <w:lang w:val="en-US" w:eastAsia="en-US" w:bidi="ar-SA"/>
        </w:rPr>
        <w:t>The individual who resists the application must show that there is a material risk that the evidence will be used to incriminate him or her, and even where there is a material risk, it does not follow that the order should be refused if there are ways to afford some reasonable measure of protection. It is a question of achieving the balance appropriate to the circumstances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EchoStar</w:t>
      </w:r>
      <w:r>
        <w:rPr>
          <w:rFonts w:ascii="arial" w:eastAsia="arial" w:hAnsi="arial" w:cs="arial"/>
          <w:color w:val="000000"/>
          <w:sz w:val="20"/>
          <w:lang w:val="en-US" w:eastAsia="en-US" w:bidi="ar-SA"/>
        </w:rPr>
        <w:t xml:space="preserve">, the "balancing" of interests was achieved by compelling the witnesses to testify and provide their documents; however, the evidence was protected by an order setting out 16 specific conditions regarding the obtaining, use and disclosure of the evidence (see paras. 85-102). </w:t>
      </w:r>
      <w:r>
        <w:rPr>
          <w:rFonts w:ascii="arial" w:eastAsia="arial" w:hAnsi="arial" w:cs="arial"/>
          <w:i/>
          <w:color w:val="000000"/>
          <w:sz w:val="20"/>
          <w:lang w:val="en-US" w:eastAsia="en-US" w:bidi="ar-SA"/>
        </w:rPr>
        <w:t>EchoStar</w:t>
      </w:r>
      <w:r>
        <w:rPr>
          <w:rFonts w:ascii="arial" w:eastAsia="arial" w:hAnsi="arial" w:cs="arial"/>
          <w:color w:val="000000"/>
          <w:sz w:val="20"/>
          <w:lang w:val="en-US" w:eastAsia="en-US" w:bidi="ar-SA"/>
        </w:rPr>
        <w:t xml:space="preserve"> demonstrates that if a "material risk" is shown, a court can impose appropriate restrictions on the use of information to protect those interests. The Court did not endorse any "blanket" approach to protection in the face of speculation as what "material risks", if any,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Davidson v. Barnhardt</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2012 ONSC 6016</w:t>
        </w:r>
      </w:hyperlink>
      <w:r>
        <w:rPr>
          <w:rFonts w:ascii="arial" w:eastAsia="arial" w:hAnsi="arial" w:cs="arial"/>
          <w:color w:val="000000"/>
          <w:sz w:val="20"/>
          <w:lang w:val="en-US" w:eastAsia="en-US" w:bidi="ar-SA"/>
        </w:rPr>
        <w:t xml:space="preserve">, the court, following </w:t>
      </w:r>
      <w:r>
        <w:rPr>
          <w:rFonts w:ascii="arial" w:eastAsia="arial" w:hAnsi="arial" w:cs="arial"/>
          <w:i/>
          <w:color w:val="000000"/>
          <w:sz w:val="20"/>
          <w:lang w:val="en-US" w:eastAsia="en-US" w:bidi="ar-SA"/>
        </w:rPr>
        <w:t>Fisherman</w:t>
      </w:r>
      <w:r>
        <w:rPr>
          <w:rFonts w:ascii="arial" w:eastAsia="arial" w:hAnsi="arial" w:cs="arial"/>
          <w:color w:val="000000"/>
          <w:sz w:val="20"/>
          <w:lang w:val="en-US" w:eastAsia="en-US" w:bidi="ar-SA"/>
        </w:rPr>
        <w:t xml:space="preserve">, refused to allow a witness to decline to answer questions under oath (i.e. plead the "Fifth") on the basis that her answers might be used against her in Californian civil proceedings and possible U.S. criminal proceedings. At paras. 16-18, the court found that it was for the American court to determine whether any such evidence would be admissible.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did not impose any conditions on the subsequent use of the compelled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Fisherman</w:t>
      </w:r>
      <w:r>
        <w:rPr>
          <w:rFonts w:ascii="arial" w:eastAsia="arial" w:hAnsi="arial" w:cs="arial"/>
          <w:color w:val="000000"/>
          <w:sz w:val="20"/>
          <w:lang w:val="en-US" w:eastAsia="en-US" w:bidi="ar-SA"/>
        </w:rPr>
        <w:t xml:space="preserve"> was also applied in </w:t>
      </w:r>
      <w:r>
        <w:rPr>
          <w:rFonts w:ascii="arial" w:eastAsia="arial" w:hAnsi="arial" w:cs="arial"/>
          <w:i/>
          <w:color w:val="000000"/>
          <w:sz w:val="20"/>
          <w:lang w:val="en-US" w:eastAsia="en-US" w:bidi="ar-SA"/>
        </w:rPr>
        <w:t>Beaudette v. Alberta (Securities Commission)</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2015 ABQB 57</w:t>
        </w:r>
      </w:hyperlink>
      <w:r>
        <w:rPr>
          <w:rFonts w:ascii="arial" w:eastAsia="arial" w:hAnsi="arial" w:cs="arial"/>
          <w:color w:val="000000"/>
          <w:sz w:val="20"/>
          <w:lang w:val="en-US" w:eastAsia="en-US" w:bidi="ar-SA"/>
        </w:rPr>
        <w:t xml:space="preserve">. The Court dismissed Beaudette's application for a declaration that the provincial securities legislation violated ss. 7, 8 and 13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permitting cross-border sharing of information. Beaudette was compelled to testify in Canadian proceedings and feared future implications arising from an investigation in the U.S. At paras. 72-73, the Court found that the U.S. approach would not necessary lead to any rights infringement justifying an extension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to individuals faced with prosecution in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practical effect of the </w:t>
      </w:r>
      <w:r>
        <w:rPr>
          <w:rFonts w:ascii="arial" w:eastAsia="arial" w:hAnsi="arial" w:cs="arial"/>
          <w:i/>
          <w:color w:val="000000"/>
          <w:sz w:val="20"/>
          <w:lang w:val="en-US" w:eastAsia="en-US" w:bidi="ar-SA"/>
        </w:rPr>
        <w:t>Fisherman, Beaudette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approach is for Canadian courts to leave it to U.S. courts to rule on whether the use of such evidence is permissible, and whether the use of such evidence violates an individual's Fifth Amendment rights. This approach respects the principle of comity. Until such time as a U.S. court rules directly on the matter, that ruling is brought to the attention of a Canadian court, and the effect of that ruling on U.S. law can be attested to by a qualified expert, a Canadian court should not assume procedural irregularity or a violation of legal rights in the U.S. legal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above authorities are persuasive in supporting the Director's position that the defendants' claim for a sealing order must fail for want of any concrete evidence as to any actual material risks that may be faced by the defendants if the court record is not sealed and the American authorities seek to use that testimony in later U.S. proceedings. Nor have the defendants established that any such possible material risks are of such importance that they are sufficient to override the public's right to open court access in the balancing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Further, while it cannot be stated as a matter of fact, given the lack of expert evidence on the point, the unequivocal statement of the law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stands to give Ms. Day the procedural protections the defendants claim she will lack, should she ever face prosecution in the U.S. Accordingly, there is no basis to suppose any U.S. court's procedure would violate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or otherwise "shock the conscience" of a Canadian court, per </w:t>
      </w:r>
      <w:r>
        <w:rPr>
          <w:rFonts w:ascii="arial" w:eastAsia="arial" w:hAnsi="arial" w:cs="arial"/>
          <w:i/>
          <w:color w:val="000000"/>
          <w:sz w:val="20"/>
          <w:lang w:val="en-US" w:eastAsia="en-US" w:bidi="ar-SA"/>
        </w:rPr>
        <w:t>Fisherman, Beaudette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so as to justify the extraordinary remedy a granting a sealing order over the entire court file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Finally, while no material risk of a rights violation has been made out in regard to Ms. Day's alleged self-incrimination should a sealing order not be granted, it is also the case that there exists a reasonable alternative measure to protect the defendant's interests and allow them to fully defend this proceeding. That is the implied undertaking rule. Subject to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the scope of the implied undertaking of confidentiality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affords the defendants protection from the Director sharing or otherwise using any documentary or oral information obtained on discovery, except for the purpose of that litigation: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is another aspect of the relief sought here that highlights that it is extremely overreaching. The defendants suggest that the sealing of the </w:t>
      </w:r>
      <w:r>
        <w:rPr>
          <w:rFonts w:ascii="arial" w:eastAsia="arial" w:hAnsi="arial" w:cs="arial"/>
          <w:i/>
          <w:color w:val="000000"/>
          <w:sz w:val="20"/>
          <w:lang w:val="en-US" w:eastAsia="en-US" w:bidi="ar-SA"/>
        </w:rPr>
        <w:t>entire</w:t>
      </w:r>
      <w:r>
        <w:rPr>
          <w:rFonts w:ascii="arial" w:eastAsia="arial" w:hAnsi="arial" w:cs="arial"/>
          <w:color w:val="000000"/>
          <w:sz w:val="20"/>
          <w:lang w:val="en-US" w:eastAsia="en-US" w:bidi="ar-SA"/>
        </w:rPr>
        <w:t xml:space="preserve"> court file is "necessary" in order to address the risks or perceived risks at play. In seeking a sealing of the entire court file, PacNet and the Day Defendants seek to protect disclosure of both inculpatory and exculpatory evidence. There is simply no basis for the latter, particularly in terms of trumping the open court principle. The protection against self-incrimination under s. 13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only applies to incriminating evidence and does not apply in respect of any and all compelled evidence: </w:t>
      </w:r>
      <w:r>
        <w:rPr>
          <w:rFonts w:ascii="arial" w:eastAsia="arial" w:hAnsi="arial" w:cs="arial"/>
          <w:i/>
          <w:color w:val="000000"/>
          <w:sz w:val="20"/>
          <w:lang w:val="en-US" w:eastAsia="en-US" w:bidi="ar-SA"/>
        </w:rPr>
        <w:t>R. v. Nedelcu</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2012 SCC 59</w:t>
        </w:r>
      </w:hyperlink>
      <w:r>
        <w:rPr>
          <w:rFonts w:ascii="arial" w:eastAsia="arial" w:hAnsi="arial" w:cs="arial"/>
          <w:color w:val="000000"/>
          <w:sz w:val="20"/>
          <w:lang w:val="en-US" w:eastAsia="en-US" w:bidi="ar-SA"/>
        </w:rPr>
        <w:t xml:space="preserve"> at paras. 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To conclude, the first condition of the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test is not made out by the defendants such that they have not met the onus upon them in proving any "real and substantial" or "serious" risk to an important interest, namely self-incrimination. In any event, if such risks exist, a sealing order is not "necessary" to address that risk where other reasonable alternative measures exists to prevent any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These are Canadian proceedings. The parties, both plaintiff and defendants, are Canadian entities or persons. The subject matter of the proceeding is properties located in Canada. The issues in this litigation will be determined by Canadian and British Columbia laws. As such, I see no basis upon which the rights and interests of these Canadian parties, including the right of the public to access publicly filed documents, should be dictated by unsupported and speculative constitutional issues that may arise in other jurisdictions. The concerns advanced here - from a constitutional perspective - begin and end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other protections noted above. There is no suggestion on the part of the Director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the Defendants, and those arising from the </w:t>
      </w:r>
      <w:r>
        <w:rPr>
          <w:rFonts w:ascii="arial" w:eastAsia="arial" w:hAnsi="arial" w:cs="arial"/>
          <w:i/>
          <w:color w:val="000000"/>
          <w:sz w:val="20"/>
          <w:lang w:val="en-US" w:eastAsia="en-US" w:bidi="ar-SA"/>
        </w:rPr>
        <w:t>Evidence Acts</w:t>
      </w:r>
      <w:r>
        <w:rPr>
          <w:rFonts w:ascii="arial" w:eastAsia="arial" w:hAnsi="arial" w:cs="arial"/>
          <w:color w:val="000000"/>
          <w:sz w:val="20"/>
          <w:lang w:val="en-US" w:eastAsia="en-US" w:bidi="ar-SA"/>
        </w:rPr>
        <w:t xml:space="preserve"> and the implied undertaking rule, will not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will be obvious from the above discussion that the Defendants - and now this Court - have focussed on potential jeopardy arising in the U.S. In the circumstances of this case, it is possible that PacNet and the Day Defendants face jeopardy elsewhere in the world where they operated. They have already referred to ongoing court proceedings in Ireland and investigations by the Irish authorities in support of their arguments that the Court file needs to be 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Despite the Defendants' vague references to possible jeopardy arising internationally, PacNet and the Day Defendants have mounted no evidence or arguments that would even allow this Court to assess any possible prejudice arising outside of the U.S. (including Ireland) if authorities in those jurisdictions obtain evidence from the court file. There may be many jurisdictions involved, given the level of international cooperation that the Heneghan affidavit suggests is underway. The lack of any evidence or submissions in relation to Ireland may have arisen because no issues of self-incrimination arise there. These circumstances only serves to highlight the need to consider these issues in context and with an appropriate evidentiary foundation in respect of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Accordingly, while I have considered and rejected the application as it concerns perceived risks of self-incrimination, I acknowledge that factual circumstances may change in relation to these issues. Accordingly, I grant liberty to the Defendants to apply for later relief if that is appropriate. In that event, the parties may follow the procedures outlined in </w:t>
      </w:r>
      <w:r>
        <w:rPr>
          <w:rFonts w:ascii="arial" w:eastAsia="arial" w:hAnsi="arial" w:cs="arial"/>
          <w:i/>
          <w:color w:val="000000"/>
          <w:sz w:val="20"/>
          <w:lang w:val="en-US" w:eastAsia="en-US" w:bidi="ar-SA"/>
        </w:rPr>
        <w:t>Hallstone</w:t>
      </w:r>
      <w:r>
        <w:rPr>
          <w:rFonts w:ascii="arial" w:eastAsia="arial" w:hAnsi="arial" w:cs="arial"/>
          <w:color w:val="000000"/>
          <w:sz w:val="20"/>
          <w:lang w:val="en-US" w:eastAsia="en-US" w:bidi="ar-SA"/>
        </w:rPr>
        <w:t xml:space="preserve"> at para. 36, although any such application should only be in relation to the proposed introduction into the court file of any inculpatory discovery evidence of the Defendants on an interlocutory application. By that process, advance notice of the introduction of such evidence is to be given, which will allow the Defendants an opportunity to apply for any protections that might be appropriate based on a specific consideration of the factual context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applications by PacNet and the Day Defendants are dismissed, save for the order allowing the names of the six potential third party witnesses to be anonymized in any court materials to be filed, as detailed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addition, I confirm that the Defendants have leave to further apply in respect of the evidence of any other third party witnesses and also, any information or documentation of PacNet clients that might be filed in this Court in advance of the trial. I will consider the merits of any such applications based on the facts advanced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Finally, I decline to order a sealing of the entire court file on the basis of the present unsubstantiated and speculative concerns of PacNet and the Day Defendants about possible self-incrimination. However, the Defendants will be given advance notice of the introduction into the court file of any inculpatory evidence arising from discovery of them, so as to allow them time to further apply for any appropriate relief as might arise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Chances Housing Cooperative v. Progressive Homes Ltd., [2000] B.C.J. No. 722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Allan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14,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7,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C984517 and C993283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722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596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46 C.P.C. (4th) 334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A.C.W.S. (3d) 25</w:t>
      </w:r>
    </w:p>
    <w:p>
      <w:pPr>
        <w:spacing w:before="120" w:line="260" w:lineRule="atLeast"/>
        <w:rPr>
          <w:lang w:val="en-US" w:eastAsia="en-US" w:bidi="ar-SA"/>
        </w:rPr>
      </w:pPr>
      <w:r>
        <w:rPr>
          <w:rFonts w:ascii="arial" w:eastAsia="arial" w:hAnsi="arial" w:cs="arial"/>
          <w:color w:val="000000"/>
          <w:sz w:val="20"/>
          <w:lang w:val="en-US" w:eastAsia="en-US" w:bidi="ar-SA"/>
        </w:rPr>
        <w:t>Between Chances Housing Cooperative, plaintiff, and Progressive Homes Ltd., Gomberoff Policzer Architects, Julio Gomberoff, City of Burnaby and Access Building Association, defendants, and Canadian Mortgage and Housing Corporation and City of Burnaby, third parties (Vancouver Registry No. C984517) And between Sapperton Terrace Housing Cooperative, plaintiff, and Budding Construction Inc., Gomberoff Policzer Architects, Peter Ross Ltd., and City of New Westminster, defendants, and Commercial Union Assurance Company of Canada, La Compagnie D'Assurance Union Commerciale du Canada, Canada Mortgage and Housing Corporation, third parties (Vancouver Registry No. C993283)</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0"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3" w:name="Keywords_4"/>
      <w:bookmarkEnd w:id="83"/>
      <w:r>
        <w:rPr>
          <w:rFonts w:ascii="arial" w:eastAsia="arial" w:hAnsi="arial" w:cs="arial"/>
          <w:b/>
          <w:color w:val="000000"/>
          <w:sz w:val="20"/>
          <w:lang w:val="en-US" w:eastAsia="en-US" w:bidi="ar-SA"/>
        </w:rPr>
        <w:t>Practice — Costs — Party and party costs — Special orders — Increase in scale of costs, conduct of opposite party — Increase in scale of costs, difficulty and complexity of proceedings.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4" w:name="Case Summary_4"/>
            <w:bookmarkEnd w:id="8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Chances Housing Cooperative for increased costs. Chances applied for an order to add Canada Mortgage and Housing Corporation as a defendant. CMHC strongly opposed the application. It raised issues of substantial law that were unnecessary and costly. CMHC also raised limitation defences that could not be determined in the time available. The application was straightforward. It took a day and a half because of CMHC's objections. The court ordered CMHC to be added as a defendant, with liberty to raise limitation defences in its pleadings. Chances' actual legal fees were $20,000. Chances sought special costs of $18,000 or increased costs of $13,000. The scale of ordinary costs was $5,300. </w:t>
            </w:r>
            <w:r>
              <w:rPr>
                <w:lang w:val="en-US" w:eastAsia="en-US" w:bidi="ar-SA"/>
              </w:rPr>
              <w:cr/>
            </w:r>
          </w:p>
          <w:p>
            <w:pPr>
              <w:spacing w:before="120" w:line="260" w:lineRule="atLeast"/>
              <w:ind w:left="240"/>
              <w:jc w:val="both"/>
              <w:rPr>
                <w:lang w:val="en-US" w:eastAsia="en-US" w:bidi="ar-SA"/>
              </w:rPr>
            </w:pPr>
            <w:bookmarkStart w:id="85" w:name="Holdings of Court_3"/>
            <w:bookmarkEnd w:id="8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Chances was awarded 75 per cent of its special costs, payable forthwith. There was a significant discrepancy between the amount of ordinary and special costs. CMHC's actions unreasonably and unfairly increased Chances' expenses. These factors justified an order of increased costs. Such an order would indemnify Chances and discourage further unnecessary and oppressive steps in these proceedings. Chances was the only successful party in these proceedings. The limitations issue occupied one-quarter of the action. Since this issue was not decided, Chances was not awarded all its special costs. If the action proceeded to trial, this award could be adjusted to avoid any injustices. </w:t>
            </w:r>
            <w:r>
              <w:rPr>
                <w:lang w:val="en-US" w:eastAsia="en-US" w:bidi="ar-SA"/>
              </w:rPr>
              <w:cr/>
            </w:r>
          </w:p>
          <w:p>
            <w:pPr>
              <w:rPr>
                <w:lang w:val="en-US" w:eastAsia="en-US" w:bidi="ar-SA"/>
              </w:rPr>
            </w:pPr>
          </w:p>
        </w:tc>
      </w:tr>
    </w:tbl>
    <w:p>
      <w:pPr>
        <w:jc w:val="both"/>
        <w:rPr>
          <w:lang w:val="en-US" w:eastAsia="en-US" w:bidi="ar-SA"/>
        </w:rPr>
      </w:pPr>
      <w:bookmarkStart w:id="86" w:name="Legislation Cited_3"/>
      <w:bookmarkEnd w:id="8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1"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15(5), 15(5)(a), 24(1)(a), 57, 57(1), 57(2), 57(12)(a).</w:t>
      </w:r>
      <w:r>
        <w:rPr>
          <w:lang w:val="en-US" w:eastAsia="en-US" w:bidi="ar-SA"/>
        </w:rPr>
        <w:cr/>
      </w:r>
    </w:p>
    <w:p>
      <w:pPr>
        <w:keepNext/>
        <w:spacing w:before="240" w:line="340" w:lineRule="atLeast"/>
        <w:rPr>
          <w:lang w:val="en-US" w:eastAsia="en-US" w:bidi="ar-SA"/>
        </w:rPr>
      </w:pPr>
      <w:bookmarkStart w:id="87" w:name="Counsel_14"/>
      <w:bookmarkEnd w:id="8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2" style="position:absolute;z-index:2517760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Jennifer L. Conkie, for Chances Housing Cooperative and Sapperton Terrace Housing Cooperative. D. Ross Clark and Emmet Duncan, for Canadian Mortgage and Housing Corporation.</w:t>
      </w:r>
      <w:r>
        <w:rPr>
          <w:lang w:val="en-US" w:eastAsia="en-US" w:bidi="ar-SA"/>
        </w:rPr>
        <w:cr/>
      </w:r>
    </w:p>
    <w:p>
      <w:pPr>
        <w:spacing w:after="240"/>
        <w:rPr>
          <w:lang w:val="en-US" w:eastAsia="en-US" w:bidi="ar-SA"/>
        </w:rPr>
      </w:pPr>
      <w:bookmarkStart w:id="88" w:name="Judgment_14"/>
      <w:bookmarkEnd w:id="88"/>
      <w:r>
        <w:pict>
          <v:line id="_x0000_s1083" style="position:absolute;z-index:2518179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9" w:name="ALLAN J."/>
            <w:bookmarkEnd w:id="89"/>
            <w:r>
              <w:rPr>
                <w:rFonts w:ascii="arial" w:eastAsia="arial" w:hAnsi="arial" w:cs="arial"/>
                <w:b/>
                <w:color w:val="000000"/>
                <w:sz w:val="30"/>
                <w:lang w:val="en-US" w:eastAsia="en-US" w:bidi="ar-SA"/>
              </w:rPr>
              <w:t>ALLAN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5, 2000, I delivered reasons for judgment, </w:t>
      </w:r>
      <w:hyperlink r:id="rId373" w:history="1">
        <w:r>
          <w:rPr>
            <w:rFonts w:ascii="arial" w:eastAsia="arial" w:hAnsi="arial" w:cs="arial"/>
            <w:i/>
            <w:color w:val="0077CC"/>
            <w:sz w:val="20"/>
            <w:u w:val="single"/>
            <w:shd w:val="clear" w:color="auto" w:fill="FFFFFF"/>
            <w:lang w:val="en-US" w:eastAsia="en-US" w:bidi="ar-SA"/>
          </w:rPr>
          <w:t>[2000] B.C.J. No. 14</w:t>
        </w:r>
      </w:hyperlink>
      <w:r>
        <w:rPr>
          <w:rFonts w:ascii="arial" w:eastAsia="arial" w:hAnsi="arial" w:cs="arial"/>
          <w:color w:val="000000"/>
          <w:sz w:val="20"/>
          <w:lang w:val="en-US" w:eastAsia="en-US" w:bidi="ar-SA"/>
        </w:rPr>
        <w:t>, on applications brought by the plaintiffs, Chances Housing Cooperative ("Chances") and Sapperton Terrace Housing Cooperative ("Sapperton"), to add Canadian Mortgage and Housing Corporation ("CMHC") as a defendant in both actions. CMHC strongly opposed the applications, raising issues of substantive law which were unnecessary and costly. The applications, which should have been straightforward, took a day and a half to be heard. CMHC also raised limitations defences that could not have been determined in the time available. In any event, I considered it more appropriate that CMHC argue the limitations issues at the same time as the other defendants, who have also expressed intentions to bring similar applications to strike out the plaintiffs' actions against them as statute-barred. As a result, I ordered that CMHC be added to both actions as a defendant with liberty to raise limitations defences in its pleadings, and that the plaintiffs amend their pleadings accordingly. I invited counsel to address the issue of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successful plaintiffs now seek special costs, increased costs at the rate of 75% of special costs, or ordinary costs at scale 5 and an order that the costs be payable forthwith. Ms. Conkie, counsel for the plaintiffs, estimates that the plaintiffs' special costs, as taxed under Rule 57, would amount to between $16,000 - $18,000 (or 80-90% of actual legal fees) for each action plus tax and allowable disbursements. Increased costs at 75% of special costs would be between $12,000 - $13,000 per action. Ordinary costs at scale 5 would yield $5,335.20 for each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Clark, counsel for CMHC, submits that success was divided and the plaintiffs should not receive costs for their preparation of the limitations issue. He concedes that the issues involved in adding CMHC as a defendant were sufficiently difficult and important to justify ordinary costs at scale 5 but submits that such costs should be costs in the cause and not be payable forthwith.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purpose of special costs is to punish a litigant or counsel for misconduct during litigation and deter further misconduct. It is well established that special costs may be ordered for reprehensible conduct falling short of scandal or outrage. Misconduct deserving of reproof or rebuke is "reprehensible": Garcia v. Crestbrook Forest Industries Ltd. (No. 2) </w:t>
      </w:r>
      <w:hyperlink r:id="rId374"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Here, the applications were adjourned numerous times, primarily because of the length and complexity of CMHC's submissions and the late delivery of voluminous authorities to the plaintiffs. Counsel for CMHC insisted that extensive authorities and submissions relating to various areas of substantive law were essential to determine the applications. He argued at length that the plaintiffs' pleadings were defective because they were "essentially bare assertions of conclusions of law without the necessary supporting material facts and particulars". He also submitted that the limitations issue had to be determined on its merits before the Court could make an order adding CMHC (who was already a third party in both proceedings) as a defendant. Mr. Clark initially delivered four volumes containing 45 cases to Ms. Conkie but, in chambers, he relied on two volumes containing 31 authorities which, apparently, omitted some of the earlier cases and added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Conkie's law firm is small. The limited resources of the plaintiffs, housing cooperatives that are subsidized housing projects, have been strained by the cost of repairs to their leaking buildings. In contrast, CMHC appears willing and able to tap the extensive resources of a large law firm and expend unlimited funds in these proceedings. CMHC views these actions as "a test case" with respect to the issue of whether it is found to be solely a mortgage insurer or, in limited circumstances, actively involved in the development and supervision of "socially desirable housing."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found that there was no merit in CMHC's vigorous opposition to the plaintiffs' applications under Rules 15(5)(a) and 24(1)(a). However, I am unable to say that its conduct should be classified as misconduct of a degree that would ground an award of special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Ordinary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Ordinary costs, pursuant to Rule 57(1) and (2), are intended to provide a rough indemnity of 50% of special costs. In this case, an award of ordinary costs on scale 3, or even scale 4 or 5, would yield a far lower indemnity than 50%. Indeed, Ms. Conkie estimates that ordinary costs at scale 5 would yield recovery, in each action, of $5,335.20 in comparison to her actual fees of approximately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CMHC submits that the motions warrant ordinary costs on scale 4 or 5 because they were difficult. In my opinion, these motions can only be described as "difficult" because of the defendant's full scale and complex opposition to what was, otherwise, a simple application. It would be straining the principles enumerated in Appendix B(2) to characterize the matters here as matters of more than ordinary difficulty or importance or of unusual difficulty or importance.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Increased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Appendix B, s. 7, provides that where the Court determines that there would be "an unjust result" if fees were assessed under scales 1-5, it may order that costs be assessed as increased costs, which are a percentage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have demonstrated a significant discrepancy between ordinary and special costs. However, there is ample authority for the proposition that such a discrepancy does not, by itself, constitute an unjust result. As Vickers J. stated in Gotaverken Energy Systems Ltd. v. Cariboo Pulp and Paper Co. </w:t>
      </w:r>
      <w:hyperlink r:id="rId375" w:history="1">
        <w:r>
          <w:rPr>
            <w:rFonts w:ascii="arial" w:eastAsia="arial" w:hAnsi="arial" w:cs="arial"/>
            <w:i/>
            <w:color w:val="0077CC"/>
            <w:sz w:val="20"/>
            <w:u w:val="single"/>
            <w:shd w:val="clear" w:color="auto" w:fill="FFFFFF"/>
            <w:lang w:val="en-US" w:eastAsia="en-US" w:bidi="ar-SA"/>
          </w:rPr>
          <w:t>(1995), 9 B.C.L.R. (3d) 340</w:t>
        </w:r>
      </w:hyperlink>
      <w:r>
        <w:rPr>
          <w:rFonts w:ascii="arial" w:eastAsia="arial" w:hAnsi="arial" w:cs="arial"/>
          <w:color w:val="000000"/>
          <w:sz w:val="20"/>
          <w:lang w:val="en-US" w:eastAsia="en-US" w:bidi="ar-SA"/>
        </w:rPr>
        <w:t xml:space="preserve"> (S.C.) at 346: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whether a result would be unjust requires the exercise of a judicial function. A judge must ask why the disparity exists and, in so doing, will be embarked upon a consideration of all of the factors that are said to account for the disparity.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Rieta v. North American Air Travel Insurance Agents Ltd. </w:t>
      </w:r>
      <w:hyperlink r:id="rId376" w:history="1">
        <w:r>
          <w:rPr>
            <w:rFonts w:ascii="arial" w:eastAsia="arial" w:hAnsi="arial" w:cs="arial"/>
            <w:i/>
            <w:color w:val="0077CC"/>
            <w:sz w:val="20"/>
            <w:u w:val="single"/>
            <w:shd w:val="clear" w:color="auto" w:fill="FFFFFF"/>
            <w:lang w:val="en-US" w:eastAsia="en-US" w:bidi="ar-SA"/>
          </w:rPr>
          <w:t>(1998), 52 B.C.L.R. (3d) 114</w:t>
        </w:r>
      </w:hyperlink>
      <w:r>
        <w:rPr>
          <w:rFonts w:ascii="arial" w:eastAsia="arial" w:hAnsi="arial" w:cs="arial"/>
          <w:color w:val="000000"/>
          <w:sz w:val="20"/>
          <w:lang w:val="en-US" w:eastAsia="en-US" w:bidi="ar-SA"/>
        </w:rPr>
        <w:t xml:space="preserve"> (C.A.), Mr. Justice Donald, giving reasons for the Court, stated that the law on costs has evolved to the point where a discrepancy between party and party costs and actual (or special) costs must be accompanied by some other reason in order to justify an order for increased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Generally, there must be additional factors in the course of the litigation such as a frivolous claim or defence that unnecessarily prolonged the lawsuit or application. In this case, CMHC's unnecessarily complex and "meticulous" defences unreasonably and unfairly increased the expense to the plaintiffs. Leaving aside the extensive preparation time required by counsel, the hearing of the issues occupied at least three times more than should have been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Those factors, together with the significant disparity, justify an order of increased costs. Such an order will indemnify the plaintiffs and discourage further unnecessary and oppressive steps in these proceedings.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Whether the costs should be payable in any event of the cause and forthwith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Clark opposes the immediate payment of costs arising from the plaintiffs' victory in a single battle when it is possible that CMHC may win the war if the claims against it are statute-barred or unproven.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claims against CMHC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contract, and breach of fiduciary duty. CMHC analyzed the substantive law in each category at length on the applications. Mr. Clark points out that the plaintiffs' legal research and preparation will be necessary for purposes of preparation for trial. Further, much of the preparation time was occupied with the limitations issue which was not addressed. Mr. Clark also points out that Ms. Conkie's actual fees apparently include work done answering CMHC's interrogatories which were delivered for purposes of both the motions and the litigation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57(12)(a) states that unless the Court otherwise orders, a successful applicant is entitled to costs as costs in the cause. In the normal course, an award of costs awarded separately on an interlocutory proceeding is not payable until the conclusion of the litigation: Parkin v. McMillan (1991), 49 C.P.C. (2d) 83 (B.C.S.C.). Mark Orkin, the author of The Law of Costs, 2nd ed. (Aurora: Canada Law Book Inc., 1999), at p. 4-3, suggests three reasons for this policy. First, an order for costs payable forthwith may prevent or hinder an unsuccessful litigant from proceeding with litigation. Second, it is preferable to have only a single assessment of costs in an action where the assessment officer in a position to consider all aspects of the litigation. Third, the party against whom costs are granted may be unduly penalized, if, after the trial, it appears that a different view should have been taken of the interlocutory proceeding. In this case, the first factor is clearly not applicable. With respect to the second point, the potential injustice to the plaintiffs if costs are not granted forthwith outweighs the procedural inconvenience and expense of requiring two taxations of costs. Finally, any necessary "fine tuning" can take place in any subsequent taxation following a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Parkin, Master Horn considered the circumstances in which the Court should depart from that rule. He cited Cory J. in Banke Electronics Ltd. v. Olvan Tool &amp; Die Inc. </w:t>
      </w:r>
      <w:hyperlink r:id="rId377" w:history="1">
        <w:r>
          <w:rPr>
            <w:rFonts w:ascii="arial" w:eastAsia="arial" w:hAnsi="arial" w:cs="arial"/>
            <w:i/>
            <w:color w:val="0077CC"/>
            <w:sz w:val="20"/>
            <w:u w:val="single"/>
            <w:shd w:val="clear" w:color="auto" w:fill="FFFFFF"/>
            <w:lang w:val="en-US" w:eastAsia="en-US" w:bidi="ar-SA"/>
          </w:rPr>
          <w:t>(1981), 32 O.R. (2d) 630</w:t>
        </w:r>
      </w:hyperlink>
      <w:r>
        <w:rPr>
          <w:rFonts w:ascii="arial" w:eastAsia="arial" w:hAnsi="arial" w:cs="arial"/>
          <w:color w:val="000000"/>
          <w:sz w:val="20"/>
          <w:lang w:val="en-US" w:eastAsia="en-US" w:bidi="ar-SA"/>
        </w:rPr>
        <w:t xml:space="preserve"> (Ont. H.C.):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Costs may be used by the Court in order to control its processes. By withholding costs or by the award of costs, it may discourage unnecessary interlocutory proceedings. For example, by directing that costs be payable forthwith in any event of the cause, the Court will discourage interlocutory applications which are frivolous and without merit. Such an award of costs will no doubt be made sparingly. It must be remembered that a requirement that costs of an interlocutory application be paid forthwith may prevent a meritorious action from coming to trial. A less important but not insignificant factor that should also be considered is that it is preferable if there is only one taxation of costs. At that time all aspects of the litigation can be considered and weighed by the Taxing Officer.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Frequently, costs on interlocutory applications are granted where it is unlikely that the matter will proceed to trial or the issue determined on an interlocutory basis is severable from the remaining claims. In Hub City Supplies Ltd. v. Waugh (1995), 38 C.P.C. (3d) 320 (B.C.S.C.), the Court granted increased costs payable forthwith to the defendants who successfully resisted the plaintiff's application for an injunction. While the plaintiff intended to proceed against the defendants with its claims for breach of contract and inducing a breach of contract, the Court found that the issues raised in the injunction application had been finally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Somani v. Sunderji(1997), </w:t>
      </w:r>
      <w:hyperlink r:id="rId378" w:history="1">
        <w:r>
          <w:rPr>
            <w:rFonts w:ascii="arial" w:eastAsia="arial" w:hAnsi="arial" w:cs="arial"/>
            <w:i/>
            <w:color w:val="0077CC"/>
            <w:sz w:val="20"/>
            <w:u w:val="single"/>
            <w:shd w:val="clear" w:color="auto" w:fill="FFFFFF"/>
            <w:lang w:val="en-US" w:eastAsia="en-US" w:bidi="ar-SA"/>
          </w:rPr>
          <w:t>89 B.C.A.C. 260</w:t>
        </w:r>
      </w:hyperlink>
      <w:r>
        <w:rPr>
          <w:rFonts w:ascii="arial" w:eastAsia="arial" w:hAnsi="arial" w:cs="arial"/>
          <w:color w:val="000000"/>
          <w:sz w:val="20"/>
          <w:lang w:val="en-US" w:eastAsia="en-US" w:bidi="ar-SA"/>
        </w:rPr>
        <w:t xml:space="preserve"> (C.A.), Proudfoot J.A. denied leave to appeal a decision ordering the appellants to pay special costs of an interlocutory application payable forthwith. The chambers judge had properly found the appellants' conduct worthy of "reproof and rebuke" and it was clear such an order did not restrict the appellants' ability to proceed with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Goldman, Sachs &amp; Co. v. Sessions </w:t>
      </w:r>
      <w:hyperlink r:id="rId379" w:history="1">
        <w:r>
          <w:rPr>
            <w:rFonts w:ascii="arial" w:eastAsia="arial" w:hAnsi="arial" w:cs="arial"/>
            <w:i/>
            <w:color w:val="0077CC"/>
            <w:sz w:val="20"/>
            <w:u w:val="single"/>
            <w:shd w:val="clear" w:color="auto" w:fill="FFFFFF"/>
            <w:lang w:val="en-US" w:eastAsia="en-US" w:bidi="ar-SA"/>
          </w:rPr>
          <w:t>2000 BCSC 157</w:t>
        </w:r>
      </w:hyperlink>
      <w:r>
        <w:rPr>
          <w:rFonts w:ascii="arial" w:eastAsia="arial" w:hAnsi="arial" w:cs="arial"/>
          <w:color w:val="000000"/>
          <w:sz w:val="20"/>
          <w:lang w:val="en-US" w:eastAsia="en-US" w:bidi="ar-SA"/>
        </w:rPr>
        <w:t>, the Court granted costs thrown away on an interlocutory motion to be taxed as special costs. There, defence counsel was forced to prepare material unnecessarily for a motion as a result of the plaintiff withdrawing its consent to the order sought and subsequently restoring its consent after the motion materials were served. The motion was not heard and a consent order was entered.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would not characterize the result of the applications as a "divided success." The plaintiffs were wholly successful on the Rule 15(5) application. Neither party succeeded on the limitations issue; rather, I ordered that it be dealt with at some future date. However, I agree with Mr. Clark that any order for costs payable on the plaintiffs' applications should not reflect preparation for CMHC's limitations defence, the strength of which is yet to be determined.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that the plaintiffs are entitled to an order for costs payable forthwith in any event of the cause. The award of costs in this case is intended to have a dual purpose - to indemnify the plaintiffs and to control the Court's process by deterring unreasonable conduct in the balance of the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Chances application, the submissions of the plaintiff on the limitations issue occupied about seven pages of its 23 page written argument and reply. The submissions of CMHC on the limitations issue occupied 13 pages of its 49 page written argument. Unfortunately, I no longer have the Sapperton written arguments. It would be folly to attempt a precise calculation of the time spent on the various issues. In the circumstances, 25% of the work done by the plaintiffs should be allocated to the limitations issue and the answers to CMHC's interrogatories which are required in the litigation generally. If the actions proceed to trial, any necessary adjustments can be made on the final assessment of costs to prevent any injustice that might otherwise arise from this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Accordingly, the plaintiffs should calculate 75% of their special costs. They are entitled to receive increased costs at 75% of that amount, payable forthwith.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success is divided on this application, costs of this motion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ALLAN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Cheng v. Nguyen, [2013] B.C.J. No. 3043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S130497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3043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2552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Yuan Chu Cheng, Plaintiff, and Viet Bac Nguyen,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5"/>
      <w:bookmarkEnd w:id="90"/>
      <w:r>
        <w:rPr>
          <w:rFonts w:ascii="arial" w:eastAsia="arial" w:hAnsi="arial" w:cs="arial"/>
          <w:b/>
          <w:color w:val="000000"/>
          <w:sz w:val="20"/>
          <w:lang w:val="en-US" w:eastAsia="en-US" w:bidi="ar-SA"/>
        </w:rPr>
        <w:t>Civil litigation — Civil procedure — Parties — Adding or substituting — After expiry of limitation period — Application by plaintiff for leave to add several defendants in action for assault dismissed — Plaintiff was assaulted by defendant in 2006 by current defendant — Defendant and proposed defendants had kidnapped several individuals, including plaintiff's brother — When plaintiff retained counsel in early 2008, he knew identity of all kidnappers and was advised to commence action against all kidnappers — There was no evidence rebutting the presumed prejudice, and there was no satisfactory explanation for why the action was not commenced against the proposed defendants from the outset.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5"/>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leave to add several defendants. The plaintiff was seriously injured in 2006 when he was assaulted by the current defendant who, along with the proposed defendants, had kidnapped several individuals, including the plaintiff's brother. All kidnappers were convicted of criminal offences and were imprisoned. The plaintiff had retained counsel in early 2008 to commence a personal injury action against the kidnappers. The lawyer, however, only commenced an action against the current defendant. The proposed defendants argued that the limitation period in relation to them expired in 2008.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4"/>
            <w:bookmarkEnd w:id="9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the plaintiff retained counsel, the plaintiff was advised that counsel had conducted a search and found that the kidnappers owned assets, including property and business interests, and said that he would issue a claim against all six kidnappers. Thus, it was clear on the plaintiff's own evidence that he knew the identity of the kidnappers and had taken advice from his lawyer and knew that his lawyer was recommending that a claim be commenced against all six of them. There was no evidence indicating there was some tactical reason or that the lawyer somehow misapprehended either the facts or the law of this matter, to provide some sort of a rationale for the delay. There was no evidence rebutting the presumed prejudice, and there was no satisfactory explanation for why the action was not commenced against the proposed defendants from the outset.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4"/>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387" w:history="1">
        <w:r>
          <w:rPr>
            <w:rFonts w:ascii="arial" w:eastAsia="arial" w:hAnsi="arial" w:cs="arial"/>
            <w:i/>
            <w:color w:val="0077CC"/>
            <w:sz w:val="20"/>
            <w:u w:val="single"/>
            <w:shd w:val="clear" w:color="auto" w:fill="FFFFFF"/>
            <w:lang w:val="en-US" w:eastAsia="en-US" w:bidi="ar-SA"/>
          </w:rPr>
          <w:t>S.B.C. 2012 c. 13, s. 6</w:t>
        </w:r>
      </w:hyperlink>
      <w:r>
        <w:rPr>
          <w:rFonts w:ascii="arial" w:eastAsia="arial" w:hAnsi="arial" w:cs="arial"/>
          <w:color w:val="000000"/>
          <w:sz w:val="20"/>
          <w:lang w:val="en-US" w:eastAsia="en-US" w:bidi="ar-SA"/>
        </w:rPr>
        <w:t>(3)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5"/>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N.S. Ganapathi.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Yat Fung Albert Tse, Daniel Luis Soux, Myles Alexander Vandrick, Nhan Trong Ly and Huong Dac Doan: C.L. Bauman.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5"/>
      <w:bookmarkEnd w:id="95"/>
      <w:r>
        <w:pict>
          <v:line id="_x0000_s1088"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MASTER L. MUIR (orally)"/>
            <w:bookmarkEnd w:id="96"/>
            <w:r>
              <w:rPr>
                <w:rFonts w:ascii="arial" w:eastAsia="arial" w:hAnsi="arial" w:cs="arial"/>
                <w:b/>
                <w:color w:val="000000"/>
                <w:sz w:val="30"/>
                <w:lang w:val="en-US" w:eastAsia="en-US" w:bidi="ar-SA"/>
              </w:rPr>
              <w:t>MASTER L. MUIR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for:</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orders that various defendants be added;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amend the writ and statement of claim as a notice of civil claim with respect to those new defendants;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extension of time to serve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Paragraphs 2 and 5 of the notice of application are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present defendant, Viet Bac Nguyen ("Mr. Nguyen") and the proposed defendants on this application, namely, Yat Fung Albert Tse, Daniel Luis Soux, Myles Alexander Vandrick, Nhan Trong Ly and Huong Dac Doan (the "proposed defendants") were apparently kidnappers (collectively the "kidnappers") who on February 22, 2006, kidnapped three individuals, Peter Li, Jennifer Pan and the plaintiff's brother, Xiao Cheng (the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being paid a ransom of approximately $1.3 million, the victims were set free on March 19, 2006 at 4670 Commercial Street, a residence rented by Xiao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invited to attend at that residence on March 19, 2006 because it was the day that Xiao Cheng was being set free. Unfortunately, when the plaintiff attended at the residence, he was violently assaulted by one or more of the kidnappers and, as a result, suffered a severe brain injury. He was left disfigured and required surgery. Up to today, he still suffers the side effects of the assault and apparently has an ongoing brain injury with loss of hearing in one ear and disfigurement.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kidnappers were subsequently arrested on March 31, 2006 and April 8, 2010. They were all convicted of various charges. Mr. Nguyen was found guilty of assaulting the plaintiff and the proposed defendants were found guilty of various charges, including kidnapping or intent to hold the victims for ransom or inducing or attempting to induce the victims to pay money by threats or violence. They are all as a result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12, 2006, the plaintiff retained the Merchant Law Group to pursue a personal injury lawsuit against the kidnappers for damages arising from the assault. Two lawyers, Christiaan Rothman and Hong Guo, were assigned. Mr. Rothman told the plaintiff that he had conducted a search and found that all six of the kidnappers owned assets, including property and business interests. He produced a list showing each of the proposed defendants and the properties that had been located with respect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told the plaintiff that an action would be commenced on his behalf naming all six of the kidnappers, and a written contingency fee agreement was entered into. Unfortunately, for some reason that is not clear as it is not before me, on February 19, 2008, Mr. Rothman issued a writ of summons under action no. 111364 and filed a statement of claim only against Mr. Nguyen, alleging assault and battery. None of the other kidnappers were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Stopping there, can I ask, why is there a difference in the action numbers? If you look at para. 9 of the notice of application, it says action no. 111364 and this is action no. 130497. Is that just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GANAPATHI: I believe it's just an error,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So I should not be worried that there is another action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GANAPATHI: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Thank you. The plaintiff in his affidavit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kidnapping and confinement having ended on March 19, 2006, and the assault having taken place on that same day, the limitation period in relation to the kidnappers expired on March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takes the position that the action may have been postponed by the working of s. 6(3)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The plaintiff submitted that the identity of the proposed defendants was not known to him and the facts were not reasonably within his means of knowledge such that, having taken the appropriate advice a person would seek on those facts, an action would have a reasonable prospect of success. I am paraphrasing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proposed defendants, however, takes the position that the limitation period clearly did expire on March 18, 2008. He says so because, as noted, the plaintiff deposes that he retained Mr. Rothman in early 2008 and in or about that time, Mr. Rothman told him that he had conducted a search and found that the kidnappers owned assets, including property and business interests, and said that he would issue a claim against all six kidnappers. Thus, counsel for the proposed defendants submits that it is clear on the plaintiff's own evidence that he knew the identity of the kidnappers and had taken advice from his lawyer and knew that his lawyer was recommending that a claim be commenced against all six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agree with that submission. It is clear to me that the extension of the limitation period found in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not apply in the circumstances of the plaintiff having taken advice and knowing the identity of the kidnappers and having been given the recommendation in early 2008 that an action should be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Hence, we look at the principles that apply in applications of this kind and they are found in </w:t>
      </w:r>
      <w:r>
        <w:rPr>
          <w:rFonts w:ascii="arial" w:eastAsia="arial" w:hAnsi="arial" w:cs="arial"/>
          <w:i/>
          <w:color w:val="000000"/>
          <w:sz w:val="20"/>
          <w:lang w:val="en-US" w:eastAsia="en-US" w:bidi="ar-SA"/>
        </w:rPr>
        <w:t xml:space="preserve">Beaulac v. Golden, </w:t>
      </w:r>
      <w:hyperlink r:id="rId388" w:history="1">
        <w:r>
          <w:rPr>
            <w:rFonts w:ascii="arial" w:eastAsia="arial" w:hAnsi="arial" w:cs="arial"/>
            <w:i/>
            <w:color w:val="0077CC"/>
            <w:sz w:val="20"/>
            <w:u w:val="single"/>
            <w:shd w:val="clear" w:color="auto" w:fill="FFFFFF"/>
            <w:lang w:val="en-US" w:eastAsia="en-US" w:bidi="ar-SA"/>
          </w:rPr>
          <w:t>2011 BCSC 719</w:t>
        </w:r>
      </w:hyperlink>
      <w:r>
        <w:rPr>
          <w:rFonts w:ascii="arial" w:eastAsia="arial" w:hAnsi="arial" w:cs="arial"/>
          <w:i/>
          <w:color w:val="000000"/>
          <w:sz w:val="20"/>
          <w:lang w:val="en-US" w:eastAsia="en-US" w:bidi="ar-SA"/>
        </w:rPr>
        <w:t xml:space="preserve"> at para. 4</w:t>
      </w:r>
      <w:r>
        <w:rPr>
          <w:rFonts w:ascii="arial" w:eastAsia="arial" w:hAnsi="arial" w:cs="arial"/>
          <w:color w:val="000000"/>
          <w:sz w:val="20"/>
          <w:lang w:val="en-US" w:eastAsia="en-US" w:bidi="ar-SA"/>
        </w:rPr>
        <w:t xml:space="preserve"> as relied upon by the plaintiff. They are set out quoting from a decision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guidelines to which the chambers judge is required to have regard include these: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Obviously, the expiry of the limitation period plus one year is the term that must be considered when one looks at the extent of the delay. Here, from March 2009 to present, a period of some four years, is a significant period in my reading of the cases. I will therefore look at the second aspect of the test -- the reasons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affidavit from the lawyers saying there was some tactical reason or that they somehow misapprehended either the facts or the law of this matter, to provide some sort of a rationale for the delay. As there is no affidavit evidence from them, we are forced to speculate that it was mere inadvertence, which the plaintiff submits should not act to prejudice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degree of prejudice caused by the delay, there is no evidence from the kidnappers as to prejudice, and all of them have been in jail since their convictions. The plaintiff submits that, as the kidnappers were all engaged in a joint criminal enterprise, they are jointly and severally liable for his injuries. In his view, the kidnappers should not be able to avoid that liability as they are all fully familiar with the actions that they took. To deny his application would be to punish the plaintiff for the inadvertence of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With respect to the balance being resolved in favour of the plaintiff in regards to prejudice, the plaintiff relies on </w:t>
      </w:r>
      <w:r>
        <w:rPr>
          <w:rFonts w:ascii="arial" w:eastAsia="arial" w:hAnsi="arial" w:cs="arial"/>
          <w:i/>
          <w:color w:val="000000"/>
          <w:sz w:val="20"/>
          <w:lang w:val="en-US" w:eastAsia="en-US" w:bidi="ar-SA"/>
        </w:rPr>
        <w:t>Middelaer v. Berner</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2012 BCSC 1472</w:t>
        </w:r>
      </w:hyperlink>
      <w:r>
        <w:rPr>
          <w:rFonts w:ascii="arial" w:eastAsia="arial" w:hAnsi="arial" w:cs="arial"/>
          <w:color w:val="000000"/>
          <w:sz w:val="20"/>
          <w:lang w:val="en-US" w:eastAsia="en-US" w:bidi="ar-SA"/>
        </w:rPr>
        <w:t>. As to the extent of the connection between this action and the proposed action against the new defendants, the plaintiff submits there are no new facts; it is all found in the reasons of Mr. Justice Davies from the criminal trial. There is no risk that evidence would have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proposed defendants submits that the decision here must be made on a balancing of prejudice and prejudice must be presumed from the limitation period having expired and indeed having expired such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the evidence of the plaintiff that he retained a lawyer and was given the advice noted in 2008, the proposed defendants point out that one of the victims was the plaintiff's brother, who is also his business partner, and the other victim is his wife. They submit there is reason to assume that the plaintiff knew from the very beginning the true facts of the case, and there is, again, no reason to consider that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apply to postpone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proposed defendants concedes that there should be little sympathy for the kidnappers in the circumstances, but submits they are entitled to rely on the expiry of the limitation period, and that the very purpose of the limitation period is to give them closure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With respect to the lack of evidence from the lawyers involved here, the proposed defendants refer to the decision in </w:t>
      </w:r>
      <w:r>
        <w:rPr>
          <w:rFonts w:ascii="arial" w:eastAsia="arial" w:hAnsi="arial" w:cs="arial"/>
          <w:i/>
          <w:color w:val="000000"/>
          <w:sz w:val="20"/>
          <w:lang w:val="en-US" w:eastAsia="en-US" w:bidi="ar-SA"/>
        </w:rPr>
        <w:t>CDR Insurance Consulting Services Inc. v. Barton Insurance Brokers</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2012 BCSC 981</w:t>
        </w:r>
      </w:hyperlink>
      <w:r>
        <w:rPr>
          <w:rFonts w:ascii="arial" w:eastAsia="arial" w:hAnsi="arial" w:cs="arial"/>
          <w:color w:val="000000"/>
          <w:sz w:val="20"/>
          <w:lang w:val="en-US" w:eastAsia="en-US" w:bidi="ar-SA"/>
        </w:rPr>
        <w:t xml:space="preserve">, a case also relied upon by the plaintiff, and points out that this is not an honest error of judgment on a difficult legal question. It appears that it was, at least as submitted by the proposed defendants, simply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also points out that their failure to serve the writ, which resulted in the plaintiff being unable to take default judgment against Mr. Nguyen when they sought to do so 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BAUMAN: I believe, Your Honour, I was looking for para. 13 halfway down, the date November 6th,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Thank you. November 6, 2012. Yes. When he attempted to obtain default judgment on November 6, 2012, that was rejected by the court registry because of the failure to serve the writ of summons. That was another apparent inadvertent error on the part of the then counsel for the plaintiff, which resulted in this action still being alive today; otherwise default judgment would have been taken against Mr. Nguyen, and the action would have been gone and there would be no ability to add them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proposed defendants also rely on the decision in </w:t>
      </w:r>
      <w:r>
        <w:rPr>
          <w:rFonts w:ascii="arial" w:eastAsia="arial" w:hAnsi="arial" w:cs="arial"/>
          <w:i/>
          <w:color w:val="000000"/>
          <w:sz w:val="20"/>
          <w:lang w:val="en-US" w:eastAsia="en-US" w:bidi="ar-SA"/>
        </w:rPr>
        <w:t xml:space="preserve">Med Finance Co. S.A. v. Bank of Montreal (BCCA), </w:t>
      </w:r>
      <w:hyperlink r:id="rId391" w:history="1">
        <w:r>
          <w:rPr>
            <w:rFonts w:ascii="arial" w:eastAsia="arial" w:hAnsi="arial" w:cs="arial"/>
            <w:i/>
            <w:color w:val="0077CC"/>
            <w:sz w:val="20"/>
            <w:u w:val="single"/>
            <w:shd w:val="clear" w:color="auto" w:fill="FFFFFF"/>
            <w:lang w:val="en-US" w:eastAsia="en-US" w:bidi="ar-SA"/>
          </w:rPr>
          <w:t>[1993] B.C.J. No. 1277</w:t>
        </w:r>
      </w:hyperlink>
      <w:r>
        <w:rPr>
          <w:rFonts w:ascii="arial" w:eastAsia="arial" w:hAnsi="arial" w:cs="arial"/>
          <w:color w:val="000000"/>
          <w:sz w:val="20"/>
          <w:lang w:val="en-US" w:eastAsia="en-US" w:bidi="ar-SA"/>
        </w:rPr>
        <w:t>, a decision of our Court of Appeal from 1993. At para. 24 of that decision,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Accepting, therefore, that I should apply the principles set forth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to the case at bar, I conclude that the court must presume that the appellants were prejudiced by the amendment adding the new cause of action against them. I also conclude that the explanation tendered by the plaintiff for the delay in applying to add the new cause of action is a significant factor to be considered in determining whether it was "just" to grant the order allowing the new cause of action to be added. Here, as noted by the learned chambers judge, the explanation offered by counsel for his failure to add this cause of action at an earlier date was completely unsatisfactory. It is now ten years since the cause of action arose and 6 1/2 years since the action was commenced and the limitation period expired. Based on the decision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in particular, these are factors which militate against the order which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concludes in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presumption of prejudice, the length of the delay, and the unsatisfactory reasons given for the delay lead me to conclude that the learned chambers judge erred in granting the amendment herein. The plaintiff has not rebutted the presumption of prejudice, and, in all the circumstances, I am persuaded that it would not be just to force the appellants to defend against this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proposed defendants point out as well that the cause of action against them is different. It is not for assault. It has to be some type of conspiracy as it is not clear on the evidence that they were present or even involved when the plaintiff was assaulted. As I said, Mr. Nguyen was the one who was convicted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in looking at all of the circumstances that I must look at in an application of this sort, I am satisfied that the delay is extensive and that prejudice must be assumed. The delay from the time of the assault is seven years, and as I said, the time of the expiration of the limitation period plus one year for serving the writ is four years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evidence rebutting that presumed prejudice and there is no satisfactory explanation for why the action was not commenced against the proposed defendants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Thus, in all of the circumstances, the application to add those defendants is denied. However, the application to renew the notice of civil claim or the writ, however that should properly be framed, as against the present defendant, Mr. Nguyen, is allowed. I understand that his counsel is not present today and takes no position because the statement of claim was received in a timely manner and that supports the renewal of the claim as against Mr.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renewal will be for a period of 12 months from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about costs,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BAUMAN: Your Honour, I am not actually here prepared to deal with the issue of costs and my clients are -- ultimately we say that costs should be awarded as against the defendants for the defence that was presented or for the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Mr. Ganapathi.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GANAPATHI: Well, Your Honour, the plaintiff has already been substantially prejudiced for one reason or another and the award of costs will just be adding salt to the wound, so I would ask that costs be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I am of the view that in the circumstances, the normal rule should not be followed, and I will order that each party bear their own costs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GANAPATHI: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Thank you,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Dawydiuk v. Insurance Corp. of British Columbia, [2009] B.C.J. No. 761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February 20,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S064727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761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518</w:t>
      </w:r>
    </w:p>
    <w:p>
      <w:pPr>
        <w:spacing w:before="120" w:line="260" w:lineRule="atLeast"/>
        <w:rPr>
          <w:lang w:val="en-US" w:eastAsia="en-US" w:bidi="ar-SA"/>
        </w:rPr>
      </w:pPr>
      <w:r>
        <w:rPr>
          <w:rFonts w:ascii="arial" w:eastAsia="arial" w:hAnsi="arial" w:cs="arial"/>
          <w:color w:val="000000"/>
          <w:sz w:val="20"/>
          <w:lang w:val="en-US" w:eastAsia="en-US" w:bidi="ar-SA"/>
        </w:rPr>
        <w:t>Between Jackie Dawydiuk,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0"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7" w:name="Keywords_6"/>
      <w:bookmarkEnd w:id="97"/>
      <w:r>
        <w:rPr>
          <w:rFonts w:ascii="arial" w:eastAsia="arial" w:hAnsi="arial" w:cs="arial"/>
          <w:b/>
          <w:color w:val="000000"/>
          <w:sz w:val="20"/>
          <w:lang w:val="en-US" w:eastAsia="en-US" w:bidi="ar-SA"/>
        </w:rPr>
        <w:t>Civil litigation — Civil procedure — Trials — Jury trials — Jury notice — Setting aside or striking out — Application by defendant to strike plaintiff's jury notice dismissed — The plaintiff sought damages for defamation in a wrongful dismissal context — The defendant sought to strike the jury notice due to presence of issues of an intricate and complex character — The court found that the pleadings clearly alleged an action in defamation and thus there was no discretion to grant the relief sought — In addition, the intricacy and complexity of the issues were insufficient to deprive the plaintiff of having the case decided by a jury — British Columbia Supreme Court Rules, Rule 39(27)(a).</w:t>
      </w:r>
    </w:p>
    <w:p>
      <w:pPr>
        <w:jc w:val="both"/>
        <w:rPr>
          <w:lang w:val="en-US" w:eastAsia="en-US" w:bidi="ar-SA"/>
        </w:rPr>
      </w:pPr>
      <w:bookmarkStart w:id="98" w:name="Legislation Cited_5"/>
      <w:bookmarkEnd w:id="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1"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39(27)(a)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Employment Standards Act, </w:t>
      </w:r>
      <w:r>
        <w:rPr>
          <w:rFonts w:ascii="arial" w:eastAsia="arial" w:hAnsi="arial" w:cs="arial"/>
          <w:i/>
          <w:color w:val="000000"/>
          <w:sz w:val="20"/>
          <w:lang w:val="en-US" w:eastAsia="en-US" w:bidi="ar-SA"/>
        </w:rPr>
        <w:t>RSBC 1996, CHAPTER 113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CHAPTER 210</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Public Sector Employers Act, </w:t>
      </w:r>
      <w:r>
        <w:rPr>
          <w:rFonts w:ascii="arial" w:eastAsia="arial" w:hAnsi="arial" w:cs="arial"/>
          <w:i/>
          <w:color w:val="000000"/>
          <w:sz w:val="20"/>
          <w:lang w:val="en-US" w:eastAsia="en-US" w:bidi="ar-SA"/>
        </w:rPr>
        <w:t>RSBC 1996, CHAPTER 384</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99" w:name="Counsel_16"/>
      <w:bookmarkEnd w:id="9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2"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J. Mackoff.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C.J. Overholt, Q.C.</w:t>
      </w:r>
      <w:r>
        <w:rPr>
          <w:lang w:val="en-US" w:eastAsia="en-US" w:bidi="ar-SA"/>
        </w:rPr>
        <w:cr/>
      </w:r>
    </w:p>
    <w:p>
      <w:pPr>
        <w:spacing w:after="240"/>
        <w:rPr>
          <w:lang w:val="en-US" w:eastAsia="en-US" w:bidi="ar-SA"/>
        </w:rPr>
      </w:pPr>
      <w:bookmarkStart w:id="100" w:name="Judgment_16"/>
      <w:bookmarkEnd w:id="100"/>
      <w:r>
        <w:pict>
          <v:line id="_x0000_s1093" style="position:absolute;z-index:2518200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1" w:name="D.M. MASUHARA J. (orally)"/>
            <w:bookmarkEnd w:id="101"/>
            <w:r>
              <w:rPr>
                <w:rFonts w:ascii="arial" w:eastAsia="arial" w:hAnsi="arial" w:cs="arial"/>
                <w:b/>
                <w:color w:val="000000"/>
                <w:sz w:val="30"/>
                <w:lang w:val="en-US" w:eastAsia="en-US" w:bidi="ar-SA"/>
              </w:rPr>
              <w:t>D.M. MASUHARA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to strike the plaintiff's jury notice under Rule 39(27)(a). The application is not based on an argument that the issues require a prolonged examination of documents, or accounts, or a local investigation that cannot be made conveniently, with a jury. Counsel for the defence concedes these elements are not present in this case. The trial is estimated to take five days. There are only two parties. Expert evidence is not contemplated. The documentation, I am told, is neither voluminous nor complicated.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basis for the application is that there are issues of an intricate and complex character. As a result, the defendant seeks the exercise of the court's discretion to strike the jury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was commenced on July 21, 2006, and has evolved from a claim for a declaration as to the employment status of the plaintiff to what plaintiff's counsel now submits is largely a defamation action where a wrongful dismissal is a minor ancillary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case arises from a termination of the plaintiff in July or August 2005, without cause. The plaintiff was provided 16 months severance. The plaintiff had been employed since May 1988, and advanced within the organization over years, from a clerk to most lately a manager in the company's salvage operation. She held the latter position from April 2000 to her termination.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position was eliminated as a result of the reorganization and consolidation of the defendant's salvage operation into a single unit. She then sought the senior position in the new unit, but was denied in preference for another employee. The defendant says a position comparable to what she had was offered to her, but that she did not accept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Subsequently, her employment was terminated during her maternity leave. Thereafter, the plaintiff commenced the various proceedings regarding her termination, including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further amendments to the statement of claim permitted immediately prior to the hearing of this matter, plaintiff's counsel advises that the plaintiff is no longer contesting the 16-month severance that she received and that what remains of her wrongful dismissal case is her claim for severance based on a higher pay scale than what her severance reflected. This is based on her allegation that, while on maternity leave, she was approved to be placed on a higher pay scale. She further claims bonuses and incentives and damages for mental distress caused by the conduct of the defendant in the course of her dismissal. As I noted earlier, no medical evidence has been obtained, and no such evidence is contemplated.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Plaintiff's counsel submits that, as a result of the further amendments, the case is principally one of defamation.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allegation of defamation arose after production of documents by the defendant. An e-mail was found that was authored by the plaintiff's immediate superior responding to form questions from the defendant's Human Resources Department relating to an employee exit checklist.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alleged defamatory words arise from answers relating to the reasons for termination, the plaintiff's rating as an employee, and whether the employee should be rehired in future. The plaintiff says that the words are injurious to her reputation as they mean that she was dismissed for cause, her performance was unsatisfactory, she should never be considered for hiring at a future date, and that she should never be considered for hiring.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Defendant's counsel submits that the case is principally a wrongful dismissal case; and that, on the basis of intricacy of complexity, the jury notice should be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pleadings clearly allege an action in defamation. Rule 39(27)(a) does not provide discretion over an action in defamation and no authority has been provided to me by the defendant that indicates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the application with respect to defamation cannot succeed, and is therefore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in regard to intricacy and to complexity, the defence argues that the issues are more legal than factual, and thus warrants the case to be heard by a judge alone. Moreover, the defendant argued that, where the facts are in dispute, the interplay between the facts and law makes the determination unwieldy. The specifics include the following.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One, the plaintiff's allegation of bad faith and claim for both aggravated and punitive damages. The defendant argues the recent case of </w:t>
      </w:r>
      <w:r>
        <w:rPr>
          <w:rFonts w:ascii="arial" w:eastAsia="arial" w:hAnsi="arial" w:cs="arial"/>
          <w:b/>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(2008) 294 D.L.R. (4th) 577</w:t>
        </w:r>
      </w:hyperlink>
      <w:r>
        <w:rPr>
          <w:rFonts w:ascii="arial" w:eastAsia="arial" w:hAnsi="arial" w:cs="arial"/>
          <w:color w:val="000000"/>
          <w:sz w:val="20"/>
          <w:lang w:val="en-US" w:eastAsia="en-US" w:bidi="ar-SA"/>
        </w:rPr>
        <w:t xml:space="preserve">, as well as </w:t>
      </w:r>
      <w:r>
        <w:rPr>
          <w:rFonts w:ascii="arial" w:eastAsia="arial" w:hAnsi="arial" w:cs="arial"/>
          <w:b/>
          <w:i/>
          <w:color w:val="000000"/>
          <w:sz w:val="20"/>
          <w:lang w:val="en-US" w:eastAsia="en-US" w:bidi="ar-SA"/>
        </w:rPr>
        <w:t>Whiten v. Pilot</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support its argument regarding the difficulty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Two, the plaintiff's allegation of breaches under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and the denial of the complaints she filed will create both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Three, that there are factual complexities with respect to how the internal documents and reports of the defendant are generated within the company, specific to the subject e-mail, which is at the centre of the defamation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Four, that there are difficulties with respect to the mitigation issues, particularly in light of the decision in </w:t>
      </w:r>
      <w:r>
        <w:rPr>
          <w:rFonts w:ascii="arial" w:eastAsia="arial" w:hAnsi="arial" w:cs="arial"/>
          <w:b/>
          <w:i/>
          <w:color w:val="000000"/>
          <w:sz w:val="20"/>
          <w:lang w:val="en-US" w:eastAsia="en-US" w:bidi="ar-SA"/>
        </w:rPr>
        <w:t>Evans v. Teamsters Local Union No. 31</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2008 SCC 20</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[2008] 1 S.C.R. 661</w:t>
        </w:r>
      </w:hyperlink>
      <w:r>
        <w:rPr>
          <w:rFonts w:ascii="arial" w:eastAsia="arial" w:hAnsi="arial" w:cs="arial"/>
          <w:color w:val="000000"/>
          <w:sz w:val="20"/>
          <w:lang w:val="en-US" w:eastAsia="en-US" w:bidi="ar-SA"/>
        </w:rPr>
        <w:t>. It is argued that the fact that the plaintiff was offered a comparable position which she rejected leads to some complexity, in light of that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Five, there is also the existence of a </w:t>
      </w:r>
      <w:r>
        <w:rPr>
          <w:rFonts w:ascii="arial" w:eastAsia="arial" w:hAnsi="arial" w:cs="arial"/>
          <w:b/>
          <w:i/>
          <w:color w:val="000000"/>
          <w:sz w:val="20"/>
          <w:lang w:val="en-US" w:eastAsia="en-US" w:bidi="ar-SA"/>
        </w:rPr>
        <w:t>Public Sector Employers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that limits the period of notice for employees who are terminated, and authority that says that Wallace damages are not permitted under that statute.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find that these factors overcome the heavy onus on the applicant.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do not agree that: the nature and distinction between aggravated and punitive damages as restated or clarified in </w:t>
      </w:r>
      <w:r>
        <w:rPr>
          <w:rFonts w:ascii="arial" w:eastAsia="arial" w:hAnsi="arial" w:cs="arial"/>
          <w:b/>
          <w:i/>
          <w:color w:val="000000"/>
          <w:sz w:val="20"/>
          <w:lang w:val="en-US" w:eastAsia="en-US" w:bidi="ar-SA"/>
        </w:rPr>
        <w:t>Honda Canada Inc. v. Keays</w:t>
      </w:r>
      <w:r>
        <w:rPr>
          <w:rFonts w:ascii="arial" w:eastAsia="arial" w:hAnsi="arial" w:cs="arial"/>
          <w:color w:val="000000"/>
          <w:sz w:val="20"/>
          <w:lang w:val="en-US" w:eastAsia="en-US" w:bidi="ar-SA"/>
        </w:rPr>
        <w:t xml:space="preserve">; the concept of mitigation as set out in </w:t>
      </w:r>
      <w:r>
        <w:rPr>
          <w:rFonts w:ascii="arial" w:eastAsia="arial" w:hAnsi="arial" w:cs="arial"/>
          <w:b/>
          <w:i/>
          <w:color w:val="000000"/>
          <w:sz w:val="20"/>
          <w:lang w:val="en-US" w:eastAsia="en-US" w:bidi="ar-SA"/>
        </w:rPr>
        <w:t>Evans v. Teamsters Local Union No. 31</w:t>
      </w:r>
      <w:r>
        <w:rPr>
          <w:rFonts w:ascii="arial" w:eastAsia="arial" w:hAnsi="arial" w:cs="arial"/>
          <w:color w:val="000000"/>
          <w:sz w:val="20"/>
          <w:lang w:val="en-US" w:eastAsia="en-US" w:bidi="ar-SA"/>
        </w:rPr>
        <w:t>; or the facts and circumstances regarding the plaintiff's claims to the Human Rights Tribunal and Employment Standards Board will be too intricate or complex for a jury. The breaches, in any event, are no longer part of the claim. Further, I do not find that the internal documentation issue so intricate or complex for a jury to absorb in the making of a determination.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intricacy or complexity, in my view, is no greater than the intricate and complex issues that juries commonly have placed before them in personal injury cases, which include causation, standards of care,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mitigation, and future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difference in this case, as I see it, is that such personal injury cases are much more common, than cases such as in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Some of the remaining questions are questions of law and will be matters to be dealt with by the presiding judge, and will be reflected in the charge to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 the defendant's application is denied on the bases that actions in defamation are expressly not subject to Rule 39(27)(a), and further the issues are not so intricate and complex to deprive the plaintiff of having her case decided by a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concludes my ruling.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OVERHOLT:</w:t>
      </w:r>
      <w:r>
        <w:rPr>
          <w:rFonts w:ascii="arial" w:eastAsia="arial" w:hAnsi="arial" w:cs="arial"/>
          <w:color w:val="000000"/>
          <w:sz w:val="20"/>
          <w:lang w:val="en-US" w:eastAsia="en-US" w:bidi="ar-SA"/>
        </w:rPr>
        <w:t xml:space="preserve"> Yes, we're here. We're here, My Lord. I have no submissions, My Lord.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MACKOFF:</w:t>
      </w:r>
      <w:r>
        <w:rPr>
          <w:rFonts w:ascii="arial" w:eastAsia="arial" w:hAnsi="arial" w:cs="arial"/>
          <w:color w:val="000000"/>
          <w:sz w:val="20"/>
          <w:lang w:val="en-US" w:eastAsia="en-US" w:bidi="ar-SA"/>
        </w:rPr>
        <w:t xml:space="preserve"> I think the Rules govern costs, so that's satisfactory to me,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All right. So I guess that concludes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OVERHOLT:</w:t>
      </w:r>
      <w:r>
        <w:rPr>
          <w:rFonts w:ascii="arial" w:eastAsia="arial" w:hAnsi="arial" w:cs="arial"/>
          <w:color w:val="000000"/>
          <w:sz w:val="20"/>
          <w:lang w:val="en-US" w:eastAsia="en-US" w:bidi="ar-SA"/>
        </w:rPr>
        <w:t xml:space="preserve">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MACKOFF:</w:t>
      </w:r>
      <w:r>
        <w:rPr>
          <w:rFonts w:ascii="arial" w:eastAsia="arial" w:hAnsi="arial" w:cs="arial"/>
          <w:color w:val="000000"/>
          <w:sz w:val="20"/>
          <w:lang w:val="en-US" w:eastAsia="en-US" w:bidi="ar-SA"/>
        </w:rPr>
        <w:t xml:space="preserve"> Thank you, My Lord.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D.M. MASUHARA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Deiana v. Fairfield Minerals Ltd., [2000] B.C.J. No. 1449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22 - 26 and December 8 - 10,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C975641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1260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Salvatore Deiana, plaintiff, and Fairfield Minerals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7"/>
      <w:bookmarkEnd w:id="102"/>
      <w:r>
        <w:rPr>
          <w:rFonts w:ascii="arial" w:eastAsia="arial" w:hAnsi="arial" w:cs="arial"/>
          <w:b/>
          <w:color w:val="000000"/>
          <w:sz w:val="20"/>
          <w:lang w:val="en-US" w:eastAsia="en-US" w:bidi="ar-SA"/>
        </w:rPr>
        <w:t>Fraud and misrepresentation — Misrepresentation — Representations, particular statements — Opinions and estimates.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6"/>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Deiana against Fairfield Mineral for damages based on alleged inducements to invest and misrepresentations made on behalf of Fairfield. Deiana was a dockworker. Between 1992 and 1995 he purchased shares in Fairfield, a company which engaged in mining exploration. Deiana claimed that he was induced to invest in Fairfield on the faith of certain representations made by Fairfield or its representatives, which they knew to be false or which they made recklessly or carelessly. Deiana claimed that Fairfield advertised that it was mining for gold and had significant deposits which would be increased by more exploration. Deiana claimed that Fairfield improperly failed to disclose information arising from its underground testing and failed to disclose unpromising drill results. Deiana sold his shares at a loss of $40,931.21.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5"/>
            <w:bookmarkEnd w:id="10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Fairfield never made the specific representations alleged by Deiana to the effect that it had reserves of 184,000 to 220,000 ounces of gold. The descriptions were always qualified as drill indicated or indicated reserves. The definition of reserve contained in the Fairfield annual reports implied no representation as to mineability. There was no evidence that Fairfield intentionally, recklessly or carelessly misled Deiana. The information that was published accorded with the prevailing state of knowledge at material times, and with accepted practice within the industry. Deiana was entirely responsible for the timing of the disposition of his shares. There was no evidence of fraud made out against Fairfield.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17"/>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Salvatore Deiana, plaintiff. P. Formby, for the plaintiff. B. Toy and L. Martz,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7"/>
      <w:bookmarkEnd w:id="106"/>
      <w:r>
        <w:pict>
          <v:line id="_x0000_s1097"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McEWAN J."/>
            <w:bookmarkEnd w:id="107"/>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dockworker. He lives in Vancouver. Between 1992 and 1995 he purchased shares in the defendant, Fairfield Minerals Ltd., a company which engaged in mining exploration. Beginning in 1989 Fairfield explored and developed a gold property near Merritt, British Columbia, which it referred to as the "Siwash"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Fairfield is incorporated in British Columbia and has an office at 1300 - 777 Dunsmuir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he was induced to invest in Fairfield on the faith of certain representations made by the defendant or its representatives, which they knew to be false or which they made recklessly or carelessly. These representations are outlined in the Statement of Claim as follows: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Fairfield owned a mineral property (the "Elk Property") having reserves of gold of 220,000 ounces, contained in the 1991 Annual Report;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February, 1992 publication advising that Fairfield had reserves of gold amounting to 219,000 ounces;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14, 1992 news release announcing reserves of 220,000 ounces of gold;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31, 1993 news release advising that Fairfield had 215,000 ounces of gold which may be significantly increased by further exploration;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30, 1993 news release in which Fairfield says it has a deposit of 215,000 ounces of gold which can be increased by more exploration;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6, 1994 news release announcing a total reserve of 215,000 ounces which may be increased;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1995 news release in which Fairfield announces reserves of 184,000 ounces of gold and further announced that results showed an additional reserve base not previously identified;"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Specific portions of the documents identified in paragraphs a) to g) of the Statement of Claim, including the representations, are as follows: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"Diamond drilling increases gold reserves by 45 percent on Elk property to an indicated 220,000 ounces."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 Annual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drill indicated reserve has been calculated for the Siwash North Deposit using a cutoff grade of 10 gm/tonne over a 2 metre true width.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Mother Shoot comprises 45% of the total contained gold, with 3 million grams or 96,000 ounces, at an exceptional grade of 30 gm/tonne. The total calculated reserve for Siwash North is 307,400 tonnes grading 22 gm/tonne, which contains 6.8 million grams, or 219,000 ounces, of gold. The silver content is approximately equal to the gold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1992 Release]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Siwash North Gold Deposit on the Elk property, has current drill indicated reserves of 220,000 ounces 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14, 1992 Release]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revised drill indicated reserve, based on more realistic open pit and underground mining widths of 1.3 to 2.6 feet with a 0.60 ounce per ton cut-off grade, is 135,000 tons averaging 1.59 ounces gold per ton. This represents 215,000 ounces of gold which may be significantly increased by further exploration. This reserve compares with 1991 published figures of 220,000 ounces gold contained in 340,000 tons averaging 0.65 ounce per ton based on a very conservative 6.6 foot mining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31, 1993 Release]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revised drill-indicated reserve was recently published, based on more realistic open-pit and underground mining widths of 1.3 to 2.6 ft. (with a 0.6 oz. cutoff). That revised estimate is 135,000 tons averaging 1.59 oz. per ton.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represents 215,000 oz. gold which can be increased by more exploration." Stollery said, adding that a drill hole returned 11.61 oz. gold over a width of 2.9 ft. 835 ft. downdip in the main shoot."</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[Northern Miner August 30, 1993]</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mid-1992, the Siwash Mine has produced over 50,000 ounces of gold from ore averaging 2.79 ounces per ton. This production exceeded drill indicated estimates by a factor of two. Accordingly, the original indicated total reserve of 215,000 ounces may be substantially increased as detailed surface and underground drilling progress. The deposit also remains open for expansion, along strike and at depth."</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[December 6, 1994 "Report to Shareholders - Third Quarter 1994"]</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results have been received from 40 holes of the planned 25,000 ft., 200 hole underground program designed to delineate gold-bearing ore shoots previously indicated by wide-spaced surface drilling. Holes are being drilled on a 33 ft. by 33 ft. (10m x 10m) pattern to 650 ft. down-dip from the open pit. The pit has produced 47,500 ounces gold since 1992 at an average grade of 2.92 ounces per ton over a mining width of 1.8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29, 1995 News Release]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should be noted that the representation alleged in paragraph 5(e) was a quote in the Northern Miner newspaper attributed to John Stollery, the president of the defendant company at the time: it was not a document emanating from the company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not specifically pleaded, the plaintiff also alleged a number of further representations in a Reply to Demand for Particulars. The further representations were enumerated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18, 1990 news release advising that Fairfield would produce 40,000 ounces for the next five years.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19, 1991 news release indicating reserves of 220,000 ounces of gold and 150,000 ounces of silver.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1991 Annual Report stating that Fairfield has a reserve inventory of 340,000 tons grading 0.647 ounces of gold.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3, 1992 news release claiming 220,000 ounces of gold.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1992 Annual Report advising that Fairfield has 220,000 ounces of gold.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31, 1993 news release representing that Fairfield has 215,000 ounces of gold which may be significantly increased by further exploration.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18, 1993 representation by John Stollery to the George Cross News Letter that Fairfield has reserves of 215,000 ounces of gold and that the Siwash North deposit could become one of the highest grade gold mines in Canada with an annual production of up to 50,000 ounces of gold.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30, 1993 report by John Stollery to the Northern Miner that Fairfield has 215,000 ounces of gold which can be increased by more exploration.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30, 1994 representation by John Stollery to the Province newspaper that Fairfield has gold reserves of 220,000 ounces that John Stollery believes will increase.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1995 Prospectus for underground mining representing that Fairfield has reserves of 183,600 ounces of gold and a similar quantity of silver and a good potential to significantly increase the reserve by additional drilling.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Stollery's representation at a shareholders meeting held on or about May 18, 1994 wherein John Stollery represents to the shareholders that "our group is more capable of doing what we are doing than anybody I have seen in the industry at this point in time." John Stollery also represented at the same meeting that "we are attached to this thing...very closely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also alleged at trial, although he did not plead, that the defendant improperly failed to disclose information arising from its underground testing and failed to disclose unpromising drill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consequence of these alleged misrepresentations the plaintiff claims he purchased shares in the company. In paragraph 9 of the Statement of Claim he pleads that his "investment was valueless as a result of the misrepresentations"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the evidence was that between February 11, 1992 and July 24, 1995 Mr. Deiana bought 52,000 shares in Fairfield at prices ranging from 91 cents to $4.25, for a total cost of $97,264.14. He borrowed money to purchase some of the shares and calculated his interest on the amounts borrowed at $3,326.67. Mr. Deiana's total outlay was therefore $100,990.78.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Deiana began to lose confidence in this investment in 1997. Between September of 1997 and March of 1998 he disposed of his shares for prices ranging from 90 cents to $1.55 per share. He realized $56,332.50 on these sales, a loss of $40,931.21, without the interest claim, and $44,258.28 if it is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elements of a claim for negligent representation are: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 representor and the representee;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which is untrue, inaccurate, or misleading;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representor in making the representation;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representation by the representee;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suffered by the representee as a result of his or her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Queen v. Cognos </w:t>
      </w:r>
      <w:hyperlink r:id="rId408"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at 643.]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elements of a claim for fraudulent misrepresentation are: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with the knowledge that it is false, or recklessly, without caring whether it is true or false;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effect inducing the representee to enter into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[See:</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Derry v. Peek (1889), 14 A.C. 337 (H.L.)]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issue with respect to "duty of care". Fairfield concedes that it owed a duty of care to its shareholders, including the plaintiff, respecting statements it published. The defendant denies that any of the representations it made were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heart of the plaintiff's case is the allegation that he was induced to invest in Fairfield by representations that the property had "reserves" estimated at various times as between 184,000 and 220,000 ounces of gold. The plaintiff pleads the term "reserve" without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Those were not precisely the representations made by Fairfield, however. As the excerpts from the publications reproduced in paragraph [6] above show, the terms it consistently used were "indicated" or "drill indicated"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Jeff Rowe, the chief geologist for Fairfield testified that the term "drill indicated reserves" implied no assessment as to mineability. He said the layman's guide "Mining Explained: A guide to prospecting and mining", published by the Northern Miner provided an accurate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"Drill-indicated reserves - The size and quality of a potential orebody as suggested by widely space drill holes; more work is required before reserves can be classified as probable or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Fairfield's 1992 and 1993 Annual Reports moreover, include the following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"Reserve (indicated): A reserve for which tonnage and grade are computed partly from specific measurements, samples or production data and partly from projection for a reasonable distance on geological evidence; and for which the sites available for inspection, measurement and sampling are too widely spaced to outline the material completely or to establish its grade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that in the context of this case "reserves" are the same thing as "ore". The argument goes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Reserve (indicated) in Fairfield's Annual Report of 1992 [see paragraph 17] is virtually the same as that for "probable ore" or "indicated ore" found in "National Policy No. 2-A - Guide for Engineers, Geologists and Prospectors Submitting Reports on Mining Prospect to Canadian Provincial Securities Administrators"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relevant definitions in National Policy No. 2-A are:</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"Ore" means a natural aggregate of one or more minerals which, at a specified time and place, may be mined and sold at a profit, or from which some part may be profitably separated;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"Proven Ore" or "measured ore" means that material for which tonnage is computed from dimensions revealed in outcrops or trenches or underground workings or drill holes and for which the grade is computed from the results of adequate sampling, and for which the sites for inspection, sampling and measurement are so spaced and the geological character so well defined that the size, shape and mineral content are established, and for which the computed tonnage and grade are judged to be accurate within limits which shall be stated and for which it shall be stated whether the tonnage and grade of proven ore or measured ore are 'in situ' or extractable, with dilution factors shown, and reasons for the use of these dilution factors clearly explained;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ore" or "indicated ore" means that material for which tonnage and grade are computed partly from specific measurements, samples or production data, and partly from projection for a reasonable distance on geological evidence, and for which the sites available for inspection, measurement and sampling are too widely or otherwise inappropriately spaced to outline the material completely or to establish its grade throughout;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ore" or "inferred ore" means that material for which quantitative estimates are based largely on broad knowledge of the geological character of the deposit and for which there are few, if any, samples or measurements, and for which the estimates are based on an assumed continuity or repetition for which there are reasonable geological indications, which indications may include comparison with deposits of similar type, and bodies that are completely concealed may be included if there is specific evidence of their presence, and</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estimates of "possible" ore or "inferred ore" shall include a statement of conditions within which the inferred material occurs, and</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arithmetical average of any amount of sampling is not necessarily representative unless the distribution of values and number of samples are properly taken into account, a statement of how samples were taken shall be given, and where mineralization is erratic, the method of treating the erratic values shall be given in the narrative of the report,</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or inferred reserves must not be added to other categories of reserves and their inclusion is not acceptable in any economic analysis of feasibility study of 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summarized his 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Fairfield's definition for "indicated reserve" is in all relevant aspects identical to the National Policy 2-A definition "probable ore" (above). This means by virtue of the most elementary logic, not only that Fairfield in all probability copied the National Policy 2-A definition for its definition of "indicated reserve", but also that there can be no objection by the defendant that "indicated reserve" not only means "probable ore" but also "probable reserve". [If a=b and b=c, then a=c.]</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[from the plaintiff's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Fairfield never used the term "ore" in any relevant communication to describe what was in the ground. I think the plaintiff's reasoning is fallacious in equating "reserve" with the concept of a "reserve of ore". It is clear from the documents in evidence that Fairfield was projecting, from widely spaced drill holes, an amount of gold in the ground. Whether inferences drawn from such exploration would prove to be accurate always remained to be seen, as the qualifications in the definition of "Reserve (indicated)" clearly warned.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question that a very significant factor in the development of this property was the presence of economically mineable gold near the surface in one area of the property. Production from this area in 1992 and 1994 financed development and test work in 1993, 1994 and 1995. The amount of gold per ton mined gave rise to some optimism that the amount of indicated reserves might actually be higher than the 215,000 ounce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property was explored through 1995 in more detail and Fairfield had James McCormack, a professional engineer, prepare a Summary of Ore Reserves and Project Economics. The report is dated December 3, 1995. Mr. McCormack summarized the more detailed findings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1995, ore reserves were calculated using a polygonal weighting method based largely on results from 100 diamond drill holes spaced roughly on a 50 metre by 50 metre pattern over the Siwash North Deposit. The use of the wide-spaced drilling pattern for reserve calculations appeared justified at the time based on the experience gained in mining the open pit. In 1994 and 1995 a drilling program from surface and underground effectively tested the Mother Shoot area on a 10 metre by 10 metre pattern from surface at 1630 metres to about the 1500 metre level. Based on the close-spaced drilling it became apparent that the size of the ore shots was much smaller than had previously been interpreted and new reserves have been calculated using stricter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new reserve numbers, four production scenarios have been developed to determine the economic potential of the reserves and to provide a guide for future development at the Siwash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four production scenarios outlined the economics of various mining and exploration combinations. The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concern about ground conditions and vein continuity, particularly in the flat lying reserve blocks, committing to an underground production program is considered risky in light of the very limited probable reserve base. The reward-risk factor would be greatly enhanced if the Probable reserve base were increased and the concerns over mineability of the flat lying reserves addressed.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area most likely to provide additional reserves is the Deep B block. The mineability issue of the flat veins can only be answered by development on the veins in each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Excluding 51,460 ounces of gold already produced, Mr. McCormack interpreted the drill results as outlining "probable" reserves of 39,000 ounces and "possible" reserves of 67,900 ounces, or a total of 158,360 ounces.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receipt of this report Fairfield concluded that further "probable" reserves should be identified before there was a commitment to underground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submits that the difference between Mr. McCormack's conclusions after the 1995 drilling program and previous estimates of reserves shows that Fairfield was negligent in the use of the term "indicated reserve" when it had only "possible reserves". He suggests that Fairfield simply "became too bullish" based on the results obtained in the open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is uncontradicted however that the positive experience in the open pit, which far exceeded drill indicated expectations, did not cause Fairfield to project its reserve calculations for the property upward, although it did create some optimism that mining might be possible in the short-term.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company had undertaken some planning toward mining and milling at the same time it carried out drilling programs to better define the reserve. The defendant suggests that a Prospectus put out in February 1995, when contrasted with Mr. McCormack's findings, show that the difference in the reserve estimates contained in the prospectus and those found by Mr. McCormack are in areas where there was more drilling. Mr. Rowe agreed with this in his evidence. The Prospectus described the deposit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Siwash North Gold Deposit, excluding the mined out open pit area, has an indicated reserve of 172,224 tons grading 1.066 oz/ton Au containing approximately 183,600 ounces of gold and a similar quantity of silver. This reserve is based predominantly on the results of 100 diamond drill holes at 50 by 50 metre spacings. Only vein intercepts grading greater than 0.30 oz/ton (10 gm/tonne) Au over widths of 0.6 to 0.8m were included in the calculations (Table 3-1). A large program of surface and under-ground diamond drilling is planned for 1995 to confirm and better define the existing reserve. There is good potential to significantly increase this reserve by additional drilling down dip and along strike on the vein system. The bulk of these reserves will require mining by underground development and a large portion will be accessible from extensions to the existing decline in the Mother Shoot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submission is that despite the qualified language of this Prospectus, the use of "indicated" reserves by Fairfield had the connotation of "probable" reserves, while it became clear from Mr. McCormack's report that the description should never have risen above "possible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reviewed all of the representations made by the Company, I do not think these arguments are persuasive. It would be clear to any reasonable person that the representations as to reserves are projections from widely spaced drill holes. It was clear that further definition was required to "confirm" what was in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McCormack report was an economic classification of reserves after the more closely spaced drilling of 1995 was done. This was a logical next step given the state of Fairfield's information up to that time. His report does not suggest there is necessarily less gold in the ground: it simply recommends that more exploration be done to establish more reserves before mining is undertaken. In 1996 there was drilling which, in fact, increased the estimated reserves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evidence that Fairfield's description of the drill indicated reserve estimate departed from reasonable practice or was unwarranted based on the geological evidence available. It was clear in its own materials that the term "drill indicated reserve" was not a description of a proven or mineable resource. The only evidence from an independent source on this subject was a Review prepared by Roscoe Postle &amp; Associates November 30, 1995, which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"Fairfield has collected an extensive database for the Siwash North gold deposit, including results of surface trenching, surface and underground diamond drilling, reverse circulation drilling, open pit sampling, underground exploration and test mining, and metallurgical testing. RPA's review of the database indicates that this is acceptable for reserve estimation, and that Fairfield's work is professional and in keeping with industry standards." (Exhibit 11, Tab 45, p. 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report commented on the fact that the more-narrowly spaced 1995 drilling showed that the mineralization was less extensive than the earlier projections had suggested. The report confirmed, however, that the experience of the open pit was a legitimate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known extent of the Mother Shoot in the open pit (200 m by 70 m), the projection of reserves 25m from drill holes appeared to be justified at the time of the February 1995 estimate [183,600 ounces]."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Taken all in all, the evidence is that until the actual narrow spaced drilling results were known, the projections Fairfield published were reasonable. There is nothing before the court that suggests that the actual results of the widely spaced drilling program should have been interpreted differently by Fairfield before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issue of Fairfield's published representations, the evidence falls short of establishing either that the reserve estimates were unreasonable or untrue or misleading when they were made, or that they amounted to representations that were freighted with the implications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Particulars the plaintiff included an allegation that Mr. Stollery, the President of Fairfield, made certain comments on May 18, 1994 suggesting that the people working for Fairfield were more capable than others in the industry and that they were "attached"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These remarks were made in casual conversation at the 1994 Annual meeting. The plaintiff submits that, taken in context, these comments added further confirmation that there were reserves of 184,000 ounces of gold and were calculated to induce the plaintiff to buy more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think the conversation, which was taped by a friend of the Deiana's, implies anything about specific amounts of reserves. It does, informally, reflect the optimism that drill indicated results had instilled in Fairfield's executive. The plaintiff contrasted the comment about Mr. Stollery's "attachment" to the property to the fact that he disposed of large blocks of shares in 1994. Mr. Stollery however gave uncontradicted evidence that he subsequently left the company for health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Rowe was asked about his share transactions. He explained that he exercised a number of options to buy more shares in the company. At trial he said he still held $48,000 worth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James Poliquin, the current president of Fairfield, testified that he became an officer of the company in June of 1996. He purchased 700,000 shares at $2.00 per share. They were trading at the time of the trial at 36-40 cents per share, which Mr. Poliquin suggested was about half the value of the cash in the company. Mr. Poliquin said that he still thinks the property has a great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submission the plaintiff invited an inference from the disposition of shares by Mr. Stollery, Kenneth Hannah, a former director, and Mr. Rowe, that they were either acting on information not available to members of the public or that the information released to the public was misleading in order to keep the share price high until they got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no suggestion however that there was any failure to properly disclose these transactions as required by law, and each of the witnesses explained the timing of his transactions. Mr. Rowe, of course, retains a number of shares nearly equal to Mr. Deiana's maximum holding.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quite impossible on the material to draw any inference that the manipulation of information influenced these dispositions of shares. Moreover, it is not possible to infer from the evidence that prior to Mr. McCormack's report there were factors known to Fairfield's "insiders" that either signalled that the property was not a viable mining prospect or that should have been disclosed to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regard the plaintiff made a great deal of allegedly poor ground conditions encountered in the underground test mining that was carried out under the supervision of Brad Thiele, a mining engineer. The evidence is however, that ground alteration was reported as it was known, and taken into account in the calculation of ore dilution. As early as February, 1992 Fairfield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"Alteration envelopes 1/2 to 1 metre wide surrounding the quartz veins generally comprise clay minerals, quartz, sericite and pyrite."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August 30, 1993 Northern Miner article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"Ground conditions are generally good, particularly in the granodiorite. However, support in the form of bolting and shotecreting (sic) was required in areas where dyking and alteration were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Both Mr. Rowe and Mr. Stollery testified that they had not reached the conclusion that mining was uneconomic as a result of the underground experiences. Although Mr. McCormack suggested caution, his report did not in fact demonstrate that mining was uneconomic. Beyond that, the evidence of Mr. Poliquin was that he felt mining could be carried out more cheaply than Mr. McCormack suggested and that the major factor inhibiting mining was the price of gold, not ground conditions or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has simply not demonstrated that poor ground conditions, in isolation from a complex matrix of factors including price and the ongoing exploration of the gold deposit, rendered the deposit uneconomical to mine to the knowledge of Fairfield and its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failed to establish that unpromising drill information was withheld by Fairfield or misrepresented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Fairfield never made the specific representations alleged in paragraph 5 of the Statement of Claim to the effect that it had "reserves" of 184,000 to 220,000 ounces of gold.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descriptions were always qualified as "drill indicated" or "indicated" reserves.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"reserve (indicated)" contained in the Fairfield annual reports implied no representation as to mineability.</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submission that the use of "indicated" in context meant "proven" or "Probable" is not tenable on the evidence.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Fairfield intentionally or recklessly or carelessly misled the plaintiff. The information that was published accorded with the prevailing state of knowledge at material times and with accepted practice within the industry.</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unpromising drill results or poor ground conditions were kept from members of the public or that Fairfield insiders manipulated information to their own benefit.</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Fairfield was negligent in the manner in which it explored and developed the property such that it should have arrived at different conclusions that it did or sooner than it did.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he relied on Fairfield's estimates of "drill indicated reserves" as if they were probable or proven reserves is unreasonable.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entirely responsible for the timing of the disposition of his shares. He had some opportunity until at least August of 1996 to recoup his investment. His losses were not in any case an inevitable consequence of the fact that the property did not go into production, but are a result of his own decision to dispose of the shares when and how he did.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fraud made out against Fairfield.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claim accordingly fails. It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Derosa v. Horning, [2001] B.C.J. No. 2614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Hunter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 and October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27485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R.P.R. (3d)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Stella Derosa, plaintiff, and Mary Horning also known as Mary Skrypnyk, Bill Sutherland carrying on business as "the Wood Shoppe Home Inspection Service" and the Wood Shoppe Home Inspection Service, the Owners Strata Plan No. KAS1430, CMI Management Limited carrying on business as "Sheridan Realty", Sutton Group - Westwin Realty Ltd., and Suzanne Goodell,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8"/>
      <w:bookmarkEnd w:id="108"/>
      <w:r>
        <w:rPr>
          <w:rFonts w:ascii="arial" w:eastAsia="arial" w:hAnsi="arial" w:cs="arial"/>
          <w:b/>
          <w:color w:val="000000"/>
          <w:sz w:val="20"/>
          <w:lang w:val="en-US" w:eastAsia="en-US" w:bidi="ar-SA"/>
        </w:rPr>
        <w:t>Practice — Judgments and orders — Summary judgments — To dismiss action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7"/>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judgment to dismiss the claim of the plaintiff, Derosa. Derosa purchased a home from the defendant, Horning. Derosa claimed that Horning misrepresented and failed to disclose water leakage and the presence of mould in the basement. Derosa had a severe allergy to mould and claimed to be suffering from numerous medical problems. She also sued the home inspector and her real estate agent. The only independent evidence of mould in the home was in a report prepared two years after purchase of the home. This report found mould in house plants brought into the home by Derosa.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6"/>
            <w:bookmarkEnd w:id="11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Derosa had not proved on a balance of probabilities that there was mould in the home other than in the plants brought into the home by her. Therefore, she was unable to establish any nexus between mould in the home and her medical complaints.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6"/>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0"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8"/>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Drayton, for the plaintiff. D.E. McCabe, for the defendant, Mary Horning. J. Vamplew, for the defendants, Bill Sutherland c.o.b. as the Wood Shoppe Home Inspection Service and the Wood Shoppe Home Inspection Service. A. Rhodes, for the defendants, Sutton Group - Westwin Realty Ltd. and Suzanne Goodell. J. Hodes, for the defendants, the Owners of Strata Plan No. KAS1430 and CMI Management Limited c.o.b. as Sheridan Realty.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8"/>
      <w:bookmarkEnd w:id="113"/>
      <w:r>
        <w:pict>
          <v:line id="_x0000_s1102"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HUNTER J."/>
            <w:bookmarkEnd w:id="114"/>
            <w:r>
              <w:rPr>
                <w:rFonts w:ascii="arial" w:eastAsia="arial" w:hAnsi="arial" w:cs="arial"/>
                <w:b/>
                <w:color w:val="000000"/>
                <w:sz w:val="30"/>
                <w:lang w:val="en-US" w:eastAsia="en-US" w:bidi="ar-SA"/>
              </w:rPr>
              <w:t>HUNTER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All defendants apply under Rule 18A for an order dismissing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Mary Horning ("Mrs. Horning") died on December 28, 2000. The executrix of her estate is her daughter Helen Kashluba. Mrs. Horning was the former owner of a condominium, being unit 6 - 1876 Tranquille Road, part of Strata Lot KAS 1430, a strata complex known as Kirman Mews located on the North Shore in the City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Kirman Mews consists of two buildings each containing ground floor units which have basements together with upper floor units which are single level apartments. Unit 6 ("the property") is a ground floor unit consisting of a main living area on the ground floor, and an unfinished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Horning moved into this property in or around January 1995. On March 14, 1997, she listed the property for sale and in April of that year sold it to the plaintiff Stella Derosa ("Ms. Derosa"). At the time of sale Mrs. Horning was 79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Derosa filed her statement of claim on July 23, 1999. She sues the Horning Estate alleging breach of contract,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claiming that Mrs. Horning failed to disclose a water leakage into the basement of Unit 6 and the presence of mould in the basement. Ms. Derosa claims that on viewing the property before purchase she advised Mrs. Horning and the defendant realtor, Ms. Goodell, that she had asthma, respiratory sensitivity, and a severe allergy to mould and moisture related toxins.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Derosa also claims that Mrs. Horning failed to inform her of the presence of liquid containing feces and noxious gases on the property and of the high level of noise heard inside this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Derosa claims that Mrs. Horning is in breach of contract or in breach of warranty in that Mrs. Horning stated in the Property Disclosure Statement that she was not aware of any moisture or water problems in the basement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Derosa has a history of suffering from a number of allergies, asthma and mould problems over 25 years. Her allergies to mould have resulted in time off from work from time to time since 1972. In the late 1970s and early 1980s she began missing work because of allergies to paint fumes and because of asthma attacks. In the early 1980s she began missing work because of allergies to new file folders at her place of work. In the early 1990s she began missing work caused by allergies to mould.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Derosa inspected the property on four occasions, all before April 15, 1997, the date of closing. Those inspections occurred on or about March 15th, on or about March 16th, on March 19th, and on another occasion shortly before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Derosa decided to contract for a home inspection prior to committing to purchase the property and retained the services of the defendant Bill Sutherland, carrying on business as "The Wood Shop Home Inspection Service" ("Sutherland"). Mr. Sutherland inspected the property on his own and later on March 19, 1997 (but before preparing his report), went through the property with Ms. Derosa, including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Derosa claims that Sutherland was negligent in failing to adequately conduct a home inspection of the property, in particular that he failed to notify Ms. Derosa of cracks in the basement and foundation and of the presence of water leaks and mould and moisture in the basement area and of the presence of liquid containing feces and noxious gases, and that he failed to tell Ms. Derosa of the ability of liquid containing feces and noxious gas to enter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Derosa says she saw a "black spot" on the concrete basement floor when she went through the basement with Mr. Sutherland and that she asked Mr. Sutherland about it and told him, "If that is mould, I cannot live here." Mr. Sutherland had no recollection of a black spot or patch on the basement floor nor of Ms. Derosa questioning him about that nor of her making this comment to him. Ms. Derosa said that Mr. Sutherland attended again at the condominium although she could not recall the date. Mr. Sutherland said this was on January 12, 1998. She said he told her then, as a result of using a moisture meter on that occasion, that there was moisture in the walls of the basement. He denies this, saying as well that she was not in the basement when he did this testing. He said he found no moisture in the walls and denies telling her that. He says he told her that the moisture meter indicated there was no moisture. He also said he saw no black patches on the basement floor on January 12, 1998. Ms. Derosa relies on photographs which she says were taken in November 1997 and later in March 1998 and perhaps at other times, and which she says show spots or stains on the basement floor. This conflict in evidence between Ms. Derosa and Mr. Sutherland might in other circumstances create problems with regard to resolution of the issues on an 18A application. I am satisfied, however, that this conflict need not be resolved on this application because of my conclusion that Ms. Derosa has not proved, on a balance of probabilities, that there was mould in the condominium other than in the soil in the plants located on the main floor. Those plants were put there by Ms. Derosa.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Derosa claims that water leaked into the basement of the property on other occasions after she purchased, and that mould grew from the moisture causing her health problems. She claims that "The Owners Strata Plan No. KAS 1430" ("the Owners") and the Owner's agent, CMI Management Limited, carrying on business as Sheridan Realty ("Sheridan") were negligent in carrying out their duty to Ms. Derosa and thus breached their duty of care causing her to suffer damage. Sheridan's duties as agents for the owners included the day-to-day operation of Kirman Mews, building maintenance and bylaw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first such incident claimed by Ms. Derosa to have occurred was in May 1997, one month after Ms. Derosa took possession of the property. The storm sewer lines backed up, causing water to enter some of the basements of the ground floor units, including the basement of Unit 6, particularly the area at the foot of the basement stairs. Sheridan arranged for the flushing of the storm sewers to correct the water backup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no further contact from Ms. Derosa to Sheridan regarding water egress until October 24, 1997, when Ms. Derosa reported a leak in the basement of Unit 6 along the back wall of the basement. On the same day Sheridan's maintenance person, Mr. Moulds, inspected Unit 6 and found no water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6th Ms. Derosa again contacted Sheridan to report a water leak in her basement. On November 7th Mona and Chris Murray, the principals of Sheridan, inspected Ms. Derosa's basement. They found numerous plastic flowers, ribbons, craft materials, styrofoam and other materials in the basement, as well as more than 50 live potted plants on the main floor which they said covered "what seemed to be every available surface". There was some evidence that Ms. Derosa was growing these plants to give to patients at an extended care facility. Ms. Derosa denied having so many plants in this property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only crack observed by the Murrays on November 7th was one small crack on the west wall of the basement which Mona Murray described as a hairline crack. The bylaws of the Strata Corporation provided that Ms. Derosa, as the owner of Unit 6, was responsible for the maintenance of the interior of the unit and that the Strata Corporation was responsible for the exterior portions of the buildings. Even though maintenance and repair of the interior of the unit was Ms. Derosa's responsibility, Sheridan instructed the maintenance person, Mr. Moulds, to repair this crack with a common basement crack sealant, and he did so on November 13th. On the same day, Sheridan advised Ms. Derosa in writing that if she experienced further leaks, she should tell Sheridan, who would then have the crack repaired by excavating outside her unit at the expense of Sheridan's principals, namely the owners under the strata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18th, Ms. Derosa advised Sheridan again that her unit was leaking. On November 21st Mona Murray attended at Unit 6 with a civil engineer and a structural engineer to inspect and assess the cracks in Ms. Derosa's basement. They found a small odorless amount of water on the floor at the bottom of the west wall. They also noted on that date the presence of all of the various materials and house plants which were observed by the Murrays on November 7th in Ms. Derosa's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Meanwhile, on November 18, 1997, unknown to Sheridan, Ms. Derosa obtained the services of Alf's Concrete to excavate outside her unit and repair from the outside. Without Sheridan's knowledge, Alf's Concrete effected the repairs on the foundation outside Unit 6. Sheridan received no further complaints from Ms. Derosa relating to water leakage in her unit and Sheridan therefore invites the court to conclude that thereafter there were no more leaks into her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also an allegation that Ms. Derosa complained on a number of occasions in 1997 and 1998 (after the date of purchase) of noise emanating from units around her unit and evidence of efforts by Sheridan to assess those complaints and communicate Ms. Derosa's concerns to the occupants of those units. Ms. Derosa seeks damages against Sheridan arising out of this noise complaint but I have concluded that she has not made out this claim against Sheridan on any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Derosa claims that she told the defendants Sutton Group - Westwin Realty Ltd. and Suzanne Goodell (who I will refer to collectively as "Goodell") of her allergies, that Goodell represented that there was no mould or moisture on the property, alternately that Goodell knew or ought to have known that moisture and mould were present in the property and that in fact moisture and mould were present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Derosa further claims that Goodell should have known that she would rely on Ms. Goodell's representations that there were no moisture or mould problems on the property thereby inducing her into purchasing the property. As well, Ms. Derosa claims that Ms. Goodell ought to have been aware of the liquid containing feces or noxious gases or the ability of liquid containing feces or noxious gases to enter the property, that Ms. Goodell failed to disclose this to Ms. Derosa and that if she had been told about it, she would not have purchased this property. Ms. Derosa claims that Ms. Goodell represented, on behalf of Mrs. Horning, that very little noise would be heard from inside the property when in fact, Ms. Derosa claims, there were high volumes of noise and that these representations were also relied upon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Rhodes, on behalf of Goodell, submits that Ms. Derosa has not established on a balance of probabilities that the condominium contained mould and says that there is no evidence that liquid containing feces or noxious gases were on the property nor that they had the ability to enter the property or ever entered the property, and that there is no evidence of noise of any consequence and no evidence that Ms. Goodell made any representation with respect to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Derosa claims that she had no knowledge of possible leaks of water into the basement prior to purchase. The defendants claim she did. It is not necessary for me to make a finding on this conflict in view of the conclusion I have reached that Ms. Derosa has failed to prove the presence of mould at the time of sale or thereafter as alleged against Sheridan. However it seems clear, and I have concluded so, that Ms. Derosa had to be aware on March 22, 1997, (before the sale completed) that there was a concern by the strata owners about possible water leaks into the basements because she acknowledges this on the "Contract Amendment Form" which she signed on that date. That amendment form referred to Mrs. Horning having agreed to pay an additional assessment of $300 in accordance with a Special Resolution of the strata owners of that date which addressed the question of the possibility of further water seepage in the basement units. I have concluded that Ms. Derosa must have read this material before signing the "Contract Amendment Form" on March 22, 1997, and thus been aware of the ongoing investigation into the possibility of further water seepage into basement units. This does not of course establish that there was water seepage nor the presence of mould.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Derosa claims that Mrs. Horning was aware of the condition of the property which gives rise to the cause of action, that these were latent defects known to Mrs. Horning at all relevant times which by their nature could not be ascertained by Ms. Derosa, even by inspection of the property before purchase. As I understand the argument put on behalf of Ms. Derosa, she is not alleging a patent defect, nor that Mrs. Horning has misled her by attempting to alleviate her suspicions. In any event, I find no evidence that there was a patent defect nor any evidence that Mrs. Horning did anything inappropriate to mislead Ms. Derosa as to the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law with reference to the obligations of a Vendor with regard to latent defects was summarized by me by reference to other case authority in Eberts v. Aitchison, </w:t>
      </w:r>
      <w:hyperlink r:id="rId416" w:history="1">
        <w:r>
          <w:rPr>
            <w:rFonts w:ascii="arial" w:eastAsia="arial" w:hAnsi="arial" w:cs="arial"/>
            <w:i/>
            <w:color w:val="0077CC"/>
            <w:sz w:val="20"/>
            <w:u w:val="single"/>
            <w:shd w:val="clear" w:color="auto" w:fill="FFFFFF"/>
            <w:lang w:val="en-US" w:eastAsia="en-US" w:bidi="ar-SA"/>
          </w:rPr>
          <w:t>[2000] B.C.J. No. 1501</w:t>
        </w:r>
      </w:hyperlink>
      <w:r>
        <w:rPr>
          <w:rFonts w:ascii="arial" w:eastAsia="arial" w:hAnsi="arial" w:cs="arial"/>
          <w:color w:val="000000"/>
          <w:sz w:val="20"/>
          <w:lang w:val="en-US" w:eastAsia="en-US" w:bidi="ar-SA"/>
        </w:rPr>
        <w:t xml:space="preserve"> (B.C.S.C.)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distinction between patent and latent defects was referred to by Edwards J. in Anderson v. Kibzey, </w:t>
      </w:r>
      <w:hyperlink r:id="rId417" w:history="1">
        <w:r>
          <w:rPr>
            <w:rFonts w:ascii="arial" w:eastAsia="arial" w:hAnsi="arial" w:cs="arial"/>
            <w:i/>
            <w:color w:val="0077CC"/>
            <w:sz w:val="20"/>
            <w:u w:val="single"/>
            <w:shd w:val="clear" w:color="auto" w:fill="FFFFFF"/>
            <w:lang w:val="en-US" w:eastAsia="en-US" w:bidi="ar-SA"/>
          </w:rPr>
          <w:t>[1996] B.C.J. No. 3008</w:t>
        </w:r>
      </w:hyperlink>
      <w:r>
        <w:rPr>
          <w:rFonts w:ascii="arial" w:eastAsia="arial" w:hAnsi="arial" w:cs="arial"/>
          <w:color w:val="000000"/>
          <w:sz w:val="20"/>
          <w:lang w:val="en-US" w:eastAsia="en-US" w:bidi="ar-SA"/>
        </w:rPr>
        <w:t xml:space="preserve"> (8 October 1996) 22662 Kamloops (S.C.B.C.) at p. 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words of Leggett J. in Davis v. Stinka, </w:t>
      </w:r>
      <w:hyperlink r:id="rId418" w:history="1">
        <w:r>
          <w:rPr>
            <w:rFonts w:ascii="arial" w:eastAsia="arial" w:hAnsi="arial" w:cs="arial"/>
            <w:i/>
            <w:color w:val="0077CC"/>
            <w:sz w:val="20"/>
            <w:u w:val="single"/>
            <w:shd w:val="clear" w:color="auto" w:fill="FFFFFF"/>
            <w:lang w:val="en-US" w:eastAsia="en-US" w:bidi="ar-SA"/>
          </w:rPr>
          <w:t>[1995] B.C.J. No. 1256</w:t>
        </w:r>
      </w:hyperlink>
      <w:r>
        <w:rPr>
          <w:rFonts w:ascii="arial" w:eastAsia="arial" w:hAnsi="arial" w:cs="arial"/>
          <w:color w:val="000000"/>
          <w:sz w:val="20"/>
          <w:lang w:val="en-US" w:eastAsia="en-US" w:bidi="ar-SA"/>
        </w:rPr>
        <w:t xml:space="preserve"> (15 May 1995) S1135 Campbell River (S.C.B.C.) at p. 10 are useful.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B.C. Real Estate Law Guide, paragraph 1820 on p. 954, sets forth the general law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law relating to the disclosure of facts by the vendor is still that of caveat emptor - let the purchaser beware. Defects are regarded as being of two kinds - latent or patent. Patent defects are those that can be discovered by inspection on ordinary vigilance on the part of the purchaser and with respect to them the ordinary rule is caveat emptor. Latent defects are those which would not be revealed by any inquiry which a purchaser is in a position to make before entering the contract. The vendor is thus under no obligation to disclose patent defects. It is up to the purchaser to ascertain them either by inspection or inquiry. By the same token the vendor must not act so as to mislead the purchaser or allay his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vendor can be found liable for latent defects if he fraudulently or negligently misrepresents the condition of the property, but where the vendor acts with honest intent, this necessarily negates any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44601 B.C. Ltd. v. Ashcroft (Village), </w:t>
      </w:r>
      <w:hyperlink r:id="rId419"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(B.C.S.C.) Burnyeat J. said at para. 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vendor knows of the latent defect but fails to disclose that latent defect to a prospective purchaser, the vendor may be held liable for fraudulent misrepresentation: Rowley v. Isley, </w:t>
      </w:r>
      <w:hyperlink r:id="rId420" w:history="1">
        <w:r>
          <w:rPr>
            <w:rFonts w:ascii="arial" w:eastAsia="arial" w:hAnsi="arial" w:cs="arial"/>
            <w:i/>
            <w:color w:val="0077CC"/>
            <w:sz w:val="20"/>
            <w:u w:val="single"/>
            <w:shd w:val="clear" w:color="auto" w:fill="FFFFFF"/>
            <w:lang w:val="en-US" w:eastAsia="en-US" w:bidi="ar-SA"/>
          </w:rPr>
          <w:t>[1951] 3 D.L.R. 766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law with regard to negligent misrepresentation, fraudulent misrepresentation, and breach of warranty has been cited by counsel, but in view of my findings of fact, which I will now turn to, it is unnecessary to refer to those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Derosa inspected the property on at least four occasions before closing and before the "subject to" clauses were removed by her, and found no evidence of a water leakage into the basement, nor of mould or liquid containing feces or noxious gases anywhere on the property. She did, however, claim to see a "black spot" to which I have referred. She retained the defendant, Mr. Sutherland, to conduct an examination of the interior of the premises and he found no evidence of these materials. On one occasion he inspected the property with Ms. Derosa.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the real estate agent, Ms. Goodell, attended the property, she also found no evidence of moisture or dampness in the basement. Mrs. Horning's listing agent, Michel Peron, inspected the premises before Ms. Derosa. He found no evidence of water, moisture or moulds, and stated that the inside of the premises did not smell musty. Mrs. Horning's daughter, Mrs. Kashluba, estimated that she was in her mother's basement on at least four occasions during the time that Mrs. Horning resided there and helped her mother move her belongings out of the basement in April 1997. She saw no evidence of water, moisture or mould. Mrs. Horning's son, Don Horning, said that he stored his own belongings in his mother's basement for approximately two years in cardboard boxes and that when he removed them in 1997, there was no damage to the contents nor any mould present in these boxes. He estimated that he was in his mother's basement on at least forty occasions during the time that she resided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Mrs. Kashluba and Don Horning said that they never saw mould or moisture in any part of the premises, nor did they smell any odors of the nature alleged by Ms. Derosa, nor did they ever see any liquid containing feces or smell noxious gases on these premises. They said as well that their mother never spoke to them of the presence of mould or moisture or odours of the nature alleged by Ms. Derosa of liquid containing feces or noxious gases. Ms. Derosa conceded in her examination for discovery that she has never noticed the presence of liquid containing feces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one occasion on November 21, 1997, some months after the purchase was completed, where what was described as a small odorless amount of water was observed by the Murrays, on the floor of the basement at the bottom of the west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to the allegation of excessive noise, I have concluded that Ms. Derosa did not make the absence of excessive noise a condition of purchase, and in any event has not proved the existence of excessive noise on any occasions which she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PHH Environmental Opinion Report Commissioned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report is dated September 22, 1999, and relates to an investigation of the property conducted by this company on August 18, 1999, more than two years after the date of purchase. This document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INTRODUCTION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Scope of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scope of work comprised a visual examination of readily accessible surfaces, as well as collection of air, dust and bulk samples.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METHODOLOGY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visual examination was made of readily accessible surfaces in the basement of the building. In order for mold to amplify in a building there must be a nutrient source and sufficient surface moisture to allow recovery of enzymes exuded to digest the nutrient.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dust sample was collected from the floor, and air samples were collected from the basement, lounge and the ambient outside air using a Reuter Centrifugal Systems Biotest sampler. Prolific mold growth was evident on the soil in plant pots in the lounge and a bulk soil sample was collected.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OBSERVATIONS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De Rosa reported chronic symptoms including sinus problems, catarrh, wheezing and sleep difficulties. These symptoms are amongst those associated with mold exposure, though they are non-specific and may also result from a number of other causes. Ms De Rosa reported that a few hours after leaving the building these symptoms would diminish, and would return almost immediately following re-entry. Ms De Rosa had not occupied the property for a considerable time prior to this investigation.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De Rosa reported that there had been a history of water seepage into the basement of the building. Historic gutter and drainage defects were reported at the rear of the building. At the time of inspection concrete walls and floors in the basement appeared dry, though examination of the upper four feet of wall surface was not possible due to drywall paneling.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some evidence of cracking in the floor, though it was not possible to visually determine whether cracking was surficial or it might allow ingress of groundwater. Some staining was evident on the floor, but insufficient visible mold growth was found in the stained area to allow the collection of a bulk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report of PHH Environmental which is entitled "Mold Investigation" commences with an "Executive Summary". The Executive Summary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results of the investigation, PHH Environmental Limited concludes: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single colony of Aspergillus Versicolor was evident in the basement air sample.</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single colony of Aspergillus Versicolor in the basement air sample without confirmatory visual identification or bulk sampling is inconclusive, but may be indicative of a building amplification site. Further air and surface sampling would be required to determine whether the presence of this species was a result of amplification or was merely coincidental.</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Trichoderma hamatum was recovered from the soil sample collected in the lounge. Trichoderma species are commonly found in soil and produce antibiotics that are toxic to humans. This species was not evident in the air sample in the lounge.</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Fungal growth is common in soil in plant pots in buildings, but should not be confused with fungal amplification in building materials. If mycotoxic fungi present in soil become airborne they can produce adverse health effects, but the problem may be simply remedied by the removal or re-potting of the plant.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of this investigation reflect conditions at the time of the investigation. They do not necessarily reflect conditions that occurred throughout the period of Ms De Rosa's occupation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on the conclusions and observations, PHH Environmental Limited recommends: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air and surface sampling should be carried out to determine whether the presence of Aspergillus Versicolor was a result of amplification or was merely coincidental.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Care should be taken to ensure that soil fungi are not allowed to amplify to the extent that they become airborne in significant numbers. For the exquisitely sensitive individual even low levels of airborne fungal spores can cause adverse reactions, in which case all soil should be removed from the indoor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report refers to PHH having taken samples from soil present in "the lounge". I understand "the lounge" to be part of the main floor of Ms. Derosa's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report of PHH is not helpful to Ms. Derosa. This report is inconclusive even as to circumstances existing on August 18, 1999, and tells us nothing of the condition of this property in the months of March and April 1997, over two years before. There is as well some evidence that her health complaints may very well be the result of the presence of mould in potted plants observed in the premises in early November 1997 by Ms. Murray, a principal of Sheridan. My understanding is that the PHH soil samples were taken from plants on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Arkinstall provided an opinion report to plaintiff's counsel dated November 16, 2000. Dr. Arkinstall is a consulting physician in Respiratory Medicine and Allergy and has been engaged in that practice in Kelowna since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saw Ms. Derosa on January 25, 1999, and on February 17, in March, on June 9, on September 13, and on November 25 of that year. He had not seen her after November 25, 1999, when he wrote this report, although she was scheduled to be seen by him on November 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Arkinstall stated in his report that on her first visit allergy tests were performed which showed her to be reactive to a number of antigens, particularly trees, grasses, weeds, animals and house dust. He made no mention of moulds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Derosa told Dr. Arkinstall on her first visit that there was "considerable mould" in the property. At page 3 of his report to Mr. Drayton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history I have obtained, and from the evidence you have supplied, I believe Ms. Derosa's symptoms were markedly aggravated and her severe status asthmaticus was precipitated by exposure to her condominium. The most likely factor in the condominium was the mold she described.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Arkinstall therefore, in concluding there was mould present in the property, relied on the history provided by Ms. Derosa and her conclusion that there was mould in the property. He relied also on the report of PHH Environmental Limited, and a report by "Roto-Rooter". Roto-Rooter's "report" is not before the court and I have concluded that is so because it does not qualify as an expert's report if it indeed contains any opinion on the subject of mould. As well there was a suggestion in argument that the Roto Rooter report related to unit 3, not unit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PHH report is, as I have said, inconclusive as to the presence of mould in the property, either at the date of inspection by PHH or at the time of purchase. The only information which Dr. Arkinstall had as to the presence of mould in the premises is from Ms. Derosa herself, which is not supported by the evidence or any expert qualifications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cannot rely on Dr. Arkinstall's opinion that mould was present in the property at the time of purchase. In any case, it is not appropriate for Dr. Arkinstall to express such an opinion. He simply assumes the presence of mould which he is entitled to do for purposes of his medical opinion. It is obvious that Ms. Derosa was in considerable medical difficulty when first seen by Dr. Arkinstall. I refer to page 2 of his report and his reference to that first visit which occurred on January 25,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she was extremely short of breath. She had even had difficulty even (sic) carrying on a conversation of any extent. She had a constant cough and minimal exercise provoked severe physical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breath sounds showed a marked inspiratory and expiratory wheeze consistent with asthma. She was moderately obese; however, certainly not to the extent of causing significant health problems. When I saw her in my office, I felt it was unsafe for her to return to Kamloops. She had actually come from Kamloops on the bus. She was therefore admitted from my office to the Kelowna General Hospital where she was treated until February 4th.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hospital, she was treated with aggressive, intravenous and other therapies. Her chest and upper airways slowly cleared. At the time of discharge, she was still showing a marked reduction in her expiratory flow rates. She was discharged on inhaled corticosteroids, oral and inhaled bronchodilators. She was also put on multiple therapies with a decongestant and an inhaled corticosteroid for her nasal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issue is not whether Ms. Derosa is allergic to moulds, rather it is whether mould was present in the property at the time of purchase. The onus of proof is upon Ms. Derosa on a balance of probabilities. I find that she has not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particular, I find that the evidence does not lead to the conclusion that there was moisture, mould, water leakage, fecal matter, and/or noxious fumes present in the property at the time of purchase, nor for that matter at a later date. There may have been mould in the soil of the potted plants, but the plants were placed there by Ms. Derosa, not the defendants. It follows that there is no evidence of a causal relationship between the conduct of the defendants and Ms. Derosa's medical complaints. As well, Ms. Derosa has not made out her claim that there was "excessive noise" in the condominium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further reference to the claim against Sheridan, I find that the Strata Corporation through its agent Sheridan did all it could reasonably have done in the circumstances, which was to enforce the bylaws, and maintain or repair the common property of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the plaintiff's claim is dismissed as against all defendants. The defendants will have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HUNTER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Dick v. Vancouver City Savings Credit Union, [2006] B.C.J. No. 1215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S89831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Rodney Daniel Dick and R.D. Backhoe Services Inc., plaintiffs, and Vancouver City Savings Credit Union et 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9"/>
      <w:bookmarkEnd w:id="115"/>
      <w:r>
        <w:rPr>
          <w:rFonts w:ascii="arial" w:eastAsia="arial" w:hAnsi="arial" w:cs="arial"/>
          <w:b/>
          <w:color w:val="000000"/>
          <w:sz w:val="20"/>
          <w:lang w:val="en-US" w:eastAsia="en-US" w:bidi="ar-SA"/>
        </w:rPr>
        <w:t>Civil procedure — Costs — Security for costs — Application by the defendants for security for costs dismissed — Court accepted that proceedings would be lengthy and protracted, given prolixity of the pleadings and lack of plaintiff counsel — With respect to the concern of stifling legitimate litigation, the onus was on the plaintiffs to show the order for costs would bar the litigation; they failed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8"/>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security for costs or, in the alternative, a stay of proceedings -- Plaintiffs alleged they had been unlawfully deprived of various lands they once owned and claimed damages -- Some of the claims had already been dismissed -- HELD: Application allowed -- Security for costs was to be posted by the plaintiffs in the amount of $25,000 for each of two groups of defendants, being a total of $50,000 -- On a plain reading of the statement of claim it appeared the principal problem was the plaintiff's lack of financing for the various developments, and failure to attend and defend foreclosure proceedings -- Court accepted that proceedings would be lengthy and protracted, given prolixity of the pleadings and lack of plaintiff counsel -- With respect to the concern of stifling legitimate litigation, the onus was on the plaintiffs to show the order for costs would bar the litigation; they failed to do so.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7"/>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5"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Corporations Act, s.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4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196, c. 323,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Security for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Counsel_19"/>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Rodney Daniel Dick: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District of Maple Ridge, the City of Port Coquitlam, Jeff Yip and Tony Chong: A. Atherton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Simpson, Penny &amp; Keenleyside Appraisals Limited, Canamera Appraisal Group Inc., Reilly and Erho: R.M. McLennan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19"/>
      <w:bookmarkEnd w:id="119"/>
      <w:r>
        <w:pict>
          <v:line id="_x0000_s1107"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CRAWFORD J."/>
            <w:bookmarkEnd w:id="120"/>
            <w:r>
              <w:rPr>
                <w:rFonts w:ascii="arial" w:eastAsia="arial" w:hAnsi="arial" w:cs="arial"/>
                <w:b/>
                <w:color w:val="000000"/>
                <w:sz w:val="30"/>
                <w:lang w:val="en-US" w:eastAsia="en-US" w:bidi="ar-SA"/>
              </w:rPr>
              <w:t>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Two groups of defendants apply to have the plaintiffs secure legal costs of the proceedings, failing which they ask that the action be stayed. The first group is the District of Maple Ridge, the City of Port Coquitlam, Jeff Yip and Tony Chong, (the "Municipal Group"), while the second group comprises the defendants Simpson, Penny &amp; Keenleyside Appraisals Limited, Canamera Appraisal Group Inc., Reilly and Erho (the "Appraisal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[2] Mr. Dick and R.D. Backhoe Services are self-represented. While I may say "he" or "they" in describing the plaintiffs, it does appear that the corporate plaintiff is Mr. Dick's </w:t>
      </w:r>
      <w:r>
        <w:rPr>
          <w:rFonts w:ascii="arial" w:eastAsia="arial" w:hAnsi="arial" w:cs="arial"/>
          <w:i/>
          <w:color w:val="000000"/>
          <w:sz w:val="20"/>
          <w:lang w:val="en-US" w:eastAsia="en-US" w:bidi="ar-SA"/>
        </w:rPr>
        <w:t>alter ego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plaintiffs put forward a complicated conspiracy claim wherein they allege they have been unlawfully deprived of various lands they once owned, and they claim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[4] Some of those claims have already been dismissed. For instance, the claim against Vancouver City Savings Union (VanCity), Stubbs, Grant, Citizens Bank of Canada, and Westminster Savings Credit Union was dismissed by Master Groves (as he then was) on March 21, 2005. The court ruled the issues raised by the plaintiffs were issues that should have been raised in the foreclosure proceedings (default on the mortgages, sale orders, court approval of the sale of the lands, and current market values) and therefore the plaintiffs' claims against the defendants were barred by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On October 14, 2005, I dismissed the claims against Damax Consultants Ltd. and David Laird as the pleadings against them did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Mr. Dick attended in person with his son. After counsel had made their submissions and provided copies of their submissions and case law to Mr. Dick, I asked Mr. Dick to respond. He gave various explanations, most of which repeated the claim that he had been wrongfully deprived of his lands, and none of which went to the legal issues raised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[5] I carefully explained to Mr. Dick that I would give him 14 days to make any written response he wished regarding the application for security for costs and what the outcome might be should he fail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[6] I have not received any written response from Mr. Dick. However on a recent review of the court file I found a number of affidavits (numbered 4, 6,7,8,9 and 10 and all sworn November 14, 2005) some of which are said to be the response to demands for particulars from various defendants. Where they are relevant, I have considered them. For the most part, however, they add little, and in some cases the documents appended to the affidavits appear to contradict the assertions in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[7] I am therefore giving my reasons on the application by the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SUMMARY OF EVENTS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[8] The statement of claim runs 204 paragraphs and has attached to it copies of many documents. Many are illegible. The statement of claim alleges that Mr. Dick was seeking to develop five parcels of land, one in Port Coquitlam and four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[9] He alleges the actions of the various defendants resulted in him losing his lands and sustaining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[10] The Port Coquitlam property was located at 1843 Mary Hill Road (the "Mary Hill Property"). The plaintiffs say they entered a joint venture to develop the property with the owners, the Hundals, in 1996. Potentially it may have been a nine or ten lot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[11] In January 1997 Mr. Dick bought a three-acre property at Gilker Hill Road in Maple Ridge (the "Gilker Hill Property") with a mortgage from Westminster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[12] In 1990 Mr. Dick bought a two-acre property on 236th Street in Maple Ridge and in February 1997 Mr. Dick bought the adjacent two acres with funding from Westminster Savings. The four acres assembled on 236th Street in Maple Ridge I will call the "236th Street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[13] In 1997 development site reviews were obtained for the three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[14] In July 1997 Westminster Savings, who had been the plaintiffs' principal underwriters, said they would not underwrite the Mary Hill development and the plaintiffs then turned to VanCity Savings Credit Union ("VanCity") seeking $1,000,000 in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[15] In September 1997 the plaintiff company offered to purchase the Mary Hill Property from Hundal for $475,000, having already paid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[16] In September 1997 VanCity approved funding to the plaintiffs for a development loan, secured by a first mortgage on the Mary Hill Property and collateral security over the Gilker Hill and 236th Street properties. Title was put in the plaintiff company. The first draw was in the amount of $375,000, $350,000 of which was paid to Hundal, and Hundal gave a second mortgage on the property for 60 days at 10.5% for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[17] Throughout this time the plaintiffs say they were having discussions and negotiations and obtaining tentative development approvals from the City of Port Coquitlam and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[18] In November 1997 Hundal extended the second mortgage for a further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[19] In December 1997 tentative approval for the Mary Hill ten-lot subdivision was given by the City of Port Coquitlam and again extended in March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[20] As well, the plaintiffs allege they received approval in principle from Maple Ridge for the development of the four-acre 236th Street Property into a 56-unit townhouse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[21] In April 1998, the City of Port Coquitlam extended its tentative approval of the Mary Hill Property to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[22] The following month however, in May 1998, Hundal foreclosed on the Mary Hill Property obtaining a foreclosure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on May 20, 1998, with a redemption date of October 22,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[23] Mr. Dick said he was injured in May 1998 and the plaintiff company was given no notice of the Hundal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[24] Ongoing discussions with Port Coquitlam over the development continued. On August 18, 1998, VanCity demanded repayment of the first draw and gave Notice of Intent to enforce the security which it held over the other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[25] In the fall of 1998 the plaintiffs proposed the purchase of lands from Port Coquitlam to add to the property and thereby obtain an additional lot. In September 1998 the City offered a 690 square foot parcel of land to the plaintiffs, who declined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[26] In October 1998 VanCity began foreclosure proceedings against the 236th Street Property in Maple Ridge, obtaining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[27] On October 26, 1998, VanCity obtained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against the Mary Hill Property and a personal default judgment against Mr. Dick. It also obtained an order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[28] The District of Maple Ridge then cancelled the development approvals of the four-acre 236th Street Property and the Gilker Hill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[29] In November 1998 the Westminster Credit Union took judgment on a property on 113B Avenue, Maple Ridge in the name of the corporate defendant, (the "113B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[30] In January 1999 the plaintiffs say Mr. Dick purchased property at 24130 110 Avenue, Maple Ridge (the "110 Avenue Property") and obtained a $295,000 building draw from the Citizens Bank Credit Union. Mr Dick undertook various improvements through March 1999, clearing the land and reframing an old barn.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[31] In February 1999 Port Coquitlam gave the plaintiffs tentative development approval and a checklist for a five-lot subdivision on the Mary Hill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[32] In mid-1999 the plaintiffs allege a contract was made with a bus company to lease the 110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[33] In August 1999 VanCity began examination in aid of execution on the judgment that had been taken against Mr. Dick. In September 1999 VanCity took default judgment against the 110 Avenue Property on the deficiency judgment obtained in the earlier foreclosure on the Mary Hill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[34] On November 1999 a court ordered sale of the Mary Hill Property resulted in a numbered company owned by Mr. Dick's parents buying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[35] The plaintiffs make allegations against the credit unions and their employees, the municipal corporations and their employees, the appraisers, the real estate brokers and others with respect to their actions and valuations given throughout the developments and foreclosures. As well, they make allegations regarding a lack of service or notice of some of the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[36] In June, July and August 2000, VanCity proceeded with the foreclosure of the 110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[37] The plaintiffs also take issue with appraisals given by Penny &amp; Keenleyside and others regarding their Maple Ridge Property. They point to the difference in the appraisals given by Penny and Keenleyside in September 1997 and in September 2000. This, however, would appear to be the result of the different purposes for which the opinions were sought. The first appraisal for $1,200,000 states that it is given for the purpose of mortgage financing, and subject to ... "fill to be in accordance with regulatory authorities and Amendment of the Official Community Plan to reflect development of the total site as a proposed 56 unit townhouse." In contrast, the second appraisal for $380,000 was given "to function as the basis for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[38] On August 2, 2000, Citizen Bank of Canada began foreclosure against the 110 Avenue Property.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granted October 20, 2000, with a six-month redemption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[39] On November 20, 2000, Van City obtained an order for conduct of sale of the 110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[40] In late 2000, Westminster Savings commenced foreclosure against the 236th Street Property, the Gilker Hill Property and the 113B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[41] The plaintiffs tried to negotiate for time and terms but say none was given. On February 23, 2001, VanCity sought court approval for the sale of the 110 Avenue Property for $210,000 to a Mr. MacDonald. The application for court approval was adjourned while the plaintiff sought to obtain second mortgage financing for the 110 Avenue Property. On April 17, 2001, court approval was given to the sale of the 110 Avenue Property for $210,000. The plaintiffs say the subsequent development of the half the property contradicts the evidence given to the court on the sale application, particularly regarding environmental riparian setbacks and property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[42] On June 7, 2001, the 113B Avenue Property was sold by the defendant Lisa Telep. All the plaintiffs' construction and development equipment on site vanished.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[43] On December 14, 2001, it is alleged that the four-acre 236 Street Property was sold to the defendant Telep doing business as Venture Projects Ltd, who soon after obtained approval from the District of Maple Ridge and marketed 24 luxury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[44] The plaintiffs allege the Gilker Hill Property was developed by others building a single-family home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[45] The plaintiffs allege all the named defendants profited at the expense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[46] Paragraphs 198 and 199 in the statement of claim read:</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representations made by the Defendants, the plaintiffs Dick &amp; Company are forced to stop their life concentrating only on repairing the harm &amp;monetary damages caused by the Defendants conspiring and discriminating in concert.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Representations made by the Defendants the plaintiffs Dick &amp; Company had no choice but to put their business and life in suspense while suffering the Defendants discrimination.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or anyone of them were negligent and malicious by continuously making false and misleading Representations stemming from the original, illegal, unwarranted and flawed Mary Hill Property foreclosure and subsequent other tainted foreclosures which could only occur through conspiracy and deliberate contrivance furthered by all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TIMETABLE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[47] The Statement of claim is dated December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[48] Port Coquitlam and its employees filed their defence January 10, 2005. Maple Ridge filed its defence January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[49] The defendants made ongoing demands for particulars and documents. The plaintiffs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[50] Notice of these motions was given on or before July 29,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[51] No examinations for discovery have been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[52] I have tried to encourage the plaintiffs to respond to the requests for documents, over and above those attached to their statement of claim, and pointed out the difficulties created by attaching providing illegible copies of documents to the statement of claim. Several times the management of this case has in large part been an exercise in making clear to the plaintiffs their obligations under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regarding disclosure. It now appears from the court file that the plaintiffs have by way of more affidavits filed in November, 2005, sought to respond to the various demands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[53] There has been no delay by the applicants in bringing this motion. The solicitors for the municipal corporations have indicated legal costs recoverable in the event of their successful defence of the matter would be $28,636.80 and $5,350 in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[54] The costs of the Appraisal Group were estimated at $40,036.80 and disbursements (including expert fees of $15,000) of $21,400, for a total of $61,436.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[55] No affidavits, other than those filed in November 2005, have been filed in response to this application nor have written arguments made by the plaintiffs. The later affidavits do not go to the legal issues arising on this application. The evidence is that the plaintiffs have no assets. No evidence been offered as to whether there are other means of support for their lawsuit. On the other hand, the pleading discloses Mr. Dick's parents purchased the Mary Hill subdivision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[56] A useful brief of authorities was put forward in support of the application for security of the costs to which I would add the judgment of Justice Arnold-Bailey in </w:t>
      </w:r>
      <w:r>
        <w:rPr>
          <w:rFonts w:ascii="arial" w:eastAsia="arial" w:hAnsi="arial" w:cs="arial"/>
          <w:b/>
          <w:i/>
          <w:color w:val="000000"/>
          <w:sz w:val="20"/>
          <w:lang w:val="en-US" w:eastAsia="en-US" w:bidi="ar-SA"/>
        </w:rPr>
        <w:t>Global Banking Systems Inc. v. Datawest Solutions Inc.</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[2005] B.C.J. No. 2725</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2005 BCSC 1739</w:t>
        </w:r>
      </w:hyperlink>
      <w:r>
        <w:rPr>
          <w:rFonts w:ascii="arial" w:eastAsia="arial" w:hAnsi="arial" w:cs="arial"/>
          <w:color w:val="000000"/>
          <w:sz w:val="20"/>
          <w:lang w:val="en-US" w:eastAsia="en-US" w:bidi="ar-SA"/>
        </w:rPr>
        <w:t xml:space="preserve">. Her ladyship there refers to the relevant principles cited by Barrow J. in </w:t>
      </w:r>
      <w:r>
        <w:rPr>
          <w:rFonts w:ascii="arial" w:eastAsia="arial" w:hAnsi="arial" w:cs="arial"/>
          <w:b/>
          <w:i/>
          <w:color w:val="000000"/>
          <w:sz w:val="20"/>
          <w:lang w:val="en-US" w:eastAsia="en-US" w:bidi="ar-SA"/>
        </w:rPr>
        <w:t>Scopeset Technology Inc. v. Astaro Corp</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[2004] B.C.J. No. 1305</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2004 BCSC 830</w:t>
        </w:r>
      </w:hyperlink>
      <w:r>
        <w:rPr>
          <w:rFonts w:ascii="arial" w:eastAsia="arial" w:hAnsi="arial" w:cs="arial"/>
          <w:color w:val="000000"/>
          <w:sz w:val="20"/>
          <w:lang w:val="en-US" w:eastAsia="en-US" w:bidi="ar-SA"/>
        </w:rPr>
        <w:t xml:space="preserve"> in turn reiterating the words of Finch J.A., as he then was in </w:t>
      </w:r>
      <w:r>
        <w:rPr>
          <w:rFonts w:ascii="arial" w:eastAsia="arial" w:hAnsi="arial" w:cs="arial"/>
          <w:b/>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 which in turn refers to the English Court of Appeal's decision in </w:t>
      </w:r>
      <w:r>
        <w:rPr>
          <w:rFonts w:ascii="arial" w:eastAsia="arial" w:hAnsi="arial" w:cs="arial"/>
          <w:b/>
          <w:i/>
          <w:color w:val="000000"/>
          <w:sz w:val="20"/>
          <w:lang w:val="en-US" w:eastAsia="en-US" w:bidi="ar-SA"/>
        </w:rPr>
        <w:t>Keary Development v. Tarmac Construction</w:t>
      </w:r>
      <w:r>
        <w:rPr>
          <w:rFonts w:ascii="arial" w:eastAsia="arial" w:hAnsi="arial" w:cs="arial"/>
          <w:color w:val="000000"/>
          <w:sz w:val="20"/>
          <w:lang w:val="en-US" w:eastAsia="en-US" w:bidi="ar-SA"/>
        </w:rPr>
        <w:t>, [1995] 3 All E.R. 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[57] The principles are summarized thus: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[58] This is not a late application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[59] It does appear that the plaintiffs will be unable to pay the defendants costs if the action fails. There is no evidence of exigible assets of value to satisfy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[60] I note Romilly J. in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said, at paragraph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 on an application for security for costs, once the defendants have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plaintiff lacks exigible assets, the plaintiff is required to respond with evidence to establish either that it will be able to pay the defendants' costs, that the defendants have no arguable case, or that an order for security will stifle the action. These tests serve to balance the possible injustice of stifling the corporate plaintiff's claim against the possible injustices of exposing the defendants to a law suit where they could not recover their costs if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[61] The municipal group argue while the pleadings are not clear on this point, the cause of action is alleged to have occurred September 1997, but the action was not commenced until December 17, 2004, and that s. 285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R.S.B.C. 196, c. 323 requires the action be started within six months of the cause of action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[62] As against the personal defendants Yip and Chong, employees of the corporation of Port Coquitlam, the defendants argue that regardless of whether there is a two-year or six-year limitation, the plaintiffs' claim is defeated by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[63] The defendants also invoke s. 287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It provides a defence to alleged neglect or default in performance of an employee's duties, except in the case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 latter is denied by the defendants Yip and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[64] The defendants note the plaintiffs also appear to allege fraud mis-representation, discrimination and conspiracy on the part of some or all of the said defendants, and all of which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[65] The competing considerations on this application are the impecuniosity of the plaintiff and the use of the security for cost applications being used to stifle legitimate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[66] In this regard, corporate defendants are not treated as generously as natural persons. </w:t>
      </w:r>
      <w:r>
        <w:rPr>
          <w:rFonts w:ascii="arial" w:eastAsia="arial" w:hAnsi="arial" w:cs="arial"/>
          <w:b/>
          <w:i/>
          <w:color w:val="000000"/>
          <w:sz w:val="20"/>
          <w:lang w:val="en-US" w:eastAsia="en-US" w:bidi="ar-SA"/>
        </w:rPr>
        <w:t>Western Telluric Resources Inc. v. Cardero Resources Corp.</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[2005] B.C.J. No. 499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[67] In </w:t>
      </w:r>
      <w:r>
        <w:rPr>
          <w:rFonts w:ascii="arial" w:eastAsia="arial" w:hAnsi="arial" w:cs="arial"/>
          <w:b/>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noted a mere assertion of impecuniosity was not sufficient and plaintiffs seeking to avoid security for costs on the grounds of impecuniosity should lead evidence to demonstrate their impecuniosity by giving evidence of their assets and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[68] In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supra, Romilly J. stated, at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though it appears that the plaintiff may be unable to pay costs of the action, it does not follow, in the absence of evidence, that such a state of affairs would result in stifling the advancement of the plaintiff's claim if costs were ordered to be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[69] Section 236 of the </w:t>
      </w:r>
      <w:r>
        <w:rPr>
          <w:rFonts w:ascii="arial" w:eastAsia="arial" w:hAnsi="arial" w:cs="arial"/>
          <w:b/>
          <w:i/>
          <w:color w:val="000000"/>
          <w:sz w:val="20"/>
          <w:lang w:val="en-US" w:eastAsia="en-US" w:bidi="ar-SA"/>
        </w:rPr>
        <w:t>Business Corporations Act</w:t>
      </w:r>
      <w:r>
        <w:rPr>
          <w:rFonts w:ascii="arial" w:eastAsia="arial" w:hAnsi="arial" w:cs="arial"/>
          <w:color w:val="000000"/>
          <w:sz w:val="20"/>
          <w:lang w:val="en-US" w:eastAsia="en-US" w:bidi="ar-SA"/>
        </w:rPr>
        <w:t xml:space="preserve"> is likewise apposite.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[70] With respect to individual plaintiffs, the court tends to exercise its discretion more cautiously.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[71] In so doing the court looks to the relative strength of the plaintiff's case and the strength of the available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[72] While the statement of claim is cast widely and one may discern allegations of fraud, discrimination, conspiracy, and fraudulent and negligent misrepresentation, on a plain reading of the statement of claim it appears the principal problem was the plaintiff's lack of financing for the various developments, and failure to attend and defend foreclosure proceedings. The defendants therefore see lengthy and protracted proceedings, given the prolixity of the pleadings and lack of plaintiff counsel, without any prospect of recovering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[73] The defendants also point to the fact that the plaintiffs started an earlier action against VanCity and they have failed to pay the costs of the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[74] The Municipal Group pleads legitimate statutory limitation defences, and generally deny the claims made against them or their employees. The Appraisal Group has filed a very short defence denying each and every allegation of the plaintiffs' claim. On the face of the pleadings there are differences in the valuations given in respect of the various properties at issue, in large part because initial opinions were sought on market values derived from best development outcome, while later opinions are premised on foreclosure or liquidation situations. Given the obvious difference in approaches and consequent valuations, it is difficult to see a meritorious claim against the various appraisers. The plaintiffs do not have legal counsel to sift what evidence they may have to see if in fact there is a viable claim. On the face of the pleadings, the defendants take a legitimate stance in simply making a broad and general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[75] On the other side of the issue is the concern of stifling legitimate litigation. The onus there is on the plaintiffs to show the order for costs will bar the litigation. They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[76] Considering all of the foregoing, I will order security for costs be posted by the plaintiffs in the amount of $25,000 regarding the Municipal Group, and $25,000 regarding the appraisal Group. The action will be stayed until that amount of security is posted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[77] In the event security for costs in those amounts is not posted within six months of this Order, the defendants may apply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Dimaulo v. Sun Peaks Resort Corp., [2000] B.C.J. No. 481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27765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257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Dominic Vincenzo Dimaulo, Travis Lloyd Abbey, Kelly Andrew Moss and Leslie Robert Leduc, plaintiffs, and Sun Peaks Resort Corporation,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0"/>
      <w:bookmarkEnd w:id="121"/>
      <w:r>
        <w:rPr>
          <w:rFonts w:ascii="arial" w:eastAsia="arial" w:hAnsi="arial" w:cs="arial"/>
          <w:b/>
          <w:color w:val="000000"/>
          <w:sz w:val="20"/>
          <w:lang w:val="en-US" w:eastAsia="en-US" w:bidi="ar-SA"/>
        </w:rPr>
        <w:t>Practice — Pleadings — Striking out pleadings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9"/>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Sun Peaks Resort, for an order striking the plaintiffs' statement of claim, and dismissing the action against it. Sun Peaks created the subject subdivision lot as part of its ski resort development. It sold the lot to Mooney, who then sold it to Dimaulo and the others. Once the plaintiffs began construction, they discovered extensive deposits of organic material beneath the fill. They incurred additional costs as they had to remove the organic material and had to alter their development plans. The plaintiffs brought an action against Sun Peaks for damages arising from these costs. They claimed that they had relied on a prospectus that Sun Peaks had filed, which made no reference to the existence of organic material beneath the structural fill. They argued that by not disclosing the presence of the organic material in the lot, Sun Peaks breached the Real Estate Act, fraudulently misrepresented the true condition of the lot, and negligently misrepresented the condition of the lot.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7"/>
            <w:bookmarkEnd w:id="12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relating to fraudulent misrepresentation and negligent misrepresentation were not struck. It was not plain and obvious that Dimaulo and the others would have failed on this cause of action. With respect to the claim that Sun Peaks breached provisions the Real Estate Act, Sun Peaks was not responsible for the fact that Dimaulo and the others relied on information contained in the prospectus, because the land was purchased from Mooney, and not directly from Sun Peaks.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8"/>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 397, s. 75, 75(2)(a), 75(2)(b).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20"/>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J.B. Carter, for the plaintiff. R.D. Lee,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20"/>
      <w:bookmarkEnd w:id="126"/>
      <w:r>
        <w:pict>
          <v:line id="_x0000_s1112"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BLAIR J."/>
            <w:bookmarkEnd w:id="127"/>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Sun Peaks Resort Corporation ("Sun Peaks") applies for an order pursuant to Rule 19(24) of the Rules of Court striking the plaintiffs' writ of summons and statement of claim and dismissing this action. The plaintiffs seek damages from Sun Peaks for losses incurred in developing Lot 1, Plan KAP53479,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Sun Peaks created the subdivision containing Lot 1 as part of its' ski resort development located at Tod Mountain near Kamloops. Sun Peaks, on or about June 5, 1995, sold Lot 1 to Andrew Cedric Mooney and Randy Jean Mooney who on February 24, 1998, sold Lot 1 to the plaintiffs. The plaintiffs purchased Lot 1 knowing it was covered with structural fill, but upon construction they encountered extensive deposits of organic material beneath the structural fill. The plaintiffs incurred additional costs in removing the organic material and altering their development plans and seek to recover these costs from Sun Peaks.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that in not disclosing the presence of the organic material on Lot 1, Sun Peaks: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breached the provisions of the Real Estate Act, </w:t>
      </w:r>
      <w:hyperlink r:id="rId440"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xml:space="preserve"> ("the Act");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misrepresented the true condition of Lot 1;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misrepresented the condition of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Sun Peaks submits that none of these claims can be sustained in law and thus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Supreme Court of Canada in Hunt v. Carey Can.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addressed the issue of the test to be applied in considering an application under Rule 19(24)(a), stating at p. 289: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in R. 19(24) of the British Columbia Rules of Court should the relevant portions of a plaintiff's statement of claim be struck out under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is whether it is plain and obvious that the plaintiffs' claims in tort under the Act, fraudulent misrepresentation and negligent misrepresentation disclose no reasonable causes of action, or whether the plaintiffs have presented a case that is fit to be tried.</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in their statement of claim acknowledge receiving and relying on Sun Peaks' Disclosure statement of November 15, 1994, and geotechnical report of September 17, 1994, relating to the subdivision in which Lot 1 was located. The Act requires the filing of such documentation to proceed with a subdivision. Section 75(2)(a) of the Act provides that every purchaser of subdivided land "is deemed to have relied on the representations made in the prospectus". Subsection (2)(b) provides that a purchaser of the land subdivided may recover loss or damage if a material false statement is contained in the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Grenoble v. MacNaught </w:t>
      </w:r>
      <w:hyperlink r:id="rId441" w:history="1">
        <w:r>
          <w:rPr>
            <w:rFonts w:ascii="arial" w:eastAsia="arial" w:hAnsi="arial" w:cs="arial"/>
            <w:i/>
            <w:color w:val="0077CC"/>
            <w:sz w:val="20"/>
            <w:u w:val="single"/>
            <w:shd w:val="clear" w:color="auto" w:fill="FFFFFF"/>
            <w:lang w:val="en-US" w:eastAsia="en-US" w:bidi="ar-SA"/>
          </w:rPr>
          <w:t>(1992), 78 B.C.L.R. (2d) 166</w:t>
        </w:r>
      </w:hyperlink>
      <w:r>
        <w:rPr>
          <w:rFonts w:ascii="arial" w:eastAsia="arial" w:hAnsi="arial" w:cs="arial"/>
          <w:color w:val="000000"/>
          <w:sz w:val="20"/>
          <w:lang w:val="en-US" w:eastAsia="en-US" w:bidi="ar-SA"/>
        </w:rPr>
        <w:t>, the Court of Appeal held that the purchaser referred to in s. 75, then s. 59, included only purchasers who bought subdivided land directly from the party filing the required prospectus under the Act. In the instant case, the plaintiffs purchased from the Mooneys, not Sun Peaks, and I find the plaintiffs cannot base their claim on the deemed reliance provisions of the Act relating to subdivisions. Where the plaintiffs' claim rests on the deemed reliance provisions, I find it discloses no reasonable claim.</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that Sun Peaks' failure to disclose the placement and presence of organic material on Lot 1 constituted a fraudulent misrepresentation. There was no direct contact between the plaintiffs and Sun Peaks upon which fraudulent misrepresentation can be founded, however the plaintiffs submit that although there is silence between the parties regarding the presence of organic fill material on Lot 1, Sun Peaks' subdivision prospectus and geotechnical report together amount to a positive assertion which would found a cause of action under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Sorenson v. Kaye Holdings, </w:t>
      </w:r>
      <w:hyperlink r:id="rId442" w:history="1">
        <w:r>
          <w:rPr>
            <w:rFonts w:ascii="arial" w:eastAsia="arial" w:hAnsi="arial" w:cs="arial"/>
            <w:i/>
            <w:color w:val="0077CC"/>
            <w:sz w:val="20"/>
            <w:u w:val="single"/>
            <w:shd w:val="clear" w:color="auto" w:fill="FFFFFF"/>
            <w:lang w:val="en-US" w:eastAsia="en-US" w:bidi="ar-SA"/>
          </w:rPr>
          <w:t>[1979] 6 W.W.R. 193</w:t>
        </w:r>
      </w:hyperlink>
      <w:r>
        <w:rPr>
          <w:rFonts w:ascii="arial" w:eastAsia="arial" w:hAnsi="arial" w:cs="arial"/>
          <w:color w:val="000000"/>
          <w:sz w:val="20"/>
          <w:lang w:val="en-US" w:eastAsia="en-US" w:bidi="ar-SA"/>
        </w:rPr>
        <w:t>, the B.C. Court of Appeal addressed the issue of fraudulent misrepresentation where there was silence on a matter between the vendor and purchaser of property. Lambert J.A. stated at p. 225: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is whether silence constituted a misrepresentation. This is not a contract of utmost good faith, nor was there a fiduciary relationship between the parties. In the absence of such a special contract or relationship, it is not deceit for a vendor to fail to decry his own wares unless he makes some positive assertion that becomes distorted by the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Notwithstanding the silence between the plaintiffs and Sun Peaks, it is not plain and obvious that the plaintiffs will fail in this cause of action given what might be considered a positive assertion by Sun Peaks as found in para. 23 of the statement of claim. I decline to strike this cause of action.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Although not explicitly stated, the plaintiffs in paras. 20 and 22 of the statement of claim appear to allege negligent misrepresentation by Sun Peaks. The Supreme Court of Canada in Hercules Management Ltd. v. Ernst &amp; Young </w:t>
      </w:r>
      <w:hyperlink r:id="rId443" w:history="1">
        <w:r>
          <w:rPr>
            <w:rFonts w:ascii="arial" w:eastAsia="arial" w:hAnsi="arial" w:cs="arial"/>
            <w:i/>
            <w:color w:val="0077CC"/>
            <w:sz w:val="20"/>
            <w:u w:val="single"/>
            <w:shd w:val="clear" w:color="auto" w:fill="FFFFFF"/>
            <w:lang w:val="en-US" w:eastAsia="en-US" w:bidi="ar-SA"/>
          </w:rPr>
          <w:t>(1997), 146 D.L.R. (4th) 577</w:t>
        </w:r>
      </w:hyperlink>
      <w:r>
        <w:rPr>
          <w:rFonts w:ascii="arial" w:eastAsia="arial" w:hAnsi="arial" w:cs="arial"/>
          <w:color w:val="000000"/>
          <w:sz w:val="20"/>
          <w:lang w:val="en-US" w:eastAsia="en-US" w:bidi="ar-SA"/>
        </w:rPr>
        <w:t xml:space="preserve"> addressed negligent misrepresentation, La Forest J. setting out the factors for analysis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prima facie duty of care will arise on the part of a defendant in a negligent misrepresentation action when it can be said (a) that the defendant ought reasonably to have foreseen that the plaintiff would rely on his representation and (b) that reliance by the plaintiff, in the circumstances, would be reasonable. Even though, in the context of auditors' liability cases, such a duty will often (even if not always) be found to exist, the problem of indeterminate liability will frequently result in the duty being negated by the kinds of policy considerations already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allegations of negligent misrepresentation against Sun Peaks rest on foreseeability and reasonableness which lie in the factual context of the case. I cannot conclude that the plaintiffs will plainly and obviously fail on this cause of action. If I have any doubts they must go in the plaintiffs' favour.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acknowledge that their pleadings require amendment, particularly in their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Sun Peaks, and with this judgment amendments will be needed to those parts of the statement of claim relating to the Act. The plaintiffs will have 14 days in which to amend their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Given the mixed success of the application,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Donetti v. Veillette Estate, [2000] B.C.J. No. 1237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25 - 28, July 6 - 8 and 22 - 24, 1998.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Submissions: February 22, June 1 and October 29, 1999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B955043 and B955042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Franca Donetti, Carlo Donetti and Monica Donetti, plaintiffs, and Kenneth Veillette, Executor of the Estate of Jim Emile Joseph Veillette, deceased a.k.a. Jim Emile Veillette, a.k.a. Jim Veillette, a.k.a. Jim E. Veillette, defendant (Vancouver Registry No. B955043) And between Carlo Donetti, plaintiff, and Kenneth Veillette, Executor of the Estate of Jim Emile Joseph Veillette, deceased a.k.a. Jim Emile Veillette, a.k.a. Jim Veillette, a.k.a. Jim E. Veillette, defendant (Vancouver Registry No. B955042)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1"/>
      <w:bookmarkEnd w:id="128"/>
      <w:r>
        <w:rPr>
          <w:rFonts w:ascii="arial" w:eastAsia="arial" w:hAnsi="arial" w:cs="arial"/>
          <w:b/>
          <w:color w:val="000000"/>
          <w:sz w:val="20"/>
          <w:lang w:val="en-US" w:eastAsia="en-US" w:bidi="ar-SA"/>
        </w:rPr>
        <w:t>Damages — Torts causing death — Particular damage claims — Loss of future income — Damages awards — Injury and death — General damage awards — Loss of prospective earnings.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0"/>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Franca, Carlo and Monica Donetti against Veillette for damages arising from the death of Eugenio and personal injuries to Carlo as result of a motor vehicle accident in March 1995. Liability was admitted. Eugenio was 57 at the time he died. He had a wife, Franca, and their two adult children, Carlo, who was 30, and Monica who was 31. They were a close knit family who lived and worked together in real estate. They were well known in the Italian community. Eugenio's income rose rapidly after he became a realtor in 1984. It peaked in 1989 at $122,000. The year of his death it was $73,000. He bought rental properties. He convinced many Italians, including Azzara, to invest in real estate. Azzara and two other partners planned to initially invest $4 million in rental properties and new homes through Eugenio, and, if things went well, up to $15 million. This plan came to a halt with Eugenio's death. For about a year and a half before the accident, Carlo spent a lot of time working with his father developing the Italian investor program. He suffered a skull fracture, shoulder dislocation, fracture of a vertebra, nerve damage to his right foot and lacerations to a hand. He underwent a craniotomy and had extensive therapy treatment. He continued to experience back pain. There was evidence that he would have permanent weakness in his leg. He could no longer do athletic activities. He was no longer as effective as he was at work and found it difficult to make decisions. He was cold, difficult to deal with, opinionated, forgetful and short tempered. He did not want to see his friends, and suffered from depression.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8"/>
            <w:bookmarkEnd w:id="13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sum of $544,947 was awarded for past and future losses. Carlo was awarded $1,206,577, including $950,000 for future loss of capacity to earn. But for the accident, there was a real and substantial possibility that the business opportunities the Donettis were seeking would have been realized. It was likely that Eugenio would have continued to earn more than the average realtor, and that Azzara, but for Eugenio's death, would have invested some, if not all of the $4 million between 1995 and the date of trial. Carlo had undergone a significant personality change since the accident. He could not successfully return to selling real estate. His injuries would continue to have a major impact on his future economic and social functioning.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Legislation Cited_9"/>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5"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Compensation Act, R.S.B.C. 1979, c. 120.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2" w:name="Counsel_21"/>
      <w:bookmarkEnd w:id="1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E.J. McNeney, for the plaintiffs. T.L. Weiss,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21"/>
      <w:bookmarkEnd w:id="133"/>
      <w:r>
        <w:pict>
          <v:line id="_x0000_s1117"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LOO J."/>
            <w:bookmarkEnd w:id="134"/>
            <w:r>
              <w:rPr>
                <w:rFonts w:ascii="arial" w:eastAsia="arial" w:hAnsi="arial" w:cs="arial"/>
                <w:b/>
                <w:color w:val="000000"/>
                <w:sz w:val="30"/>
                <w:lang w:val="en-US" w:eastAsia="en-US" w:bidi="ar-SA"/>
              </w:rPr>
              <w:t>LOO J.</w:t>
            </w:r>
          </w:p>
        </w:tc>
      </w:tr>
    </w:tbl>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18, 1995, Eugenio Donetti and his son Carlo were travelling on Highway No. 5, near Barriere, British Columbia, when a car driven by Jim Veillette, crossed the centre line and crashed head on into the Donetti vehicle. Five persons were killed in the collision, including the occupants of the Veillette vehicle and Eugenio Donetti. The only survivor was Carlo who was seriously injured. Liability for the accident is admitted. The family of Eugenio Donetti brings an action under the Family Compensation Act, R.S.B.C. 1979, c. 120. Carlo also brings an action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his death, Eugenio Donetti was 57 years old. He left behind his wife Franca and their two adult children, Monica who was 31 and Carlo who was 30. They were a close knit family who lived and worked together in the real estate business. They were in the preliminary stages of starting a new business that encouraged Italians to invest in real estate in British Columbia. It has been referred to as the "Italian investor program". This is the crux of the dispute. The plaintiffs claim that foreign investors were willing to invest up to $15 million through Mr. Donetti. The defendants say that is nothing more than a speculative flight of fancy.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reasons which follow, I have decided that the evidence establishes that, but for the accident, there is a real and substantial possibility that the business opportunities the Donettis were seeking would have been realized. The more difficult question is: What degree of success would have been achieved?</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WRONGFUL DEATH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Eugenio Donetti was born in Genoa, Italy in September 1937. From 1960 to 1977, he worked in Genoa for various car dealerships owned by Maria Azzara, a forceful businesswoman who remained pivotal in his life. In 1962 Mr. Donetti married Franca and they had two children: Monica was born in 1963 and Carlo in 1965. In 1977, concerned with the political and financial instability in Italy, the Donetti family came to live in Vancouver, British Columbia. It was not a decision Mr. Donetti made lightly. He came to Canada several times before he moved his family. He was well respected in the automotive industry in Italy, and had several job offers, but he was convinced that there were greater opportunities in Canada. When the Donettis arrived in Canada, Mr. Donetti was 40 years old. He paid $81,000 for a house on West 60th Avenue in Vancouver's Kerrisdale area. It remained the Donetti family home for the next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Donetti spoke fluent French. They arrived in Vancouver believing that because Canada was bilingual they could manage by speaking French. Quickly, they learned otherwise, and both worked hard and diligently at acquiring English language skills and searching for business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Donetti purchased a $12,000 share in a small tile importing business where he worked for the first couple of years. He then worked as a salesperson for another tile company until 1983 when he started working for the Italian Trade Commission. At the same time he studied for his real estate licence and became a realtor in 1984. In his first year, he earned a net income after expenses of $41,000 which placed him in the top five per cent of realtors in the Province. After five continuous years of being a member of the Medallion Club, he was awarded membership in the Master Medallion Club. His income rose rapidly and peaked in 1989 at $122,000. In 1990, it started to drop slightly to $116,000, and by 1994, the year before his death, it was $73,000. The reason for the decline in income is in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Selling real estate was a family enterprise. If there is such a thing, the Donettis can best be described as a traditional Italian family. Mr. Donetti was the patriarch, and Carlo, although an adult, remained at home close to his parents. Monica was married for six years, but after her separation in 1994, she returned home. Monica became a realtor in 1984. Mrs. Donetti acquired her licence in 1987. Carlo became licensed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Mrs. Donetti had a real estate licence, she never worked alone. She never did a listing or wrote an offer on her own. Her role was to assist and to accompany Mr. Donetti. It was Mr. Donetti who conducted all of the business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Donetti described why she acquired her licence: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reason why I did is that after one week to fifteen days my husband started to work at A.E. LePage and he slip on the stairs there and he hurt his elbow so he was not able to drive so I drove him around and realized how much easy it is to get a listing or a sale in the Italian families if you go with your husband and you present yourself as an Italian family too. I went to talk to people and usually we made an appointment in the afternoon -- in the late afternoon after dinner and they gave us coffee and a little bit, I don't know, maybe cognac or whatever and we would start to talk about the family in Italy and all those things and after a while the ladies started to come with cookies and cakes and whatever to talk again about real estate in Vancouver and I talking about hour, not a minute. We use to go after eight or eight-thirty, nine o'clock and going out of the house around eleven-thirty at night. I use to talk with the lady and the children about school, about my place, about the Italian Community Center, and my husband and the owner of the house talking about business and even if we didn't know those people they use to know me because I use to teach the Italian Community Center and they use to know me a little bit. They use to know my husband because we had this advertising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didn't work. It could be that this is why my husband did -- even when I had the license he did all the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never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never did a listing or an offer because -- ... I was always with my husband and there was no reason to. The Italian man, the Italian family, are very, how do you call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Chauvinistic?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Chauvinistic.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Donetti directed extensive marketing efforts towards the Italian speaking community. He had a regular program on Italian television and radio, he wrote columns for Italian publications, and he advertised. Mr. and Mrs. Donetti attended many Italian social and cultural functions, networked extensively, and were well known in the Italian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 family accumulated real estate, they lived fairly frugally. Mrs. Donetti made second-hand purchases, and notwithstanding his television and social commitments, Mr. Donetti did not own a suit. He had a blue blazer and a grey pair of slacks. Whatever work the family could do, they did it. Whatever was a concern or of interest to one member of the family, was a concern or of interest to the entire family. When Carlo became interested in buying real estate in Kamloops, his parents drove up and inspected his list of properties, and it was they who made an offer on his behalf. When Monica expressed an interest in exploring the Prince George real estate market, she went with her mother to look around. Mr. Donetti and Carlo then drove up to Prince George to take a look around. They were returning from Prince George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ITALIAN INVESTOR PROGRAM and MARIA AZZARA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Donetti always looked ahead for business opportunities. It was around 1990-1991 that the seed for the Italian investor program was planted when he started buying and developing property for himself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Donetti started researching real estate in the interior of the Province, and in 1990, paid $25,000 for a partially constructed 5,000 foot house in Bridge Lake. The house had walls and windows but no flooring, insulation, bathrooms or kitchen. Mr. Donetti was not handy with a hammer or nails, but he was capable of manual labour, and whatever he could do to save money, he did. Each time Mr. and Mrs. Donetti drove to Bridge Lake, they took a trailer of building materials or furnishings. By 1996, the house, still with no heat, had an assessed value of $143,000. In 1992, he purchased a six-unit apartment building in Kamloops for $246,000. In 1993, he purchased a six-unit apartment building in Lillooet for $106,000. Both properties were in need of repairs, but Mr. Donetti was interested in making improvements and increasing the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the warmer months, about once a month, Mr. and Mrs. Donetti took two days to travel to Kamloops to view the rental properties, drive to Bridge Lake, catch a fish for supper, and return home the next day. Travelling to Bridge Lake, fishing, looking after their revenue properties, and viewing other properties, allowed the Donettis to combine work and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part of their change in business direction, the Donettis looked for a new home. In June 1993, they sold their house in Kerrisdale and moved to a large 3,200 square foot house on acreage near Crescent Beach in South Surrey. The estate-like home had a detached cabana which they planned on turning into a guest house, a swimming pool, pond and tennis courts. They bought the large farm house so they could entertain Italians who they hoped would come from Italy looking for real estate investment opportunities. Mrs. Donetti explained that the house would be like a "country club" for the Italians, and the Bridge Lake property would show them "the beauty and serenity" of the rural parts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1994, Carlo obtained his agent 9.15 licence as part of the family plan to open their own real estate office and property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1994, Mr. Donetti purchased six vacant building lots close to the apartment in Lillooet for a total of $145,000. The lots had some mobile homes on them that were rented out. One of the double mobile homes had been in a fire. Mr. Donetti and Carlo spent time fixing up the mobile homes so that the rents could be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About a year and a half before the accident, much of Mr. Donetti's and Carlo's time and efforts were directed at the Italian investor program. Carlo obtained price quotations from the more important Italian newspapers and magazines so that they could run advertisements informing potential investors that they were able to assist those interested in immigrating to British Columbia or investing in real estate. A letter dated December 8, 1993, to one of the publications asking for the cost to place an advertisement reads (translated):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appreciate for you to give us an estimate of the cost of the ad below. We would accept your advice as to which voice it would go under. Quote us your best price as this could be the first of a long series. We will wait for a quote for 4 weekends per month, for 2 months, for 3 or for 6.</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YOU EVER CONSIDERED INVESTING IN AND/OR COMING TO LIVE IN VANCOUVER- BRITISH COLUMBIA - WHERE THE TEMPERATURE DURING THE WINTER RARELY DIPS BELOW -5 DEGREES AND, DURING THE SUMMER RARELY EXCEEDS 30 DEGREES (IT IS IN FACT CALLED THE CALIFORNIA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FAMILIES FROM ALL OVER THE WORLD HAVE ALREADY DISCOVERED THAT WHICH CANNOT BE DESCRIBED IN FEW 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 FAMILY OF ITALIAN-CANADIAN REALTORS WITH APPROXIMATELY 40 YEARS OF EXPERIENCE, READY TO ANSWER ANY QUESTIONS AND TO HELP YOU AS MUCH AS POSSIBLE. A PHONE CALL OR A FAX COULD BE THE BEST INVESTMENT FOR YOU AND YOUR FAMILY TO OPEN UP A BETTER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They went to the Italian consulate to locate addresses for the chartered accountants and notary publics in Italy. In the fall of 1994, they mailed out more than a thousand letters to professionals and Mr. Donetti's business acquaintances in Italy. The letter is important as it helps describe what the Donettis were hoping to achieve. A sample of the letter reads (translated):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Dr. Salvadori,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Eugenio Donetti and, along with my wife Franca and my kids Carlo and Monica came to Canada 17 years ago. We chose Canada because it is still an easy country to live in. In all this time we have never had any need for birth certificates, baptization, proof of residence, ecc. Our driver's license is what provides needed information. Government stamp paper (any official communication is to take place on this expensive paper which has to be purchased) does not exist. The bank manager is a person like any other; it is very simple and quick to obtain an appointment with him/her. Buying a car, choosing it from hundreds ready in all different colours and with different options, to finance it, insure it and drive it away is a two hour ordeal, seven days a week. If one has to go to City Hall to obtain information, a permit or a document, it is not as absolutely frustrating and humiliating as in Italy; to begin from the always available parking, to the common courtesy displayed by the staff, to the almost total inexistence of bureaucracy and favouritism. Here, in Canada, we are all equal. There is no tax on your driver's license, nor is there a "bollo di circolazione" (a yearly fee that you pay on your automobile even if it is stored on your property), there is no tax on your radio, nor the hundreds of taxes that exist in Italy. To acquire a property, to obtain a mortgage and move into the same property is extremely simple and all this normally takes place in an extremely short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established ourselves in Vancouver, where we are all realtors with our licenses having been obtained through the University of British Columbia. We have been operating for many years in the canadian market and, in particular, in B.C. We have a cumulative experience of about 40 years and we are very well known in the italian community as I have been writing on the local newspaper, I have spoken on the italian radio program for many years and am actually doing a program on the italian television channel about real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1986 on, year during which we had "Expo '86", we have noticed an impressive increase not only of people who have come to live in British Columbia indefinitely, but more so, people who have come to invest in Real Estate. With great disappointment, we notice that these investors come from almost every part of the world, obviously chinese and japanese as the most common, followed by german, swiss, austrians ecc. and only a modest number of italians.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British Columbia, thanks to its mild climate and its natural beauty, is at the top of all the other canadian provinces for immigration and for real estate investments. Due to these factors, prices have increased and are still increasing from year to year on a noticeable basis, and the forecasts are even more optimistic, keeping in mind that in 1997, year during which Hong Kong will revert from British administration to chinese and there will be an additional influx of oriental "capital". These investments can be either on behalf of individuals or small groups starting with reasonable amounts such as, for example, Lit. 100.000.000 with which one can buy a small apartment, or approximately Lit. 150/200.000.000 with which figure one can get a house with its own yard, outside of Vancouver, with annual income of about 10% and with excellent resale potential; regarding the percentage of taxation applicable to foreigners, it is very similar to that applicable to canadians.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as far as tourism is concerned, you probably know that British Columbia, considered by many as the Califormia (sic) of the North, offers marvelous (sic) natural scenery with thousands of lakes, forests, rivers, islands and open ocean with hundreds of fjiords (sic), beautiful mountains for skiing including Whistler and Apex, which are olympic calibre ski stations; hundreds of golf courses and both salt water and fresh water fishing (30/40 kg. salmons). Further, Vancouver is considered one of the most beautiful cities in the world and is a few kilometers away from the United States border.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conclude these few lines, we would like to let you mnow (sic) that if you or clients of yours might like additional information, you can contact us by phone/fax at (604) 535-1920 or you can write to us at our address: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Donetti family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13752 28th Avenue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 Surrey, B.C.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 V4P-1T3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assure you the total confidentiality. A phone call or a fax could be the ideak (sic) investment for you and your family and open the door to a better future.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EUGENIO DONETTI (september 23rd,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They researched where they should open a real estate office, looked into opening an office in the interior, and by spring 1995 had decided their office should be located in the lower mainland so that they could continue to work in the local real estate market. Part of their plan was dependant upon the sale of commercial property in Italy, which seemed to take some time and apparently did not conclude until sometime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March 1995 (the month of the accident), they placed an advertisement in the Italian Gulliver Travel magazine. They received more than 400 responses, which Carlo diligently tried to follow up. It resulted in some visitors coming from Italy, and staying with the Donettis in South Surrey, but it did not result in any sales. Unfortunately, the advertisement appeared during the same month 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his death, Mr. Donetti had convinced many Italians, including Maria Azzara, to invest in real estate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Azzara comes from a family of considerable wealth. From 1958 until 1977, Mrs. Azzara had a number of successful car dealerships, selling on average three thousand cars annually. She sold her first dealership in 1970 for $2.5 million which she transferred to a bank in Switzerland. That same year, she bought a house in Switzerland. She attributes much of her success to Eugenio Donetti, who she called the most valuable asset in her business. He started as a salesman and became manager of sales and marketing. They worked together for more than 17 years until the Donetti family came to Canada and Mrs. Azzara retired from the automotive industry. Over the years, they and their families became friends. They visited each other in Italy and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Azzara travelled from Genoa to testify. An interpreter had been arranged to interpret for Mrs. Azzara, but unfortunately, the interpreter's English language skills were not adequate, and the trial proceeded with Mrs. Azzara speaking English. At times Mrs. Azzara had difficulty expressing herself, but I am satisfied that her evidence was adequately conveyed.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Azzara spoke about Mr. Donetti's exceptional abilities dealing with people; his ability to motivate and to inspire confidence. He meticulously researched a product and the market. She said "he could sell aspirin to a chemist".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if business was experiencing a downturn, Mr. Donetti found novel ways to generate business. In the early 1970's, when "one of the original utility station wagons" came onto the market, Mr. Donetti researched and identified businesses that could use the vehicle, and followed it up with a mail-out campaign and visits by the sales staff. Every morning he conducted a meeting to discuss creative and innovative ways of increasing sales. During the 1973 Suez crisis, when car sales declined because of fuel shortage, Mr. Donetti secured a contract to sell Mopeds. He capitalized on the fuel shortage and the fitness craze, and sold bicycles.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in argument concede that Mr. Donetti was clearly an ambitious and oriented salesman.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in the early 1970's that Mr. Donetti started talking to Mrs. Azzara about better investment opportunities in Canada. He was not confident with Italy's political and economic future. With his encouragement, Mrs. Azzara travelled to Quebec in 1973 and 1974 and canvassed investing in a pulp and paper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Over the years, Mrs. Azzara and Mr. Donetti kept in touch by phone and during his frequent visits to Italy. She was aware of his success in real estate and he encouraged her to invest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Azzara has valuable real estate holdings in Italy, Switzerland, Spain, and Portugal: three apartment buildings in Genoa, a shop and property in Genoa, three homes in Spain, and three homes in Portugal. Her investments are held in banks in Switzerland and Monte Carlo.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Azzara explained her reasons for wanting to make investments in Canada as better opportunities. She emphasized at length, the differences between Italy and parts of Europe and Canada in terms of tax burdens, investment potential, inflation, monetary restrictions, foreign investments restrictions and political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Azzara and two other partners planned to initially invest $4 million in rental properties and new homes through Mr. Donetti, and if things went well, up to $15 million. Mrs. Azzara said that one partner lived in Switzerland, and the other partner was from England but had a house in Switzerland. Both were long time friends. Mrs. Azzara said she planned to move her assets out of Switzerland, sell some of her properties in Italy and invest the proceeds with Mr. Donetti.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Azzara planned on coming to Vancouver in the spring or summer of 1995 to meet Mr. Donetti about the investments. Mr. Donetti and Carlo had compiled a list of the properties they planned to view with Mrs. Azzara. They were in contact several times in the period leading up to the accident. Mrs. Azzara explained how she planned to incorporate a "society" in British Columbia, similar to her society in Switzerland, and that Carlo would be the administrator of the society to avoid what Mr. Donetti had told her would be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infer that Mr. Donetti and Mrs. Azzara spoke about establishing a management or real estate company to look after the investments. That was something Carlo could take on because of his agent 9.15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plans to invest in British Columbia came to a halt with Mr. Donetti's death. Mrs. Azzara made it quite clear that she was willing to make the investment because it was with Mr. Donetti. Her friends or partners were willing to make the investment because they trusted her - they were friends of some 30 years - and she trusted Mr. Donetti. Without him, she says, it is now "impossible". She does not have the same long standing trust relationship with Carlo or Mrs. Donetti; not because she is not friends with either of them, but because she has not worked with either of them, and most certainly has not worked with them for close to 20 years as she had with Mr. Donetti.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say that Mrs. Azzara's evidence is seriously flawed because there is no evidence of her financial worth or those of the other two investors; no evidence that she has ever invested with the other investors. It argued that it does not make sense for a 67 year old woman with an infirm husband to sell her property in Italy or elsewhere and become a slum landlord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But as Carlo pointed out, the tenants may be "welfare tenants", but their cheques are always reliable, and they never bounce. The annual gross rental income for the revenue property is $100,000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observed Mrs. Azzara. She is an assertive woman, and obviously a shrewd businessperson. She obviously wanted to put the best light she could on the case in order to help the Donetti family. I accept that many business dealings are established on the basis of relationships and trust, and those ingredients disappeared with the death of Mr. Donetti. In my view, Mrs. Donetti has no business experience in the sense of making any independent decisions without her husband, and Carlo not only lacks experience, but since the accident, he is no longer the capable and decisive young man he once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argue that the Donettis were not as financially successful as the Hong Kong investors. The defendants say the Donettis were nothing more than slum landlords looking for cheap buys. The wealthy from Hong Kong have come to invest and returned home; the Germans and Swiss have "invaded" the interior of the Province; but the Italians have remained at home. The defendants say there is no evidence or statistics to suggest that anyone has tapped the Italian market, that any Italians of significant means are investing in Canada, and that it is ludicrous to suggest that of all the realtors in the Province, only Mr. Donetti had the idea of creating a market for Italians.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Mark Cogan is a business counsellor with the British Columbia Ministry of Employment and Investment Business Immigration Office. His role is to facilitate and promote business investment by immigrants coming to British Columbia through the "entrepreneurial" category. He went to Italy on "business immigration missions" in 1992 and 1994. He was at the Canadian Embassy in Rome in November 1994 when Mrs. Donetti telephoned making enquiries. He spoke to her and they agreed to meet when he returned. All of the members of the family, including Monica, met with him in January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Cogan said that it was only in 1992 that the government considered promoting British Columbia to the Italians: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went to Italy the first time in 1992 and as a matter of fact nobody had thought of promoting B.C. in Italy and I had to convince some of my superiors to let me go to Italy because they did not see any strong potential there and as it turned out I saw big numbers of people and everybody was interested and those people I saw in 1992 I began seeing them land here in 1994 or 1995. So, my case is that the trend is going up but it will take some time until we get substantial numbers.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Cogan says that in recent times, the more sophisticated affluent Italians are tired of the government bureaucracy and inefficiencies, and overcrowding. He says they are looking for open spaces for a peaceful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they concentrate on the great Canadian outdoors, of course. Most Italians are interested in life in smaller communities where they would be closer to nature, lakes, mountains, ski resorts and things like that is what seems to interest them more. I noticed that the majority are more interested in smaller communities than life in Vancouver. So, it is quality of life that they are looking for rather than specific business opportunities, I would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Mr. Cogan's evidence lays to rest the defendants' argument that the Italian investor program is nothing more than a speculative flight of fancy.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Elio Gastaldo lives in Italy and has worked in the furniture business for more than forty years. He met Eugenio Donetti in 1975 and kept in touch over the years. He knew Mr. Comotto, a friend of Carlo's, and knew that he had bought real estate in British Columbia. Mr. Donetti convinced Mr. Gastaldo to visit British Columbia and look at the real estate opportunities. That decision ended with Mr. Donetti's death. Like Mrs. Azzara, the decision to invest outside the country requires someone you can work with and someone with whom a trust relationship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say that while in Clements v. Central Valley Taxi Ltd., </w:t>
      </w:r>
      <w:hyperlink r:id="rId451" w:history="1">
        <w:r>
          <w:rPr>
            <w:rFonts w:ascii="arial" w:eastAsia="arial" w:hAnsi="arial" w:cs="arial"/>
            <w:i/>
            <w:color w:val="0077CC"/>
            <w:sz w:val="20"/>
            <w:u w:val="single"/>
            <w:shd w:val="clear" w:color="auto" w:fill="FFFFFF"/>
            <w:lang w:val="en-US" w:eastAsia="en-US" w:bidi="ar-SA"/>
          </w:rPr>
          <w:t>[1992] B.C.J. No. 2490</w:t>
        </w:r>
      </w:hyperlink>
      <w:r>
        <w:rPr>
          <w:rFonts w:ascii="arial" w:eastAsia="arial" w:hAnsi="arial" w:cs="arial"/>
          <w:color w:val="000000"/>
          <w:sz w:val="20"/>
          <w:lang w:val="en-US" w:eastAsia="en-US" w:bidi="ar-SA"/>
        </w:rPr>
        <w:t>, (26 November 1992), New Westminster Registry, A910185 (B.C.S.C.), a former realtor was awarded a sum for lost opportunity when his career took a new direction shortly before his death, there was cogent evidence of others who occupied the same field and the earnings they made. In this case, the defendants say there is no evidence that anyone else has tried to tap the Italian market, and is no evidence that Italians of significant means are immigrating to and investing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may be that Italians who want to invest in Canada are not as wealthy as some of the Hong Kong investors or immigrants. That is beside the point. The Donettis were not particularly interested in whether the Italians actually wanted to move and immigrate to Canada, only that they wanted to invest in Canada by buying real estate in Canada. The fact that no other realtor has thought of creating an Italian market, does not mean that it is not a reasonable possibility or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Spencer J. in Clements at p. 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it is to a degree speculative to say what would have happened but for the accident, the burden of proof should not be so tightly drawn against the plaintiff that the law forgets that the difficulty of proof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are entitled to be protected from mere speculation, but in considering what might have happened in the now impossible future, they cannot hide behind the difficulties of proof caused by their own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even if the program was not as successful as Mr. Donetti hoped it would be, he could go back to concentrating on real estate in the local market as he had done quite successfully in the past. Mr. Donetti was a forward-thinking man, who continually looked for business opportunities. He was clearly an ambitious, driven, result-oriented person. He would have achieved a fairly large degree of success whatever direction his path may have taken him. Given his past history, Mr. Donetti would have changed direction to accommodate the winds of change.</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WRONGFUL DEATH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claim past losses in the range of $184,382 to $232,382, and future losses in the range of $564,000 to $719,000 for a total claim in the range of $748,382 to $951,382: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61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Support</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$ 90,000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Savings/Investments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$ 60,000-$108,000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Property Management</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$ 10,782</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Household Services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$ 23,600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$184,382-$232,382</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510"/>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Support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$217,000-$222,000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Inheritance</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$189,000-$339,000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C.P.P./O.A.S.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$ 27,000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Property Management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Household Services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$564,000-$719,000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4"/>
        <w:gridCol w:w="1046"/>
        <w:gridCol w:w="271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$748,382-$951,382</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argue that the total damages under the Family Compensation Act claim should be between $315,000 to $330,000.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PAST LOSSES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claim $119,999 to $168,000 for past loss. The defendants say that it should be roughly half of that, or $60,000 to $84,000 with a further deduction of 20 per cent for Mrs. Donetti's own real estate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income earned jointly by Mr. and Mrs. Donetti is shown in their tax records, and compared to the average earnings of realtors in the Province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2195"/>
        <w:gridCol w:w="1568"/>
        <w:gridCol w:w="1778"/>
        <w:gridCol w:w="19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Income</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Ratio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expenses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constant</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before</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realtors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2301"/>
        <w:gridCol w:w="1568"/>
        <w:gridCol w:w="12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93,000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127,000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73,000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earnings rose rapidly, peaked in 1989 at $122,000, followed by a decline in the last three years to $73,000 in 1994. The plaintiffs say that the downturn was caused by a shift in focus from selling residential real estate in the lower mainland, to acquiring rental properties elsewhere in the Province, and the Italian investor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says that the income declined because the Hong Kong market for the lower mainland had peaked, and there was a downturn in the real estate market. Neither the rental properties, nor the Italian investor program could have succeeded in helping to reverse the downward trend.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Robert Mackay, a chartered accountant and chartered business evaluator, calculated the plaintiffs' economic loss claim. He testified that the average realtor earnings reflect net commission before expenses, such as automobiles and promotion, so that the average earnings must be reduced roughly 15 to 25 per cent to be comparable. With adjusted figures, Mr. Donetti earned as much as three to four times more than the average realtor. The plaintiffs' claim is based on the assumption that the decline in income was attributable to the shift in business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Mackay calculated a loss of earnings to the date of trial, in the range of $94,000 to $126,000 annually, excluding rental income. The figures are in 1994 dollars. If in 1998 dollars, the range is in the order of $100,000 to $135,000. To arrive at the low end of the range, Mr. Mackay progressively weighted the average of the years 1989 to 1994, with more weight to the recent years. To arrive at the high end of the range, he used a simple average of five years from 1987 to 1991, to demonstrate Mr. Donetti's earnings when his efforts were solely directed to selling real estate. Both the high and low end figures reflect $10,300 for personal consumption and $10,000 for savings investments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Donald Spence is also a chartered accountant and chartered business evaluator. For the defendants, Mr. Spence calculated a loss of earnings to the date of trial, in the range of $152,000 to $207,000, in 1998 dollars. For the low end, Mr. Spence assumed that the declining income before the accident continued into the future. This approach attributes income of $60,000 for 1995, $50,000 for 1996, $42,000 for 1997, and $35,000 for 1998. For the high end of the range, Mr. Spence assumes the average salesperson's income based on Canadian Mortgage and Housing Corporation data. This approach results in earnings ranging from $56,000 in 1995 to $70,000 in 1996, with an average of $62,600.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flaws in both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Mr. Mackay's low-end and high-end ranges, ignore 1984 to 1988 which were weaker years for real estate sales. By using only the four years from 1987 to 1991, the boom years, he ignores the downturns.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 defendants complain that it would be unreasonable to accept Mr. Mackay's approach and find that Mr. Donetti's income would have shot up from $67,000 to $96,000 in 1995, it is just as unreasonable to accept Mr. Spence's approach which assumes that Mr. Donetti would have earned just $35,000 in 1998. His earnings never fell anywhere close to that level. Even in 1994, after his income declined, his earnings remained almost twice that of the average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most likely that the slight downward trend in income during the last three years was the result of a combination of three factors: the decline in real estate activity, the revenue properties, and for the last year and a half, the Italian investors program. I find that given his previous track record, it is likely that Mr. Donetti would have continued to earn more than the average realtor. It is also important to note that while the real estate market may have been in a downturn trend, the Donettis' rental income seemed to have more than made up for it. Between 1992 and 1995, the net rental revenue increased from approximately $6,000 to close to $47,000: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2091"/>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 Rental</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Rental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before CCA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987"/>
        <w:gridCol w:w="240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$40,938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$6,446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66,561</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23,981</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90,578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13,084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96,748</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46,803</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find it is more than likely that Mrs. Azzara, but for Mr. Donetti's death, would have invested some if not all of the $4 million between 1995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say that the future loss claims should be reduced by 20 per cent to reflect Mrs. Donetti's own efforts and the fact that they split their income. I disagree. Before the accident, Mrs. Donetti never worked on her own as a realtor. When she had worked with her husband, she was wholly dependant upon him and his work. She had never listed a house, written an offer, negotiated the sale of a house, or for that matter, done anything of significance on her own. All the defendants can point to is that Mrs. Donetti would conduct an open house at the same time her husband was conducting another open house, and that she would review and make lists from the information on microfiche. I accept that the reason she acquired her real estate licence was to that she could take a rightful place beside her husband while he worked and networked.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Donetti split his income equally with Mrs. Donetti. In calculating the past losses, I take into account the gross commissions in both of their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2614"/>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Donetti</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Donetti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614"/>
        <w:gridCol w:w="2823"/>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1987</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$58,126.21</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$58,995.96</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1988</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68,890.40</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62,445.94</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1989</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75,897.32</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73,262.74</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1990</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70,757.19</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70,757.18</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68,244.75</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68,796.02</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63,282.74</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59,313.91</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54,952.60</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55,077.15</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45,209.00</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45,209.00</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Taking all of these matters into account, I fix past loss of earnings from the date of the accident to the date of trial in the amount of $125,000.</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Savings/Investment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Donettis were a fairly frugal family. Any excess funds were directed towards real estate, or real estate improvements, rather than fancy clothes, cars, or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Mackay calculated past lost wages on the basis of savings or investments of $10,000 annually. Another approach calculates the amount consumed by the family, and considers that the balance would go towards savings or investments. This results in a range of $60,000 to $108,000 for past loss of savings/investments.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in their submission say that in the six years before the accident, the total source of funds not borrowed or inherited, and used to purchase and renovate the various properties, was $118,000. Excluding the South Surrey house, which was financed for the most part by the sale of the Kerrisdale house, the defendants calculate an average annual savings rate of $11,700.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think a figure of approximately $11,700 for savings each year is a reasonable sum. For this head of damage the plaintiffs are entitled to $41,000.</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Property Management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Since the accident there has been a decline in the rental income which totalled $100,000 annually before the accident. I agree that much of the decline is a result of the depressed economy in the area and the increased vacancy rates. The plaintiffs claim the loss of Mr. Donetti's management services on the basis of the fee charged by professional property managers, less the amount paid to the current managers in Kamloops and Lillooet. In Kamloops, a property management fee is typically eight per cent of gross rental income or a minimum of $60 per unit per month. The Donettis currently have managers in Kamloops. However, it is obvious that they do not provide professional management services such as keeping track of the rents and revenue, and placing advertisements for new tenants. Those are matters that Carlo has been forced to take on without pay, and I accept that he finds it difficult to do because of the injuries he has sustained. For example, he now forgets to put an ad in the newspaper when a unit becomes vacant so that the unit remains vacant. He finds it difficult to figure out which tenant has paid, how much, and when. These are fairly simple accounting matters that Mr. Donetti used to look after. The difference between professional property managers and the cost of the current service is $3,594, or a total of $10,782. I therefore award the sum of $10,782 for past loss of property management services.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rely on the report of Robert Carson, a labour economist, to claim $23,600 for loss of household services on the basis of $7,884 a year. It is calculated on a 1992 Statistics Canada survey which estimated that a married male with no children performs an average of 1.8 hours of household work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1992 Statistics Canada General Social Survey, Mr. Carson in his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 employed, married males with no children in the household the average number of hours of household work (domestic work and shopping) was calculated to be 1.8 per day. Among retired, married males the average was 3.0. In a separate study Statistics Canada developed an estimate of the value of an hour household work which was $10.60 in 1992, in British Columbia. The current equivalent value is about $12. Thus, the annual value of household work done by employed married males with no children averages 1.8 x 365 x $12 = $7,884. Among retired males the annual value is 3.0 x 365 x $12 = $13,140.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values presented above are statistically based estimates of the average value of all household work done by males. I do not have any information specific to Mr. Donetti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Donetti endearingly referred to her husband as the "typical Italian guy": he did not help with cooking, cleaning, loading the dishwasher, or household chores. He was not handy with a hammer; he was not a handyman. But he was there when she needed help with any heavy work, or when she and Carlo needed help with the gardening. More importantly, he helped with developing and improving the South Surrey property, which clearly required more work than most houses, with the guest house, swimming pool, pond, and tennis courts, and also assisted at the Bridge Lake property and the revenue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unable to award the plaintiff an amount based on what the average male does around the household, if Mr. Donetti did less than an average married male. He did however, do something. Under this head of damages, for loss of household services to the date of trial, I award $11,800.</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claim future loss of support in the range of $217,000 to $222,000, and in addition, future loss of inheritance based on the Italian investor program, in the range of $189,000 to $339,000, for a total future loss in the range of $406,000 to $561,000. The defendants ignore the impact of the investor program as speculative, and say damages for the total future loss claim should be limited to between $220,000 to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Donetti was 57 years old at the time of his death, but there was no evidence that he was slowing down, or planned on retiring at the age of 65. He was in good health. His father worked to the age of 94, his brother-in-law worked to 75 and another brother-in-law works full time as a lawyer at the age of 70. Except for travelling to Bridge Lake about once a month, he had no hobbies. His life revolved around his work and family. They were integral to each other. In the last year and a half of his life, he was focussed on building a family business. I have no doubt that if Mr. Donetti had continued to live, he would have worked to the age of 70.</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For future loss of support, Mr. Mackay relies on the same two models and assumes that, but for the accident, Mr. Donetti could have achieved an annual income in the range of $94,000 to $126,000. Assuming an annual income of $94,000, consumption at $10,300, and savings of $10,000, the present value of the loss to age 70 is $289,782.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are, however, a number of factors and contingencies that the defendants say should be taken into account. The first is the fluctuating nature of the real estate business. He could have made much less; but then, he could have made more. There is also a chance that Mr. Donetti might have slowed down as he got older, either through illness, accident, or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the positive contingency resulting from both Canada Pension Plan and Old Age Security. If Mr. Donetti retired at age 70, Canada Pension Plan and Old Age Security adds $5,980 to his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view of my finding that Mr. Donetti would have succeeded in developing the Italian investor program, there is the reasonable likelihood that as that program developed Mr. Donetti would have devoted less time to his "usual" real estate practise and focussed more on the investment program. Similarly, as the number of his revenue properties increased, he may have devoted more time to them, again taking time away from his usual real estate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claim a deduction for the accelerated receipt of inheritance on the basis that, at the date of death, the rental properties were bringing in more than $46,000 before capital cost allowance, and that income went into the family and would be used by Mr. Donetti for his own consumption. I do not propose to make any deduction for an accelerated receipt of inheritance. I am satisfied that whatever Mr. Donetti consumed, he was frugal when it came to his own needs, and it seems that revenues from the rental properties were used for the benefit of the properties or were reinvested.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not awarding a separate sum under this heading and will combine it with the plaintiffs' claim for future loss of wealth.</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Wealth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say that there is a reasonable and real possibility that the steps taken by Mr. Donetti towards Mrs. Azzara and other potential Italian investors would have produced future income for the family in the way of commissions and property management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claim that the basis for calculating the loss is on the basis of commissions and property management income. Generally there is a seven per cent commission on the first $100,000 of the purchase price, and 2.5 per cent on the balance. It results in an average commission to the purchasing agent of 46.5 per cent of the total commission, or 2.08 per cent of the purchase price. For every $1 million of real estate sold, the commission is $20,000. The plaintiffs claim a flat two per cent commission to Mr. Donetti as the selling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next part of the plaintiffs' argument is like pie in the sky, but it goes along these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property management fees at eight per cent of gross rents, or a minimum of $60 a unit each month, if investors purchased 10 buildings with 10 units for $4 million, the management fees would be $72,000. With up to $15 million invested for 375 units, the management fees would be $270,000. As the number of units increased, the costs and overhead expenses would increase, but net profits would benefit the family while Mr. Donetti lived, or by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Three scenarios were presented: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Scenario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assumed that $15 million is used to purchase $30 million in real estate, with the financing and interest costs paid by rent. On $30 million Mr. Donetti stood to gain commission income of $600,000. Additional management fees produce an annual income of $540,000 (1.8% x $30 million), which after overhead and expenses, results in a net benefit of 30 per cent or $162,000. The present value to age 70 is $1,177,740.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Scenario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$15 million in real estate was purchased, without financing, commissions at two per cent would be $300,000. Management fees would be $270,000 (1.8% x $15 million). Allowing 40 per cent for expenses and taxes, leaves $108,000. The present value of this amount to age 70 is $785,000.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Scenario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last scenario presupposes additional investments of $5 million annually, beyond the initial $15 million, which over 12 years results in a cumulative total loss of $2,106,000, excluding the market value of the management company and accumulated growth from personal investments. I will not dwell further: it is now pure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Donetti was killed just as he was embarking on a new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While I accept Mrs. Azzara as a credible witness, there was no evidence from the other two investors. It goes to the weight I give Mrs. Azzara's evidence. I am not prepared to go so far as to find that Mrs. Azzara (and her partners) would have invested $15 million, but I find they would have invested something in the range of $4 to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Evidence of Mr. Donetti's initial success is supported by Carlo's friend, Mr. Comotto, and Mr. Gastaldo. It is unfortunate that the Donettis' first advertisement in an Italian magazine was published in the month of Mr. Donetti's death. The fact that there was an initial response of approximately 400 inquiries showed that there was promise. Carlo tried without success to carry on with the program. I will deal with that later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satisfied that the Donettis would have opened their own real estate and property management company and once Mrs. Azzara made the initial investment, they would have started managing the properties. Given the relationship of trust between Mrs. Azzara and Mr. Donetti, he would have insisted on a "hands on" approach. He would not have simply sold the real estate to her, and then left the management to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always difficult to gaze into the future. However, in all of the circumstances, I find the sum of $250,000 for future loss of wealth is reasonable.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Canada Pension Plan/Old Age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If Mr. Donetti retired at age 65, Canada Pension Plan and Old Age Security would add $5,150 to his net income; at age 70, it would add $5,980. I accept that Mr. Donetti would have worked to age 70, so the loss works out to $27,000 ($5,980 x 4.519 multiplier).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Property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consider this amount to be included under future loss of wealth.</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Relying on the passage I quoted above from the report of Mr. Carson, the plaintiffs claim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7"/>
        <w:gridCol w:w="419"/>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To age 70: $7,884 x 7.270</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$ 57,000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After 70: $13,140 x 3.657</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$ 48,000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$105,000</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the defendants' argument remains the same, they say that the figures do not take into account declining physical capacity and endurance with age, and it is unrealistic to provide for a continuing consistent loss to age 80. On the other hand, in my view, Mr. Donetti would have more time for household chores if he retired. I award $50,000 for future loss of household services.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some suggestion in the plaintiffs' argument that there should be an award for loss of guidance for Carlo and Monica. Awards for loss of guidance, companionship and affection are generally awarded to infant children. At the time of the accident, Carlo was 29 and Monica was 30. Monica lived with her husband from December 1988 until they separated in September 1994. While she was close to her father, and they discussed real estate matters, as did Carlo, and they both benefited from their father's guidance and advice, I do not think those facts merit an award under this head. Carlo Donetti and Monica Donetti-Ross are adults.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Plaintiffs' counsel has indicated that the parties may agree on special damages of $18,365.29 in the Family Compensation Act claim. If they have been unable to agree, the parties may make further submissions.</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CLAIM OF CARLO DONETTI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Carlo Donetti was born in July 1965. He was 12 years old when he came to Canada. He graduated from the University of British Columbia with a Bachelor of Arts degree in 1989. While attending university he had two jobs during the summer and Christmas holidays, working at a car rental company and the wheat pool. Following graduation, he worked at Canada Trust until September 1990 when he obtained his real estate licence. Following his initial training period, he started working at the same realty firm as his parents. He then went to work with Monica and her husband who worked together as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the end of 1993, Carlo acquired a six-unit apartment building in Kamloops. In 1994, with his friend Angelo Comotto, who lives in Italy, they put $80,000 down and purchased another revenue property in Kamloops. In August 1994, Carlo obtained his agent 9.15 licence, as part of Mr. Donetti's overall plan to open their own real estate and property management company. For about a year and a half before the accident, Carlos spent much of his time working with his father developing the Italian investor program, and meetings with various immigration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Carlo was a passenger in his father's car when the accident occurred. He was taken by ambulance to a treatment facility at Barriere and transferred to Royal Inland Hospital where they found he had suffered a depressed compound skull fracture, bilateral shoulder dislocation, burst fracture of the L-5 vertebra with retropulsion into the spinal canal, lacerations to his left hand, and nerve damage in his right foot. He was air ambulanced to Royal Columbian Hospital later that day. Carlo recalls almost nothing about the accident or his stay in the hospital. On March 19, 1995, he underwent a craniotomy to repair the skull fracture. On March 30, 1995, he was discharged from hospital and returned home where his mother and his sister cared for him. He had extensive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For the first six months following the accident, Carlo wore a back brace. He could only stand up or lie down. He could not sit or shower, and he found it difficult to go to the bathroom. He was weaned out of his brace over the course of a couple of weeks so that he could stand without it. At first, his sitting was limited to five to ten minutes, three times a day. He continues to experience low back pain. He has discomfort after sitting for a short while watching an hour-long television show, or driving short distances. By the time of trial, more than three years after the accident, prolonged sitting or long drives still bothered his back to the point that he would have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Carlo suffered what is called traumatic spondylolisthesis, that is, the movement of one vertebra on the vertebrae below it. Fragments of the L-5 burst fracture were retropulsed into the spinal canal. This is related to the L-5 root complications and part of the reason why Carlo still has difficulty sitting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Yu, an orthopaedic surgeon, saw Carlo on July 25, 1995, when he was still wearing a brace, and on March 19, 1996, about a year after the accident. At that time, Carlo was complaining about frequent right leg cramps, decreased feeling in his right thigh, and periodic back pain. Dr. Yu confirms that all of this is related to the L-5 root damage. He is of the opinion that there will be some permanent weakness in the leg and Carlo's chance of having significant mechanical back pain is "quite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the end of 1996, the orthopaedic injuries had plateaued. Carlo purchased gym equipment so that he could continue his exercises at home. With exercise, and modification of activities, he manages, but he continues to suffer range impairment with his shoulders which were both dislocated in the accident. He has a difficult time raising his left arm over his head, even to put three or four plates back onto the shelf. He can no longer sleep with his arms under his pillow like he used to, and had to train himself to sleep in other positions. There are times that his shoulders will "cramp up", wake him up, and make it difficult to sleep. Because of his shoulders he can no longer engage in heavy sports. He used to be an avid weightlifter and tennis player. He used to run. He took pride in his appearance, and he looked good. His friends say he no longer has the athletic build 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While it varies with the amount and kind of activity, whether it's sitting or standing, Carlo finds that by the end of the day he has to lie down for a couple of hours. There are times when he has to lie down after lunch. After driving back from Kamloops, he has to spend the entire evening on the couch. He has difficulty with his hips, and kneeling down. He has to bend down with both legs to pick anything up, or he will get a shooting pain down his right hip. This makes it difficult to access the vacuum system or alarm system in the crawlspace. He has a reduced sensation on the top of his right foot. He gets frequent cramps in his right leg, through the ankle, calf and hamstring. Dr. Yu confirmed that the pain in his right hip, and the wasting away of his right thigh and calf were caused by the L-5 root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do not deny that Carlo Donetti suffered serious orthopaedic injuries. The residual effects of the injuries will remain with him for the rest of his life. It is unlikely that he can resume any strenuous physical activities that he used to enjoy, such as weightlifting, tennis, and running, although he does swim, and perform recommended stretching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However, it is not the orthopaedic injuries that cause Carlo most of his present frustrations.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 year after the accident, he returned to work. He found he was no longer as effective as he once was. Whenever he was at a meeting, he felt that he was a step behind everyone else. He forgot to attend meetings, he was not as prepared as he ought to have been, and he found it difficult to make decisions. It was all a struggle. In 1997, Carlo went to Italy. Before he went, he was given a portfolio of properties from a local developer, whose owner was the president of the B.C. Italian Chamber of Commerce. There were several meetings in Genoa with other businessmen about the possibility of a joint venture project. Carlo described his performance at the meetings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the hardest time when there is more than one person and myself. That's when I really felt that I was a step behind. It seems like everybody was participating in the conversation and by the time I had figured out what my next interjection was going to be, I lost my chance and the conversation had moved on, so for me it was very frustrating.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Carlo finds he has a difficult time carrying out ordinary daily tasks: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a real hard time on a day-to-day basis with various aspects of just everyday tasks.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have a hard time organizing myself, sometimes I have a hard time with motivation, lots of times I feel a real lack of energy and at times I'm in a confused state where I want to do about ten different things and I don't end up doing any of them. Basically, I am inconsistent with clients. I have had times where I was supposed to get back to people and failed to do so. I was supposed to provide information and I forgot to do it. It just seems like I spin my wheels and I don't seem to get anywhere.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Carlo sustained massive lacerations which were sutured. However, the scars remain from the left side of his forehead to his nose. When Carlo tried to return to his normal life, the scarring bothered him. He avoided going out, he avoided his friends, and for a while he avoided going to the office. The scars continue to make him self-conscious.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times he will have a constant headache that remains in the background but lasts for two to three days. Other times, he gets a sharp throbbing headache that lasts for several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more things Carlo tries to do, the more difficulties he notices. He complains about not being consistent. He does not know why he lacks interest in doing things that used to interest him, such as tennis. He finds it difficult to manage the rental properties with tasks that should be fairly straightforward. He has difficulty determining what rent deposits should be credited to which tenants, who is in arrears, and the extent of the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Mrs. Donetti is obviously saddened by the change in Carlo. Carlo used to be affectionate, talkative and outgoing. He is now easily upset when he cannot do what he did before, such as swim without pain; he is now rude; his mind is not as it once was; and what bothers Mrs. Donetti most of all, is his "coarseness" or "coldness". She said he is "like a dried cod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Monica Donetti says that before the accident Carlo was very gentle and mild mannered. Now he is extremely difficult to deal with, opinionated, abrupt, has a short fuse and short concentration span, and is "very, very,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his father had 16 rental units to deal with, since the accident Carlo has 22 units to contend with, including his own. He finds it difficult to reconcile what should be relatively straightforward in terms of rent that is due or overdue, and he forgets to do simple tasks such as putting an advertisement in the newspaper when a unit is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real estate transactions, he no longer follows up. He forgets important things, such as getting an amendment to an agreement signed. If Monica involves him in a transaction, she must constantly look over her shoulder to make sure he does things properly. She did not have to do that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first advertisement published in Gulliver Travel magazine resulted in some 400 responses. Carlo responded to each letter and followed up on those he thought were important. It resulted in visitors from Italy interested in real estate, staying at the South Surrey house. Some of the visitors moved to Canada. By 1997, Carlo had a couple of transactions, but for the most part nothing developed from the Italian investor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Several of Carlo's friends testified. One of them is Susan Lai Chow. Mrs. Chow has a Masters degree in landscape architecture. She has known Carlo since 1989, and they remain good friends. In 1990 he helped her negotiate an excellent deal on a new car. She described him then as very outgoing, very assertive, very aggressive, and very convincing. In 1991 he helped her with the purchase of a house. Again, he demonstrated excellent negotiating skills, he was very professional, he was confident, and she was pleased with his results. He was able to help her find a house to her liking within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Following the accident, Ms. Chow noticed a change in Carlo's personality. He was more serious, more forgetful, and did not want to see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January 1997, Ms. Chow enlisted Carlo to sell her house. The difference in his approach was remarkable. He did not call her when it was time to renew the listing agreement. This happened three times, and each time she was irritated with a barrage of calls from other realtors wanting to list the house. She found him forgetful, in not following up in what he said he would do, or what one expects from a realtor. On several occasions she has offered to find another realtor if he was not capable of carrying on, but he insists that he can do the work. One time he forgot to call her when she was in Calgary and an offer was made on her house. Carlo said he would call her in Calgary. He never did. He said that he forgot. At the time of trial, the house had been listed with Carlo for a year and a half, and remained unsold. While at one time, Ms. Chow had great confidence in Carlo's abilities as a realtor, she has lost all confidence. But for their friendship, she would not use him as a realtor, nor would she recommend him to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Nick Macri met Carlo when they worked together in 1989 as tellers at Canada Trust. They had similar interests, including tennis, and went to clubs and bars together. According to Mr. Macri, Carlo "was a pretty confident guy back then as far as picking up the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1991 Mr. Macri was getting married, and Carlo helped him buy an apartment. Carlo regularly reported to him on what was happening, he returned telephone calls, and he worked hard at finding what was suitable. Later, Carlo helped Mr. Macri's mother-in-law sell her home, and the Macris sell their apartment and buy a house. Throughout their business dealings, Carlo acted professionally.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Following the accident, Mr. Macri saw Carlo in the hospital every day. When he returned home to South Surrey they saw each other about once a week, because Mr. Macri was living in North Vancouver by then. By the summer of 1996, Mr. Macri noticed that Carlo, who once used to be quite confident about himself, was withdrawn. He no longer plays tennis or lifts weights, and he tires easily. He used to be quite flamboyant, talkative, expressive, quick with comeback remarks, and had a memory for detail. That is no longer. Carlo is now listless and forgetful.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Alberto Comotto is a mechanic who lives in Italy and who has known the Donetti family for many years. Mr. Comotto spoke about the difficulties with doing business and investing in Italy. Eugenio Donetti convinced Mr. Comotto to invest in real estate in British Columbia. In 1994, he and Carlo purchased a residential duplex in Kamloops. In late 1994, he learned that Mr. Donetti was trying to attract others from Italy to invest in the Province. He was aware of the letters that the Donettis sent to friends in Italy, and their advertisements in newspapers. In 1997, Mr. Comotto purchased a second duplex in Kamloops so that he now has two revenue properties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evidence satisfies me that Carlo Donetti has undergone a significant personality change since the accident. I was impressed by the evidence of Ms. Chow and Mr. Macri, and accept that the change in Carlo Donetti has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medical doctors are divided on whether he sustained a brain injury, or post-concussion syndrome and unresolved grief.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Morton Knazan, a neurologist, reviewed the medical records and reports on Carlo, and examined him on June 24, 1997. Carlo complained to Dr. Knazan that since the accident he was more irritable, forgetful, and lost track of what he was doing. He forgot doctors' appointments, forgot to make business calls, left the milk boiling on the stove, and allowed water in the fishpond to overflow. He knew, for example, that he had to exercise but had a hard time doing it. He did not know whether these things were happening because he was fatigued or unmotivated. He had difficulty dealing with stress, and the depths of his feelings - whether he was happy or sad - were not as pronounced as they once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Knazan is of the opinion that Carlo suffered a moderate head injury and injury to the brain tissue which has resulted in behavioural and cognitive difficulties. In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has a series of complaints that relate to behavior and to a lesser extent cognition.,(sic) These difficulties include decreased memory function, flattening of affect ("my feelings"), decreased motivation and fatigue ("tiredness"). These symptoms have occurred following a closed head injury and are the type of difficulties that frequently follow a head injury of this nature. It can be difficult to determine whether behavioural and cognitive dysfunction following a closed head injury is primarily due [to] psychological factors or traumatic brain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concludes that the cognitive and behavioural difficulties are primarily related to the post-traumatic organic brain dysfunction, and to a lesser degree, post-traumatic psychological factors. If Carlo had not suffered the brain injury, he might have been more effective at dealing with the grief surrounding his father's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trial, when asked about the treatment available for curing a brain injury,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can't cure brain cells that have been injured. At least, we can't do it yet. All you can do is help the patient to deal with the injury through what they refer to as cognitive rehabilitation. That is a matter -- there is controversy as to how effective that is and how long it should be applied, but basically it doesn't cure the injury to the brain cells.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David Chan, a neuropsychologist, who initially saw Carlo on March 18, 1995, supports this view. Carlo continued to see Dr. Chan on a regular basis for neurocognitive retraining, to help him improve his attention, concentration, and to help him plan and organize so that he can function better. By the time of trial, Dr. Chan had seen Carlo over 50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Chan explained that Carlo sustained a diffused brain injury that involves the frontal lobe and executive functioning. As the phrase implies, executive functioning concerns planning, organization, initiation, motivation, the ability to make judgments, and decision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Chan suggests that any improvement Carlo makes in the future will be much less significant than in the past. He will continue to have psychosocial problems and a reduced capacity to function daily in any work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his report, Dr. Chan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Mr. Donetti's post-traumatic headaches, injury to the brain tissue as a result of the traumatic brain injury, emotional sequelae, post-concussion syndrome and the physical difficulties described by the medical consultants, it is likely that he will encounter some difficulty in securing and maintaining employment in his own occupation or other alternative employment. Although he is probably employable in the future, it is likely that the injuries he sustained from the motor vehicle accident will continue to have a major impact on his future economic and psychosocial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the words of Dr. Knazan and Dr. Chan, Carlo is one of the "walking wounded". This is a term used in rehabilitating traumatic brain injured persons: although he looks normal, he is wounded inside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H. Davis, a psychiatrist, interviewed Carlo on January 22, 1997, and reviewed the numerous medical reports. He is of the opinion that Carlo suffers from post-concussion syndrome that has resulted in protracted depression, which is to a degree responsible for "subjective cognitive problems", that is, poor memory and concentration. Superimposed onto the post-concussion syndrome is unresolved grief reaction to his father's death. Dr. Davis does not believe that there is any structural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the request of defendants' counsel, Dr. Stephen Kline, Head of the Department of Psychiatry at St. Paul's Hospital, reviewed the medical reports and assessed Carlo on January 26, 1998. Dr. Kline, in his report of February 8, 1998,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Mr. Donetti has had a moderate head injury with a mild brain injury. He continues to grieve for his father and his own diminished function but this issue is secondary.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requires ongoing neurocognitive treatment for at least a year to continue to work on mood control and cognitive function. He could go on a trial of SSRI antidepressants to see if that helps with his grief, but I believe that psychotherapy over three to six months, which is focused on the grieving itself, would help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prognosis is quite good in that he is employable in his chosen area of work. However, he is likely to operate suboptimally at work for his adult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admit that Carlo suffered significant injuries and that with the death of his father, he lost his best friend, the leader of the family, and his business associate. The defendants say that his grief and insecurity was "heightened" and "overwhelmed" by the added responsibility of looking after the family business holdings, the management of the household, his own real estate practice and investments, and the Italian investment program. The defendants submit that there is "considerable room for improvement" both physically and mentally through exercise, neurocognitive training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Except for the medical reports of Dr. Davis and Dr. Kline, who both examined Carlo on only one occasion, the medical evidence does not support the optimistic view taken by the defendants. I prefer the evidence of Dr. Knazen whose testimony impressed me, and Dr. Chan who has seen Carlo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conclude that there is a combination of factors which have caused Carlo's current problems: he likely suffers from psychological problems, including ongoing depression, but most significantly he has suffered a brain injury. Given the time that has passed, his cognitive and behavioural difficulties will likely persist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Carlo admittedly finds it difficult to sell almost anything to anyone. At the time of trial, he had only one listing. He blames his lack of success on his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Other business opportunities have presented themselves to Carlo, and he has been unable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Accinelli lives in Italy and is an acquaintance of the Donetti family. In 1996, she was looking for a North American distributor for Tabiano Terme, a line of Italian cosmetics which has a wide market in Europe, and a line of Italian cookies. In the summer of 1996, she came to Canada and offered the distributorships to the Donettis. The only person who could take up her offer was Carlo. His 9.15 licence allowed him to earn an income other than from selling real estate. However, Carlo was in no physical or psychological condition to take on the task of selling anything at the time. Since then, the distributorship for the cosmetic line has been taken up by someone else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Carlo struck me as a very pleasant and articulate young man, but at the same time, he was very "flat", unemotional, and resigned. He did not exaggerate his symptoms. He is not one to complain. He has tried as best he can to accept what fate has dealt him and carry on. His plan was to work with his father developing the investor program, a property management company, and a real estate company. I accept that he is an example of what has been referred to as the "walking wounded". I accept that he cannot successfully return to selling real estate and that his injuries will continue to have a major impact on his future economic and social functioning.</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CLAIM OF CARLO DONETTI</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says non-pecuniary damages should be assessed at $180,000. The defendants say $85,000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relies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Danchuck v. Posthill, </w:t>
      </w:r>
      <w:hyperlink r:id="rId452" w:history="1">
        <w:r>
          <w:rPr>
            <w:rFonts w:ascii="arial" w:eastAsia="arial" w:hAnsi="arial" w:cs="arial"/>
            <w:i/>
            <w:color w:val="0077CC"/>
            <w:sz w:val="20"/>
            <w:u w:val="single"/>
            <w:shd w:val="clear" w:color="auto" w:fill="FFFFFF"/>
            <w:lang w:val="en-US" w:eastAsia="en-US" w:bidi="ar-SA"/>
          </w:rPr>
          <w:t>[1990] B.C.J. No. 1611</w:t>
        </w:r>
      </w:hyperlink>
      <w:r>
        <w:rPr>
          <w:rFonts w:ascii="arial" w:eastAsia="arial" w:hAnsi="arial" w:cs="arial"/>
          <w:color w:val="000000"/>
          <w:sz w:val="20"/>
          <w:lang w:val="en-US" w:eastAsia="en-US" w:bidi="ar-SA"/>
        </w:rPr>
        <w:t>, (6 July 1990), Vernon Registry, 8700176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Pranjic v. Guenette, </w:t>
      </w:r>
      <w:hyperlink r:id="rId453" w:history="1">
        <w:r>
          <w:rPr>
            <w:rFonts w:ascii="arial" w:eastAsia="arial" w:hAnsi="arial" w:cs="arial"/>
            <w:i/>
            <w:color w:val="0077CC"/>
            <w:sz w:val="20"/>
            <w:u w:val="single"/>
            <w:shd w:val="clear" w:color="auto" w:fill="FFFFFF"/>
            <w:lang w:val="en-US" w:eastAsia="en-US" w:bidi="ar-SA"/>
          </w:rPr>
          <w:t>[1993] B.C.J. No. 1501</w:t>
        </w:r>
      </w:hyperlink>
      <w:r>
        <w:rPr>
          <w:rFonts w:ascii="arial" w:eastAsia="arial" w:hAnsi="arial" w:cs="arial"/>
          <w:color w:val="000000"/>
          <w:sz w:val="20"/>
          <w:lang w:val="en-US" w:eastAsia="en-US" w:bidi="ar-SA"/>
        </w:rPr>
        <w:t>, (25 June 1993), Kamloops Registry, 17034 (B.C.S.C.);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 v. Cotton </w:t>
      </w:r>
      <w:hyperlink r:id="rId454" w:history="1">
        <w:r>
          <w:rPr>
            <w:rFonts w:ascii="arial" w:eastAsia="arial" w:hAnsi="arial" w:cs="arial"/>
            <w:i/>
            <w:color w:val="0077CC"/>
            <w:sz w:val="20"/>
            <w:u w:val="single"/>
            <w:shd w:val="clear" w:color="auto" w:fill="FFFFFF"/>
            <w:lang w:val="en-US" w:eastAsia="en-US" w:bidi="ar-SA"/>
          </w:rPr>
          <w:t>(1995), 10 B.C.L.R. (3d) 73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those cases, the range of non-pecuniary damages was from $150,000 to $165,000. I agree with the defendants that the plaintiffs in those cases suffered more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rely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Kennelly v. Monk </w:t>
      </w:r>
      <w:hyperlink r:id="rId455" w:history="1">
        <w:r>
          <w:rPr>
            <w:rFonts w:ascii="arial" w:eastAsia="arial" w:hAnsi="arial" w:cs="arial"/>
            <w:i/>
            <w:color w:val="0077CC"/>
            <w:sz w:val="20"/>
            <w:u w:val="single"/>
            <w:shd w:val="clear" w:color="auto" w:fill="FFFFFF"/>
            <w:lang w:val="en-US" w:eastAsia="en-US" w:bidi="ar-SA"/>
          </w:rPr>
          <w:t>[1991] B.C.J. No. 254</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Kennelly v. Monk </w:t>
      </w:r>
      <w:hyperlink r:id="rId456" w:history="1">
        <w:r>
          <w:rPr>
            <w:rFonts w:ascii="arial" w:eastAsia="arial" w:hAnsi="arial" w:cs="arial"/>
            <w:i/>
            <w:color w:val="0077CC"/>
            <w:sz w:val="20"/>
            <w:u w:val="single"/>
            <w:shd w:val="clear" w:color="auto" w:fill="FFFFFF"/>
            <w:lang w:val="en-US" w:eastAsia="en-US" w:bidi="ar-SA"/>
          </w:rPr>
          <w:t>[1994] B.C.J. No. 905</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(1994), 93 B.C.L.R. (2d) 183</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Howie v. Cornock </w:t>
      </w:r>
      <w:hyperlink r:id="rId457" w:history="1">
        <w:r>
          <w:rPr>
            <w:rFonts w:ascii="arial" w:eastAsia="arial" w:hAnsi="arial" w:cs="arial"/>
            <w:i/>
            <w:color w:val="0077CC"/>
            <w:sz w:val="20"/>
            <w:u w:val="single"/>
            <w:shd w:val="clear" w:color="auto" w:fill="FFFFFF"/>
            <w:lang w:val="en-US" w:eastAsia="en-US" w:bidi="ar-SA"/>
          </w:rPr>
          <w:t>[1994] B.C.J. No. 77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Jones v. Forsyth </w:t>
      </w:r>
      <w:hyperlink r:id="rId458" w:history="1">
        <w:r>
          <w:rPr>
            <w:rFonts w:ascii="arial" w:eastAsia="arial" w:hAnsi="arial" w:cs="arial"/>
            <w:i/>
            <w:color w:val="0077CC"/>
            <w:sz w:val="20"/>
            <w:u w:val="single"/>
            <w:shd w:val="clear" w:color="auto" w:fill="FFFFFF"/>
            <w:lang w:val="en-US" w:eastAsia="en-US" w:bidi="ar-SA"/>
          </w:rPr>
          <w:t>[1996] B.C.J. No. 1420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Allen v. Homan </w:t>
      </w:r>
      <w:hyperlink r:id="rId459" w:history="1">
        <w:r>
          <w:rPr>
            <w:rFonts w:ascii="arial" w:eastAsia="arial" w:hAnsi="arial" w:cs="arial"/>
            <w:i/>
            <w:color w:val="0077CC"/>
            <w:sz w:val="20"/>
            <w:u w:val="single"/>
            <w:shd w:val="clear" w:color="auto" w:fill="FFFFFF"/>
            <w:lang w:val="en-US" w:eastAsia="en-US" w:bidi="ar-SA"/>
          </w:rPr>
          <w:t>[1997] B.C.J. No. 950</w:t>
        </w:r>
      </w:hyperlink>
      <w:r>
        <w:rPr>
          <w:rFonts w:ascii="arial" w:eastAsia="arial" w:hAnsi="arial" w:cs="arial"/>
          <w:color w:val="000000"/>
          <w:sz w:val="20"/>
          <w:lang w:val="en-US" w:eastAsia="en-US" w:bidi="ar-SA"/>
        </w:rPr>
        <w:t xml:space="preserve"> (B.C.S.C.);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Paananen v. McIntyre </w:t>
      </w:r>
      <w:hyperlink r:id="rId460" w:history="1">
        <w:r>
          <w:rPr>
            <w:rFonts w:ascii="arial" w:eastAsia="arial" w:hAnsi="arial" w:cs="arial"/>
            <w:i/>
            <w:color w:val="0077CC"/>
            <w:sz w:val="20"/>
            <w:u w:val="single"/>
            <w:shd w:val="clear" w:color="auto" w:fill="FFFFFF"/>
            <w:lang w:val="en-US" w:eastAsia="en-US" w:bidi="ar-SA"/>
          </w:rPr>
          <w:t>[1994] B.C.J. No. 2527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While none of the cases are on point, Paananen comes fairly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award the plaintiff $135,000 for pain and suffering, and loss of enjoyment of life.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Excluding the income from Carlo's revenue producing properties in Kamloops, his gross real estate commissions for the years of 1991 to 1994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$36,500</w:t>
            </w:r>
          </w:p>
        </w:tc>
        <w:tc>
          <w:tcPr>
            <w:tcW w:w="737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$45,500</w:t>
            </w:r>
          </w:p>
        </w:tc>
        <w:tc>
          <w:tcPr>
            <w:tcW w:w="737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$23,000</w:t>
            </w:r>
          </w:p>
        </w:tc>
        <w:tc>
          <w:tcPr>
            <w:tcW w:w="737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w:t>
            </w:r>
          </w:p>
        </w:tc>
        <w:tc>
          <w:tcPr>
            <w:tcW w:w="737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Carlo's income declined in 1993 and 1994 due in part to the declining real estate market. The defendants suggest that this demonstrates that Carlo's success was below the average realtor in the Province, and that his measure of financial success is only modest at best. The defendants point to his "mixed" academic record suggesting that he was not brilliantly academic, and therefore it does not make sense that he would be brilliant at work. However, in my view, the converse holds true. A brilliant academic record is no guarantee of brilliance in the work force, or in life generally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are reasons for the decline in Carlo's income in 1993 and 1994, and they have nothing to do with his ability as a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1991, Carlo was doing what he liked to do: working with his mother and father in the Italian market. In 1992, he was "door-knocking with my ex-brother-in-law in New Westminster". At that time, Monica and her husband had a real estate practice in New Westminster. In 1993, he and his father started researching the Italian investment program. In 1993, he also spent time looking for a house that was both compatible with their intention of entertaining prospective Italian investors, and acceptable to his mother. They moved into the South Surrey home in May 1993. It required work, including changing all of the doors and painting. He also worked on the house at Bridge Lake. In 1993, Carlo, along with his sister and her then husband, entered into a new and competitive market in South Surrey. He is frank to admit that he did not like working the South Surrey market, and did not give it a fair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Carlo spent the first couple of weeks in 1994 with Mr. Comotto, researching and acquiring his second rental property in Kamloops. Between March and June 1994, his parents acquired the last three rental properties in Lillooet. One of the trailers had been in a fire, and Carlo spent a lot of time helping to restore the trailer. In the summer of 1994, he studied for his agent 9.15 licence, and following that, Carlo and his parents concentrated on developing the Italian investor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point out that Carlo worked with his father and family without pay. However, given the closeness of the family, and Mr. Donetti's goal of creating a business that the family would participate in, and benefit from, I do not think Carlo should be penalized for doing so. His work added value to the family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issue of Carlo's past wage loss is difficult to quantify. At the time of the accident he had no listings. accept his evidence when he says that he was excited about developing the Italian investor program, because he liked working with his father, and working with the Italians. I also accept that most of his efforts in the year and a half before the accident were spent largely on helping his parents with Bridge Lake, their revenue properties, his own properties, and the investor program. The plaintiff, through his counsel, submits that past wage loss on the basis of $28,000 annually, results in a loss of $112,000 over four years. This amount would increase with a new property management company and commissions from investments from Italy commencing in mid-1995 resulting in a loss of $50,000 to $70,000 and increasing over the next three and a half years. The resulting total claim seeks damages in the range of $175,000 to $220,000.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claim is inflated. The defendant claims that the loss should remain at $8,000 a year for a total of $28,000. That position is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I find that the investment program would have been a success in that Mrs. Azzara would have made an investment and it is likely that more positive results would have flowed from the advertisements in the Italian publications if the accident had not occurred, I do not accept that his income would have skyrocketed from between $8,000 in 1994 to between $50,000 and $70,000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Mackay estimates the loss in the range of $22,000 to $78,000 for a period of 2.8 years to the end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accept the most likely scenario to be this: Mrs. Azzara would have made an initial investment of up to $4 million, in the later part of 1995, and into 1996. Carlo Donetti's income in 1995 would have increased beyond what he made in 1994, and it would have continued to increase. It is likely that Mr. and Mrs. Donetti would have claimed the greater amount of the commissions. The management company and real estate company Mr. Donetti saw in the future, would not have started for at least another couple of years, and probably more. It was likely dependant on the completion of the sale of the commercial property in Italy. The sale which seemed to take forever to conclude, was still concluding, for whatever reasons, a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For past loss of wages to the date of trial, I award the sum of $50,000.</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this task an extremely difficult one. It is made more difficult because of the relatively short history in Carlo Donetti's life as a realtor. I have no doubt that he was capable of being an excellent realtor. Based on the evidence, he generated confidence, and had what it takes to become more than simply the average realtor. I have no doubt that he would have achieved as much as, if not more than,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seeks damages for future loss of capacity to earn, in the range of $1.2 to $2.3 million. The defendants say there is "some expectation" that with the passage of time, the difficulties that Carlo presently faces, will have no impact on his future earning capabilities and any impaired earning capacity should be limited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much as I would like to remain optimistic, I have already found that the cognitive and behavioural difficulties will likely persist into the future, and will impact on Carlo's employment and earning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the evidence of Dr. Chan that Carlo no longer possesses the ability to concentrate, solve problems, be decisive, remember details, organize, follow up, or possess confidence. Those are the attributes that are necessary to work with any degree of success, as a realtor or businessman.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doubts that Carlo will continue to work as a realtor, or in any administrative or professional field, in the long term. It is not, as the defendants suggest, only a question of stamina and grief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says that there is a real and substantial possibility that Carlo could have achieved an annual income of $130,000 like his parents achieved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According to Mr. Carson, British Columbia males with a Bachelors degree, other than Law, that are employed as realtors or salesmen, earn on average $64,388 per annum, or $1,392,048 to age 65. When contingencies for all labour market conditions, including unemployment, non-participation, and part-time employment are factored in, that figure is reduced to $56,178 per annum, or $1,253,251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submits that these figures should be increased to about $1,400,000 to reflect Carlo's agent 9.15 licence, that he would likely work beyond 65, and that given the family history, the usual contingencies for unemployment, non-participation, and part-time factors will likely not have any impact. Carlo worked closely with his father who at times earned three to four times the average realtor, and the Italian investor program would have been in place by mid-1995. It is submitted that he therefore stood to earn in the range of $110,000 to $130,00 per annum, or $2,400,000 to $2,800,000 to age 65, or as much as $170,000 per annum, or $3,885,000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defendants say that Carlo cannot be compared to his father who married young, and established himself as a salesman well before Carlo has done anything. Carlo, they say, has led a sheltered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my view, that is not a fair criticism. It fails to consider the cultural differences that exist; that he was extremely close to his father who was his best friend; that Mr. Donetti was 47 years old when he became a realtor; and that the members of the family were close to each other because in Canada, all they had were each other. It also fails to consider that Carlo was 28 years old when he acquired a six-unit apartment building in Kamloops, and by 1994 his gross rental income was $26,543. That same year, he purchased his second revenue property. Carlo may have lived with his parents, but it cannot be said that he had a sheltered life. He was a young man on the brink of a new career path with his family, and one that was driven by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Carlo was 29 years old when the accident occurred. I accept that he would have followed in his father's footsteps; benefited from his father's guidance; he would have continued to earn money and save money; he would have acquired more revenue producing properties; and he would have benefited from the Italian investor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However, I do not think that he would have made significant amounts of money as early as 1995. I accept that within 5 years of the accident, he would have earned what the average realtor earned, and after that his earnings would have increased with the new business venture, and the investments made by Mrs. Azzara and others. Perhaps, in another 5 to 19 years, when he was around the age of 40, there is a real possibility that he could have earned around $130,000 or more annually. What he has lost is not only the ability to continue to work unimpaired in his chosen field, but the ability to continue buying more revenue properties. As the saying goes, it takes money to make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Carlo, however, remains able to work, albeit in a reduced capacity. The plaintiff maintains that his employment options are now limited to light duty or elementary service type jobs with earnings of $20,000 to $30,000 annually. To age 65, the present value of an annual income of $20,000 to $30,000 ranges from $666,000 to $888,000. The cost of $1,000 each year, over Carlo Donetti's lifetime to age 65, at a discount factor of 2.5 per cent, has a value of $22,200.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Faced with this difficult task of looking more than 30 years into the future that will now not happen as planned, I consider a fair and reasonable loss to be $950,000.</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Pecuniary Benefits of a Shared Living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loss under this heading deals with the loss of economic advantages arising from the loss of a future opportunity to form a relationship of interdependency. In reality, it is a claim for the loss of opportunity for Carlo to marry.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was evidence that Carlo no longer socialized as much as he did before the accident. He had a girlfriend before the accident, but that relationship ended around the beginning of 1995. Since the accident, Carlo tried dating, but for whatever reason, it did not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evidence is insufficient for me to find there is a real chance that Carlo will not marry. It is too early to determine his prospects of marriage. I remain optimistic. I therefore decline to make an award under this heading.</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Plaintiff's counsel has indicated that the parties may agree on special damages of $19,576.62 in the claim of Carlo Donetti. If they have been unable to agree, the parties may make further submissions.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Chan says that Carlo is now inflexible in his thinking. He gave as an example a postal strike which caused Carlo stress. He thought that if he needed to deliver a parcel to his rental properties, he would be forced to drive up. Although he is familiar with courier services, it did not occur to him that he could use the courier to deliver the parcel. Dr. Chan recommends future neurocognitive rehabilitation to help Carlo make alternate or back-up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Chan, in his January 1998 report, recommended that in addition to physical therapy and the neurocognitive rehabilitation intervention from time to time in the future, that Carlo requires ongoing psychological intervention and neurocognitive retraining for the next couple of years as the need arises, although the number of sessions will likely decrease as time goes on. The treatments cost between $90 and $120 a week. While the plaintiff claims $20,000, I think an award of $10,000 is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Yu has opined that Carlo's chance of significant back pain is quite high. In the future, Carlo may require treatments for his back, although it is not clear whether that would include physical therapy, such as massage therapy, physiotherapy, or a chiropractor. The figure of roughly $50 per treatment has been provided. In addition, there will be other out-of-pocket expenses for pain killers, and travelling and parking costs associated with any treatments. The plaintiff claims $50,000 for physical treatments, pain management, surgery, fitness maintenance, and medications. In my view, the figure is too high. Carlo has been managing so far, with periods of rest, and he likely will not require treatments for his back on a regular basis, at least not for the remainder of his life. I consider an award of $15,000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Lastly, Carlo will likely require help in the future with household maintenance, and looking after his revenue properties. At present he manages, with pain and with rest, but in the future he may require help to carry out the tasks he presently undertakes. Those tasks include gardening, painting, and the other handyman chores he performed, whether at his own residence or his revenue properties, and property management services. Before the accident, there were property managers, and I agree that professional property managers may be needed as Carlo is having difficulty with fairly simple accounting matters. Hopefully with time, and with neurocognitive rehabilitation, the situation will improve. The plaintiff claims $100,000 for household help and some maintenance of revenue properties. The figure is arrived at by considering that the present value of an average of 10 hours of assistance over a lifetime at $12 an hour is $138,500; at 5 hours, the figure is $58,000.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consider it will be some time before Carlo requires 5 hours of help a week, and when he does, I do not think it will be every week. I consider an award of $25,000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Therefore, the plaintiff Carlo Donetti is entitled to a total of $50,000 for future care costs.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claims a "conventional 'in trust' award" for his mother for the six months she cared for him following the accident when he was unable to care for himself. While the evidence on what Mrs. Donetti did for her son is scant, I accept from the evidence that for the first 6 months, Carlo could do little, but remain in bed. He needed help to go to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defendants say that Mrs. Donetti looked after her son out of love and it is not compensationable. I disagree. Even though Mrs. Donetti was not paid for looking after her son, she is entitled to be compensated. (see: Crane v. Worwood </w:t>
      </w:r>
      <w:hyperlink r:id="rId461"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(B.C.S.C.); Kroeker v. Jansen </w:t>
      </w:r>
      <w:hyperlink r:id="rId462"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(B.C.C.A.); Allen v. Homan </w:t>
      </w:r>
      <w:hyperlink r:id="rId459" w:history="1">
        <w:r>
          <w:rPr>
            <w:rFonts w:ascii="arial" w:eastAsia="arial" w:hAnsi="arial" w:cs="arial"/>
            <w:i/>
            <w:color w:val="0077CC"/>
            <w:sz w:val="20"/>
            <w:u w:val="single"/>
            <w:shd w:val="clear" w:color="auto" w:fill="FFFFFF"/>
            <w:lang w:val="en-US" w:eastAsia="en-US" w:bidi="ar-SA"/>
          </w:rPr>
          <w:t>[1997] B.C.J. No. 950</w:t>
        </w:r>
      </w:hyperlink>
      <w:r>
        <w:rPr>
          <w:rFonts w:ascii="arial" w:eastAsia="arial" w:hAnsi="arial" w:cs="arial"/>
          <w:color w:val="000000"/>
          <w:sz w:val="20"/>
          <w:lang w:val="en-US" w:eastAsia="en-US" w:bidi="ar-SA"/>
        </w:rPr>
        <w:t>, (10 April 1997), Prince George Registry, 30151 (B.C.S.C.). Clearly, if Carlo had not lived at home, he would have required paid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consider $2,000 to be an appropriate award for Franca Donetti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summary, the plaintiffs are entitled to the following damages in the wrongful death action:</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
        <w:gridCol w:w="4392"/>
        <w:gridCol w:w="167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support: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savings/investment: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property management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10,782.00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household services: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869"/>
        <w:gridCol w:w="219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support:</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Canada Pension</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Plan/Old Age Security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household</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guidance: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18,365.29</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$533,947.29</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the tort claim, Carlo Donetti is entitled to judgment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4691"/>
        <w:gridCol w:w="2085"/>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(pain and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suffering, and loss of enjoyment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life):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3857"/>
        <w:gridCol w:w="2918"/>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Past-wage loss: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4899"/>
        <w:gridCol w:w="1876"/>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capacity to earn: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6463"/>
        <w:gridCol w:w="1772"/>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pecuniary benefits of a</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shared living situation:</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3857"/>
        <w:gridCol w:w="2918"/>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19,576.62</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4066"/>
        <w:gridCol w:w="2710"/>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4587"/>
        <w:gridCol w:w="2189"/>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Trust award for Franca Donetti:</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$1,206,576.62</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addition, the plaintiffs are entitled to court order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Dykeman v. Porohowski, [2008] B.C.J. No. 416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S75643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616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Megan Martha Dykeman, Ronald Wellington Dykeman and Monica Diane Dykeman, Plaintiffs, and Stephen Porohowski, Ajit Singh Hothi and Bertha Rogers,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2"/>
      <w:bookmarkEnd w:id="135"/>
      <w:r>
        <w:rPr>
          <w:rFonts w:ascii="arial" w:eastAsia="arial" w:hAnsi="arial" w:cs="arial"/>
          <w:b/>
          <w:color w:val="000000"/>
          <w:sz w:val="20"/>
          <w:lang w:val="en-US" w:eastAsia="en-US" w:bidi="ar-SA"/>
        </w:rPr>
        <w:t>Civil litigation — Civil procedure — Costs — Offers to settle — Application by defendant for costs arising from jury trial dismissed — Defendant was found at fault in accident — Offer to settle did not comply with Rules — No basis for costs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1"/>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Porohowski in personal injury litigation for costs arising from jury trial -- Porohowski found at fault for motor vehicle collision -- Defendant Hothi not found at fault -- Porohowski and Hothi made pre-trial offer to settle to plaintiff -- Offer was rejected -- Amount of offer significantly exceeded judgment -- HELD: Application dismissed -- Porohowski not entitled to costs -- Offer to settle was not in compliance with Rule 37 of Supreme Court Rules -- Offers to settle under Rules only applicable in circumstances of joint tortfeasors, not in circumstances of joint but several liability -- Plaintiff entitled to fifty percent of costs due to loss on one large claim before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10"/>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0"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B.C. Reg. 221/90, Rule 37(2), Rule 37(24), Rule 37(31), Rule 57(9), Rule 57(15),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2"/>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W.D. Mussio.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Porohowski: L.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Hothi: G.G. Gibb.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2"/>
      <w:bookmarkEnd w:id="139"/>
      <w:r>
        <w:pict>
          <v:line id="_x0000_s1122"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Motion regarding Costs arising from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13-day jury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R. CRAWFORD J."/>
            <w:bookmarkEnd w:id="140"/>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Porohowski for costs arising from a 13-day jury trial. The plaintiff, Megan Dykeman, sued the defendants, Porohowski and Hothi, for personal injuries sustained in an accident on September 5, 2000, and in the same writ sued the defendant Rogers for injuries sustained in an accident August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case was pleaded and presented as one of personal injuries, particularly to the plaintiff's balance and sight affecting her horse-riding ability and various other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before the trial, the plaintiff settled the second accident claim against the defendant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at trial was presented with respect to the injuries sustained in both accidents and the claims arising from both accidents, given the intertwined nature of the medical evidence and its effect on Ms. Dykeman. The various medical experts, as well as experts as to vocational ability, vocational rehabilitation, and loss of earnings calculations, all presented their evidence as a whole arising from the two accidents. The jury was asked to calculate the whole of the damage claim and apportion causation between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jury assessed non-pecuniary general damages at $15,000, past loss of income at $4,400, nothing for damages for future loss of income and earning capacity, special damages at $5,000 and cost of future care at $20,000, for a total of $44,400.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jury apportioned causation equally, resulting in a judgment on the first accident for $22,200. Counsel have not settled the calculations for interest payable on past loss of income and special damages, and if need be that matter can be taken to the Registrar for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between the two drivers in the first accident, Porohowski and Hothi, the jury found Porohowski 100 per cent at fault for the motor vehicle collision. The parties have agreed that Hothi's costs will be paid directly by Porohowski pursuant to Rule 57(18)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Cost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2007, the defendants, Porohowski and Hothi, offered to settle the plaintiff's claim for the 2000 accident on the following terms: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TO: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Her solicitor,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MURPHY BATTISTA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Stephen Porohowski and Ajit Singh Hothi, offer to settle this proceeding on the following terms: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execution of a "BC Ferries" style Release against the Defendants, Stephen Porohowski and Ajit Singh Hothi regarding your client's claims for damages arising from the motor vehicle accident of September 5, 2000; these Defendants offer to pay to the Plaintiffs FIFTY THOUSAND DOLLARS ($50,000.00), total damages, after taking into account Part 7 benefits paid or payable and any advances made, plus costs in accordance with Rule 37(22) and (37).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DATED</w:t>
      </w:r>
      <w:r>
        <w:rPr>
          <w:rFonts w:ascii="arial" w:eastAsia="arial" w:hAnsi="arial" w:cs="arial"/>
          <w:color w:val="000000"/>
          <w:sz w:val="20"/>
          <w:lang w:val="en-US" w:eastAsia="en-US" w:bidi="ar-SA"/>
        </w:rPr>
        <w:t xml:space="preserve"> at the City of New Westminster, in the Province of British Columbia, this _____th day of July, 2007.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 SOLICITOR FOR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"Ajit Singh Hothi"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 SOLICITOR FOR THE DEFENDANT "Stephen Porohowski"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Porohowski rather bluntly submits the offer was delivered pursuant to Rule 37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presumably because the subsection references are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is apparent, the wording is not as prescribed by Form 64. Rule 37(2)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may deliver to any other party of record a written offer in Form 64 to settle one or more of the claims in the proceeding in the terms specified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37(31)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consequence of the plaintiff's failure to accept the offer is set out in Rule 37(24):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the offer has not expired or been withdrawn or been accepted,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of the offer was delivered and the defendant is entitled to costs assessed from that date, or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claim is dismissed, the defendant is entitled to costs assessed to the date the offer was delivered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offer made by Porohowski and Hothi contemplates settlement of the first accident and asks the plaintiff to sign a "BC Ferries" style Release against the defendants Porohowski and Hothi. Mr. Harris advised me that such a form of release allows the plaintiff, with an appropriately drafted release agreement, to reserve her claim against the other defendants who are not making any contribution to the settlement. That is, in my view, no more than an agreement to enter an agreement, as various terms and conditions may well be negotiated before the form of release would be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Secondly, it reflects the fact that there was an issue of liability as between Porohowski and Hothi as to who was at fault for the first accident that gave rise to the "joint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majority of the B.C. Court of Appeal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held that an offer made pursuant to Rule 37(31), titled "Multiple Defendants", is only applicable in circumstances of joint tortfeasors (people who by joint enterprise commit the tort) and not in circumstances of joint but several liability (the drivers in a car accident case, or persons whose various separate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caused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While that interpretation was arguably not the intention of the framers of the Rule (see the dissenting opinion of Finch C.J.B.C.), the decision has been followed in subsequent decisions of the Court of Appeal: see </w:t>
      </w:r>
      <w:r>
        <w:rPr>
          <w:rFonts w:ascii="arial" w:eastAsia="arial" w:hAnsi="arial" w:cs="arial"/>
          <w:b/>
          <w:i/>
          <w:color w:val="000000"/>
          <w:sz w:val="20"/>
          <w:lang w:val="en-US" w:eastAsia="en-US" w:bidi="ar-SA"/>
        </w:rPr>
        <w:t>Chaube v. Campbell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2004 BCCA 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Cao (Guardian ad litem of) v. Natt</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2004 BCSC 813</w:t>
        </w:r>
      </w:hyperlink>
      <w:r>
        <w:rPr>
          <w:rFonts w:ascii="arial" w:eastAsia="arial" w:hAnsi="arial" w:cs="arial"/>
          <w:color w:val="000000"/>
          <w:sz w:val="20"/>
          <w:lang w:val="en-US" w:eastAsia="en-US" w:bidi="ar-SA"/>
        </w:rPr>
        <w:t xml:space="preserve">, aff'd </w:t>
      </w:r>
      <w:hyperlink r:id="rId471" w:history="1">
        <w:r>
          <w:rPr>
            <w:rFonts w:ascii="arial" w:eastAsia="arial" w:hAnsi="arial" w:cs="arial"/>
            <w:i/>
            <w:color w:val="0077CC"/>
            <w:sz w:val="20"/>
            <w:u w:val="single"/>
            <w:shd w:val="clear" w:color="auto" w:fill="FFFFFF"/>
            <w:lang w:val="en-US" w:eastAsia="en-US" w:bidi="ar-SA"/>
          </w:rPr>
          <w:t>2005 BCCA 351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Canadian Forest Products Ltd. v. B.C. Rail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2005 BCCA 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was some judicial disagreement whether Rule 37 as promulgated in 1993 was indeed "a complete code", which in turn gave rise to what might be described as a legislated form of the </w:t>
      </w:r>
      <w:r>
        <w:rPr>
          <w:rFonts w:ascii="arial" w:eastAsia="arial" w:hAnsi="arial" w:cs="arial"/>
          <w:b/>
          <w:i/>
          <w:color w:val="000000"/>
          <w:sz w:val="20"/>
          <w:lang w:val="en-US" w:eastAsia="en-US" w:bidi="ar-SA"/>
        </w:rPr>
        <w:t>Calderbank</w:t>
      </w:r>
      <w:r>
        <w:rPr>
          <w:rFonts w:ascii="arial" w:eastAsia="arial" w:hAnsi="arial" w:cs="arial"/>
          <w:color w:val="000000"/>
          <w:sz w:val="20"/>
          <w:lang w:val="en-US" w:eastAsia="en-US" w:bidi="ar-SA"/>
        </w:rPr>
        <w:t xml:space="preserve"> letter in Rule 37A in 2003, which permits a party in circumstances to which Rule 37 does not apply to make a written offer of settlement in any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might have thought in light of the statutory form of the </w:t>
      </w:r>
      <w:r>
        <w:rPr>
          <w:rFonts w:ascii="arial" w:eastAsia="arial" w:hAnsi="arial" w:cs="arial"/>
          <w:b/>
          <w:i/>
          <w:color w:val="000000"/>
          <w:sz w:val="20"/>
          <w:lang w:val="en-US" w:eastAsia="en-US" w:bidi="ar-SA"/>
        </w:rPr>
        <w:t>Calderbank</w:t>
      </w:r>
      <w:r>
        <w:rPr>
          <w:rFonts w:ascii="arial" w:eastAsia="arial" w:hAnsi="arial" w:cs="arial"/>
          <w:color w:val="000000"/>
          <w:sz w:val="20"/>
          <w:lang w:val="en-US" w:eastAsia="en-US" w:bidi="ar-SA"/>
        </w:rPr>
        <w:t xml:space="preserve"> letter, that a "joint" letter offer could have been proffered, but I accept Singh J.'s considered decision in </w:t>
      </w:r>
      <w:r>
        <w:rPr>
          <w:rFonts w:ascii="arial" w:eastAsia="arial" w:hAnsi="arial" w:cs="arial"/>
          <w:b/>
          <w:i/>
          <w:color w:val="000000"/>
          <w:sz w:val="20"/>
          <w:lang w:val="en-US" w:eastAsia="en-US" w:bidi="ar-SA"/>
        </w:rPr>
        <w:t>Cao v. Natt</w:t>
      </w:r>
      <w:r>
        <w:rPr>
          <w:rFonts w:ascii="arial" w:eastAsia="arial" w:hAnsi="arial" w:cs="arial"/>
          <w:color w:val="000000"/>
          <w:sz w:val="20"/>
          <w:lang w:val="en-US" w:eastAsia="en-US" w:bidi="ar-SA"/>
        </w:rPr>
        <w:t xml:space="preserve">, where his Lordship carefully reviewed the issues in a case where the plaintiff had been injured in consecutive accidents, the two actions were consolidated for trial and a joint offer was made by the defendants to the plaintiff. His Lordship concluded that where there are several defendants in an action they can make individual offers under Rule 37(2), but they cannot not make a global (or joint) offer. Further, because they can make individual offers under Rule 37, Rule 37 does apply, and therefore they cannot make a valid joint "letter" offer under Rule 37A. This decision was approved on appeal per Southin J.A. Similarly, in </w:t>
      </w:r>
      <w:r>
        <w:rPr>
          <w:rFonts w:ascii="arial" w:eastAsia="arial" w:hAnsi="arial" w:cs="arial"/>
          <w:b/>
          <w:i/>
          <w:color w:val="000000"/>
          <w:sz w:val="20"/>
          <w:lang w:val="en-US" w:eastAsia="en-US" w:bidi="ar-SA"/>
        </w:rPr>
        <w:t>Canadian Forest Products Ltd. v. BC Rail Ltd.</w:t>
      </w:r>
      <w:r>
        <w:rPr>
          <w:rFonts w:ascii="arial" w:eastAsia="arial" w:hAnsi="arial" w:cs="arial"/>
          <w:color w:val="000000"/>
          <w:sz w:val="20"/>
          <w:lang w:val="en-US" w:eastAsia="en-US" w:bidi="ar-SA"/>
        </w:rPr>
        <w:t>, where the defendants were sequential bailees (carriers) of the plaintiff's goods, the Court of Appeal did not approve of the plaintiff's global offer to all the defendants to settle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Given these rulings of the Court of Appeal and this Court, there is plainly a need for a rephrasing of the Rule regarding multiple defendants. Any car accident case brought by a passenger with more than two cars involved with a potential split in liability lends itself to a collective offer being made on the part of the defendants to satisfy the 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there is a place in Rule 37 for offers by the plaintiff to multiple defendants or for multiple defendants to make a joint offer to the plaintiff in the hope of resolving the plaintiff's claim with an overall offer before the matter goes to trial, for that results in the saving of trial preparation, cost, trial time, and allows for resolution before trial and control of the result by the parties, all of which is to be encouraged. Perhaps a modified Rule could provide for offers in such cases to be made no later than 60 days before trial and to end 30 days before trial. Then there is still time for individual offers to be made by Rule 37(2), or consideration of a letter offer under Rule 37A, for part of the difficulty inherent in the issue with multiple parties and liability, causation and quantum in dispute, is what costs penalties might flow from an offer by multiple defendants when there are several different possible liability and quantum outcomes. A global offer well before trial would allow the plaintiff and the various defendants the opportunity to settle and let the various defendants sort out how the offer is funded as between them. But failing settlement then the individual process in Rule 37 allows for more punitive cost orders if a party correctly forecasts the outcome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for the purposes of this case I do not find the joint offer made herein in compliance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Alternatively, the defendant Porohowski argued that the defendants enjoyed substantial success, given that the offer of $50,000 plainly exceeded the judgment for $22,200, and he asks the Court exercise its discretion in his favour pursuant to Rule 57(9) and as illustrated in </w:t>
      </w:r>
      <w:r>
        <w:rPr>
          <w:rFonts w:ascii="arial" w:eastAsia="arial" w:hAnsi="arial" w:cs="arial"/>
          <w:b/>
          <w:i/>
          <w:color w:val="000000"/>
          <w:sz w:val="20"/>
          <w:lang w:val="en-US" w:eastAsia="en-US" w:bidi="ar-SA"/>
        </w:rPr>
        <w:t>Gaudiuso v. Walker</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(1991), 84 D.L.R. (4th) 382</w:t>
        </w:r>
      </w:hyperlink>
      <w:r>
        <w:rPr>
          <w:rFonts w:ascii="arial" w:eastAsia="arial" w:hAnsi="arial" w:cs="arial"/>
          <w:color w:val="000000"/>
          <w:sz w:val="20"/>
          <w:lang w:val="en-US" w:eastAsia="en-US" w:bidi="ar-SA"/>
        </w:rPr>
        <w:t xml:space="preserve"> (B.C.C.A.). There, the trial judge allowed the plaintiff 30 percent of its taxable costs and disbursements and the defendants 70 percent, one to be set off against the other. On review, the Court of Appeal found the degree of success was more in favour of the plaintiff. The plaintiff recovered 70 per cent of its costs without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further alternative, Porohowski referred to </w:t>
      </w:r>
      <w:r>
        <w:rPr>
          <w:rFonts w:ascii="arial" w:eastAsia="arial" w:hAnsi="arial" w:cs="arial"/>
          <w:b/>
          <w:i/>
          <w:color w:val="000000"/>
          <w:sz w:val="20"/>
          <w:lang w:val="en-US" w:eastAsia="en-US" w:bidi="ar-SA"/>
        </w:rPr>
        <w:t>Fotheringham v. Fotheringham</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2001 BCSC 1321</w:t>
        </w:r>
      </w:hyperlink>
      <w:r>
        <w:rPr>
          <w:rFonts w:ascii="arial" w:eastAsia="arial" w:hAnsi="arial" w:cs="arial"/>
          <w:color w:val="000000"/>
          <w:sz w:val="20"/>
          <w:lang w:val="en-US" w:eastAsia="en-US" w:bidi="ar-SA"/>
        </w:rPr>
        <w:t xml:space="preserve"> as an illustration of Rule 57(15), which permits the court to award costs that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Dykeman succeeded in obtaining judgment for general damages for her personal injuries, and awards for past loss income, future care and special damages. No award was made for future lost earnings or earning capacity. As the jury gives no reasons, and they receive no guidance on the issue of general damages, there is little point in speculating as to their thinking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plaintiff enjoyed some success but lost on one large claim put to the jury. In the circumstances of this case, an appropriate award is to allow the plaintiff 50 percent of her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Edwards v. Bell, [2004] B.C.J. No. 891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December 11,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 2003 and January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April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S014044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257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Special Costs Between Robert Edwards, plaintiff, and Lynwood Sewell Bell, Steve Olaf Youngman, and Hansa Bank and Trust Company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October 27, 2003. See </w:t>
      </w:r>
      <w:hyperlink r:id="rId482" w:history="1">
        <w:r>
          <w:rPr>
            <w:rFonts w:ascii="arial" w:eastAsia="arial" w:hAnsi="arial" w:cs="arial"/>
            <w:i/>
            <w:color w:val="0077CC"/>
            <w:sz w:val="18"/>
            <w:u w:val="single"/>
            <w:shd w:val="clear" w:color="auto" w:fill="FFFFFF"/>
            <w:lang w:val="en-US" w:eastAsia="en-US" w:bidi="ar-SA"/>
          </w:rPr>
          <w:t>[2003] B.C.J. No. 2467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13"/>
      <w:bookmarkEnd w:id="141"/>
      <w:r>
        <w:rPr>
          <w:rFonts w:ascii="arial" w:eastAsia="arial" w:hAnsi="arial" w:cs="arial"/>
          <w:b/>
          <w:color w:val="000000"/>
          <w:sz w:val="20"/>
          <w:lang w:val="en-US" w:eastAsia="en-US" w:bidi="ar-SA"/>
        </w:rPr>
        <w:t>Civil procedure — Costs — Offers to settle — Special orders — For reprehensible or inefficient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2"/>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costs. Bell successfully defended the action. Edwards used materials at trial which were restricted by an order of an American court and he did not advise the Canadian court of the restriction.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9"/>
            <w:bookmarkEnd w:id="143"/>
            <w:r>
              <w:rPr>
                <w:rFonts w:ascii="arial" w:eastAsia="arial" w:hAnsi="arial" w:cs="arial"/>
                <w:color w:val="000000"/>
                <w:sz w:val="20"/>
                <w:lang w:val="en-US" w:eastAsia="en-US" w:bidi="ar-SA"/>
              </w:rPr>
              <w:t>HELD: Edwards' conduct was not by itself illegal, improper, or scandalous.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his actions taken together were deserving of rebuke and reprehensible. Special costs were ordered against Edwards in the amount of $39,748.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Counsel_23"/>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F. Dixon, Q.C., for the plaintiff. Bruce E. McLeod, for the defendants, Lynwood Sewell Bell and Hansa Bank and Trust Company. Steve Olaf Youngman and Peter C.M. Freeman,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3"/>
      <w:bookmarkEnd w:id="145"/>
      <w:r>
        <w:pict>
          <v:line id="_x0000_s1126"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GRAY J._0"/>
            <w:bookmarkEnd w:id="146"/>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his statement of claim, Mr. Edwards alleged that the defendants, Mr. Bell and Hansa Bank, handled the financial affairs and funds of the plaintiff and/or the Gladwin Trust negligently, or alternatively, fraudulently, or alternatively, all defendants conspired to take funds for their own use. Mr. Edwards claimed judgment for about $11.9 million dollars, plus "punitive damages for fraud in the amount of $5 million dollars (CDN)".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27, 2003, I issued reasons for judgment finding that this court does not have jurisdiction simpliciter over the claims against Mr. Bell and Hansa Bank. In the event that I was wrong on that issue, I also concluded that this court should decline jurisdiction on the basis of forum non conveniens, because Anguilla is clearly a more convenient or appropriate forum to which the defendant will attorn. I granted the parties liberty to make written submissions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received lengthy written submissions on the issue of costs, and the submissions also raise an issue about settling the order. These are the reasons for judgment on the application of the defendants Mr. Bell and Hansa Bank for special costs, and in respect of settling the order pronounced October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pay the special costs of the defendants Bell and Hansa Bank?</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how should the amount of special costs be determined?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order pronounced October 27, 2003 refer to, and be endorsed by, Mr. Freeman, Q.C., counsel for the defendant, Mr. Youngman?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Bell and Hansa Bank ask the court to order the plaintiff to pay them special costs. Their counsel, Mr. McLeod, argued that the evidence demonstrates that the plaintiff had an improper motive in commencing and continuing the proceedings, made improper allegations of fraud, conspiracy and conversion by a fiduciary, and acted improperly in the conduct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McLeod argued that the court should assess Mr. Bell and Hansa Bank's special costs of these proceedings in the amount of $47,698.76. That figure is 90% of their actual fees, taxes and disbursements, based on their evidence that they paid $52,998.62 up to and including November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McLeod also argued that Mr. Freeman's attendance at the hearing ought to be reflected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position is that special costs are not appropriate. Mr. Dixon, counsel for the plaintiff, argued that there was no improper motive in commencing and continuing the proceedings. He argued that the allegations of fraud, conspiracy and conversion by a fiduciary have not yet been resolved, and this court should not order special costs on the assumption that those allegations are ill-founded. Mr. Dixon argued that the plaintiff did not act improperly in the conduct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Dixon argued that the formal order ought not to refer to Mr. Freeman, because the stay of proceedings related to defendants not represented by Mr. Freeman, and did not have an impact on the claim against Mr. Youngman, who is Mr. Freeman's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award of special costs is discretionary, awarded as a punitive measure where the court seeks to disassociate itself from the conduct of a party. The jurisdiction for an award of special costs is found in the inherent jurisdiction of the court to prevent abuse of its processes, and Rule 57(1) of the Rules of Court. See MacLeod v. Harrington (Public Trustee of) </w:t>
      </w:r>
      <w:hyperlink r:id="rId483" w:history="1">
        <w:r>
          <w:rPr>
            <w:rFonts w:ascii="arial" w:eastAsia="arial" w:hAnsi="arial" w:cs="arial"/>
            <w:i/>
            <w:color w:val="0077CC"/>
            <w:sz w:val="20"/>
            <w:u w:val="single"/>
            <w:shd w:val="clear" w:color="auto" w:fill="FFFFFF"/>
            <w:lang w:val="en-US" w:eastAsia="en-US" w:bidi="ar-SA"/>
          </w:rPr>
          <w:t>(1995), 14 B.C.L.R. (3d) 201</w:t>
        </w:r>
      </w:hyperlink>
      <w:r>
        <w:rPr>
          <w:rFonts w:ascii="arial" w:eastAsia="arial" w:hAnsi="arial" w:cs="arial"/>
          <w:color w:val="000000"/>
          <w:sz w:val="20"/>
          <w:lang w:val="en-US" w:eastAsia="en-US" w:bidi="ar-SA"/>
        </w:rPr>
        <w:t xml:space="preserve"> at paras. 216, 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leading case on special costs is Garcia v. Crestbrook Forest Industries Ltd. </w:t>
      </w:r>
      <w:hyperlink r:id="rId374"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in which Lambert J.A. for the court held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terminology adopted by Madam Justice McLachlin in Young v. Young, </w:t>
      </w:r>
      <w:hyperlink r:id="rId48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to the terminology adopted by Mr. Justice Cumming in Fullerton v. Matsqui (District), </w:t>
      </w:r>
      <w:hyperlink r:id="rId485" w:history="1">
        <w:r>
          <w:rPr>
            <w:rFonts w:ascii="arial" w:eastAsia="arial" w:hAnsi="arial" w:cs="arial"/>
            <w:i/>
            <w:color w:val="0077CC"/>
            <w:sz w:val="20"/>
            <w:u w:val="single"/>
            <w:shd w:val="clear" w:color="auto" w:fill="FFFFFF"/>
            <w:lang w:val="en-US" w:eastAsia="en-US" w:bidi="ar-SA"/>
          </w:rPr>
          <w:t>[1992] B.C.J. No. 2986</w:t>
        </w:r>
      </w:hyperlink>
      <w:r>
        <w:rPr>
          <w:rFonts w:ascii="arial" w:eastAsia="arial" w:hAnsi="arial" w:cs="arial"/>
          <w:color w:val="000000"/>
          <w:sz w:val="20"/>
          <w:lang w:val="en-US" w:eastAsia="en-US" w:bidi="ar-SA"/>
        </w:rPr>
        <w:t xml:space="preserve">, and to the application of the standard of "reprehensible conduct" by Chief Justice Esson in Leung v. Leung, </w:t>
      </w:r>
      <w:hyperlink r:id="rId486"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characterized as "reprehensible". As Chief Justice Esson said in Leung v. Leung,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of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jurisprudence identifies circumstances of misconduct that warrant an award of special costs. These include circumstances where: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has been brought for an improper motive;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allegations of fraud have been made;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has been improperly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Garcia v. Crestbrook Forest Industries, supra, at para. 23; Genesee Enterprises Ltd. v. Abou-Rached et al., </w:t>
      </w:r>
      <w:hyperlink r:id="rId487" w:history="1">
        <w:r>
          <w:rPr>
            <w:rFonts w:ascii="arial" w:eastAsia="arial" w:hAnsi="arial" w:cs="arial"/>
            <w:i/>
            <w:color w:val="0077CC"/>
            <w:sz w:val="20"/>
            <w:u w:val="single"/>
            <w:shd w:val="clear" w:color="auto" w:fill="FFFFFF"/>
            <w:lang w:val="en-US" w:eastAsia="en-US" w:bidi="ar-SA"/>
          </w:rPr>
          <w:t>[2001] B.C.J. No. 1604</w:t>
        </w:r>
      </w:hyperlink>
      <w:r>
        <w:rPr>
          <w:rFonts w:ascii="arial" w:eastAsia="arial" w:hAnsi="arial" w:cs="arial"/>
          <w:color w:val="000000"/>
          <w:sz w:val="20"/>
          <w:lang w:val="en-US" w:eastAsia="en-US" w:bidi="ar-SA"/>
        </w:rPr>
        <w:t xml:space="preserve">, at para. 7, </w:t>
      </w:r>
      <w:hyperlink r:id="rId487"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and Taychuk v. Strata Plan LMS744, </w:t>
      </w:r>
      <w:hyperlink r:id="rId488" w:history="1">
        <w:r>
          <w:rPr>
            <w:rFonts w:ascii="arial" w:eastAsia="arial" w:hAnsi="arial" w:cs="arial"/>
            <w:i/>
            <w:color w:val="0077CC"/>
            <w:sz w:val="20"/>
            <w:u w:val="single"/>
            <w:shd w:val="clear" w:color="auto" w:fill="FFFFFF"/>
            <w:lang w:val="en-US" w:eastAsia="en-US" w:bidi="ar-SA"/>
          </w:rPr>
          <w:t>[2002] B.C.J. No. 2653</w:t>
        </w:r>
      </w:hyperlink>
      <w:r>
        <w:rPr>
          <w:rFonts w:ascii="arial" w:eastAsia="arial" w:hAnsi="arial" w:cs="arial"/>
          <w:color w:val="000000"/>
          <w:sz w:val="20"/>
          <w:lang w:val="en-US" w:eastAsia="en-US" w:bidi="ar-SA"/>
        </w:rPr>
        <w:t xml:space="preserve">, at para. 54, </w:t>
      </w:r>
      <w:hyperlink r:id="rId488" w:history="1">
        <w:r>
          <w:rPr>
            <w:rFonts w:ascii="arial" w:eastAsia="arial" w:hAnsi="arial" w:cs="arial"/>
            <w:i/>
            <w:color w:val="0077CC"/>
            <w:sz w:val="20"/>
            <w:u w:val="single"/>
            <w:shd w:val="clear" w:color="auto" w:fill="FFFFFF"/>
            <w:lang w:val="en-US" w:eastAsia="en-US" w:bidi="ar-SA"/>
          </w:rPr>
          <w:t>2002 BCSC 1638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Bell and Hansa Bank have alleged that there is the following evidence of improper motive: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statements of improper motive by the plaintiff;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of civil proceedings after the plaintiff's criminal conviction for tax fraud;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name Paul Gaster as a defendant;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reversal of pleadings and evidence regarding the Gladwin Trust;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documentary or any substantial evidence for serious allegations of fraudulent conversion by a fiduciary of about $11.9 million dollars;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the proceedings to prejudice the reputations of Mr. Bell and Hansa Bank in Anguilla.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Many of these assertions are troubling. However, the decision that the court did not have jurisdiction simpliciter over the claims, and that in any event the court should decline jurisdiction, were based on affidavit evidence without cross-examination. I am not able to determine on the basis of the affidavits whether the plaintiff's motive was to pursue serious claims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and conspiracy, or to harass Mr. Bell and Hansa Bank knowing that there was no merit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Bell and Hansa Bank argued that the improper motive could be inferred from Mr. Bell's evidence that Mr. Edwards said that Messrs. Bell and Youngman had "sunk" Mr. Edwards and forced him to plead guilty to tax evasion charges in the United States. Mr. Bell and Hansa Bank also referred to Mr. Bell's evidence of Mr. Edward's intention to put Mr. Bell and Hansa Bank out of business, destroy their reputations, and make Mr. Bell's life "a living 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Mr. Edwards may have been particularly angry at Mr. Bell and Hansa Bank as a consequence of matters relating to the U.S. proceedings, this does not establish that Mr. Edwards knew there was no merit to the claim he was pursuing in British Columbia and does not satisfy me of an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Bell and Hansa Bank argued that the fact that this litigation was commenced after Mr. Edwards was convicted for tax fraud suggests wrongful motive. It is Mr. Edwards' position that he commenced this action after receiving a letter from Mr. Hope-Ross dated August 29, 2000. That is the letter quoted at paragraph 33 of my October 27, 2003,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I understand it, it is the position of Mr. Bell and Hansa Bank that this letter states that four loans totalling about $11.9 million dollars were made to Mr. Edwards' entities, and that those loans were directed by Mr. Edwards. As I understand the position of Mr. Edwards, he interprets the letter as stating that about $11.9 million dollars was paid out in loans rather than being held in conservative investments, and that such statement established improper use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not able to draw any conclusion about motive on the basis of the timing of commencement of these proceedings in comparison with the letter or the tax proceedings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McLeod argued that if there was a conspiracy as alleged, it must have included Paul Gaster. He argued that Mr. Gaster did not co-operate with the United States investigator and, in fact, continued to assist Mr. Edwards in his tax arrangement. Mr. McLeod argued that Mr. Edwards' failure to join Mr. Gaster as a defendant, particularly in light of comments made by the plaintiff's counsel at the June 9, 2003 hearing, demonstrates an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not able to come to any conclusion about the plaintiff's motive based on a failure to name Paul Gaster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original statement of claim substantially referred to the Gladwin Trust. The amended statement of claim alleged that Mr. Bell and Hansa Bank acted improperly not only with respect to the Gladwin Trust, but also generally in the financial affairs of Mr. Edwards. Mr. McLeod argued that the amendment to the statement of claim occurred only after Mr. Bell and Hansa Bank had taken the position that there was an exclusive jurisdiction clause in the Gladwin Trust agreement. Mr. McLeod argued that this demonstrated that Mr. Edwards knew a claim relating to the Gladwin Trust could not proceed in British Columbia, and so changed his position to potentially fit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troubling that the original statement of claim was focussed on the Gladwin Trust, and that the amended statement of claim referred to more than just the Gladwin Trust, particularly in light of the timing of the amendment and the fact that Mr. Edwards deposed both were true. However, I am not able to determine on the basis of the evidence whether that was a result of an improper motive or arose from, for example, incomplete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Similarly, I am not able to make any conclusion about motive based on the nature of the evidence provided at the hearing. Although Mr. Edwards also sought to proceed with an application for judgment under Rule 18A, that application was adjourned. My reasons for judgment related only to the jurisdictional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set out in paragraphs 43 through 53 of my October reasons, the affidavits filed by Mr. Edwards on the application were unsatisfactory, contradictory, obscure and confusing. The contradictions arose from following the poor practice of drafting an affidavit that simply stated the truthfulness of facts in a statement of claim. The problems were compounded because there was both an original and an amended statement of claim, and the pleading included alternative and "and/or" pleas. As a result, Mr. Edwards deposed to conflicting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the affidavits were unacceptable, I am not able to conclude that they demonstrate an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provided by Mr. Bell and Hansa Bank in connection with the costs application included a copy of a letter written by Mr. Edwards' counsel to authorities in Anguilla asking them to take whatever steps might be necessary in order to ensure that Mr. Bell cannot operate to jeopardize others. The letter also suggests that Mr. Bell may be liable to criminal prosecution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information might well be admissible in a claim for abuse of process. However, on the question of costs for the jurisdictional application, the evidence is of no assistance. I cannot tell from the fact of the letter whether it was sent out of a legitimate concern to protect the public from Mr. Edwards, or from an improper motive.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Unfounded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Bell and Hansa Bank made extensive submissions to the effect that the plaintiff's allegations of fraud, conspiracy to defraud, and conversion by a fiduciary are without merit. This court has not made any finding on the merits of that claim, and it is not appropriate to do so. While the action cannot proceed in British Columbia, the merits may be considered by another court at another time.</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Conduct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two aspects of Mr. Edwards' conduct of these proceedings which I find to be misconduct. First, he used transcripts from proceedings before the U.S. Grand Jury without advising this court about the restriction on their use. Second, he relied on affidavits which I have found to be unsatisfactory, contradictory, obscure and confusing.</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Grand Jury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before me at the hearing of the jurisdictional question included excerpts from transcripts of Mr. Bell's testimony before the United States Grand Jury. During the hearing, neither counsel made any submissions about the propriety of this court considering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connection with the costs application, Mr. Bell and Hansa Bank filed evidence regarding the restricted use of those transcripts. Mr. Bell did not learn the basis upon which Mr. Edwards obtained the transcripts until late November, 2003, which was after the hearing and the release of my October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demonstrates that a cornerstone of United States criminal law is secrecy of its federal grand jury proceedings. There are four primary purposes for the secrecy: first, to encourage witnesses to come forward and testify freely and honestly; second, to minimize the risks that prospective defendants will flee or use corrupt means to thwart investigations; third, to safeguard the grand jurors themselves and the proceedings from extraneous pressures and influences; and fourth, to protect accused persons who are ultimately exonerated from unfavourable publicity. See Douglas Oil Co. v. Petrol Stops Northwest, 441 U.S. 211, 219 (1979) and United States v. Proctor &amp; Gamble Co., 356 US. 677, 681-82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U.S. Attorney's Office will sometimes apply for an order to disclose a grand jury transcript on a restricted basis to the target of criminal investigations. This can assist defence counsel to determine whether to recommend a guilty plea.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December 10, 2003, the United States District Court for the Central District of California authorized the disclosure of an August 6, 1999 order to counsel and this court. The August 6, 1999 order provided that the government was permitted to provide counsel for Mr. Edwards with certain grand jury transcripts. The order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shall make no further disclosure of said transcripts to anyone who is not necessary to counsel's representation of [Mr. Edwards], and shall return all transcripts, including any copies thereof to the government upon resolution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effect of the applicable U.S. Federal Criminal Rules of Criminal Procedure is that a person to whom a transcript has been disclosed shall not use it other than for the purpose for which such disclosure was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 copies of the transcripts were to be surrendered on the resolution of the U.S. proceedings involving Mr. Edwards. They were resolved by judgment and committal order entered November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the position of Ms. Villarreal, the Deputy Chief of the Public Corruption and Government Fraud section of the United States Attorney's Office for the Central District of California, that Mr. Edwards' possession and use of Mr. Bell's grand jury transcripts was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Edwards' position is that his use of the transcripts was not illegal or improper in B.C., and that this court would consider the reliability and credibility of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Edwards' use of the transcripts was not authorized by the United States Court. Whether this court should recognize and enforce the foreign court's August 6, 1999 order was not something that this court had an opportunity to consider, because the restriction on the use of the transcript was not raised by Mr. Edwards' counsel. Mr. Edwards ought to have known about the restriction on the use of the transcripts, and ought to have brought it to the attention of the court and defence counsel, who would otherwise have no access to information about the restriction in the August 6, 1999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inappropriate for a litigant to put evidence before this court without advising this court that another court has restricted the use of that evidence. While this court may not recognize or enforce the foreign order, it should have the opportunity to consider whether it will do so. Failure to advise this court of the restrictions imposed by another court makes this court an unknowing participant in acting contrary to a foreign judgment. This court should disassociate itself from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Issues of contempt are, of course, a matter for the foreign court.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Edwards'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set out in paragraphs 43 through 53 of my October reasons, the affidavits filed by Mr. Edwards on the application were unsatisfactory, contradictory, obscure and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essential that witnesses be truthful in their evidence before this court, whether the evidence is given by affidavit or in person. Without the benefit of cross-examination, I am unable to determine what it is that Mr. Edwards thought he was deposing to be true, and whether he was intentionally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Whether or not Mr. Edwards' affidavits were intentionally untruthful, he should not have provided such evidence to this court. The evidence was at worst intentionally dishonest, and at best for Mr. Edwards, expressed carelessly. The fact that Mr. Edwards provided such affidavits made the court's resolution of the jurisdictional application far more difficult than it should have been. It also put Mr. Bell and Hansa Bank in the position of responding to confusing and contradictory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would not characterize Mr. Edwards' conduct, either in relying on the grand jury transcripts without advising this court about the restriction on their use, or in relying on his affidavits in the form tendered, as scandalous or outrageous. I was not able to find authority addressing the use of evidence which is subject to a foreign court's order restricting its use. It could therefore be argued that the failure to advise this court of the restriction was not so clearly misconduct that it deserves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when considered together with the reliance on unsatisfactory affidavits, the plaintiff's misconduct is of sufficient degree that it is deserving of reproof or rebuke and is reprehensible. As a consequence, I order that the plaintiff pay the special costs of the defendants, Mr. Bell and Hansa Bank.</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court has jurisdiction to specify the sum for special costs, although it is a power to be exercised sparingly. See MacLeod, supra, at para. 237 and Graham v. Moore Estate, </w:t>
      </w:r>
      <w:hyperlink r:id="rId489" w:history="1">
        <w:r>
          <w:rPr>
            <w:rFonts w:ascii="arial" w:eastAsia="arial" w:hAnsi="arial" w:cs="arial"/>
            <w:i/>
            <w:color w:val="0077CC"/>
            <w:sz w:val="20"/>
            <w:u w:val="single"/>
            <w:shd w:val="clear" w:color="auto" w:fill="FFFFFF"/>
            <w:lang w:val="en-US" w:eastAsia="en-US" w:bidi="ar-SA"/>
          </w:rPr>
          <w:t>[2003] B.C.J. No. 2139</w:t>
        </w:r>
      </w:hyperlink>
      <w:r>
        <w:rPr>
          <w:rFonts w:ascii="arial" w:eastAsia="arial" w:hAnsi="arial" w:cs="arial"/>
          <w:color w:val="000000"/>
          <w:sz w:val="20"/>
          <w:lang w:val="en-US" w:eastAsia="en-US" w:bidi="ar-SA"/>
        </w:rPr>
        <w:t xml:space="preserve"> at para. 46 (B.C.C.A.), </w:t>
      </w:r>
      <w:hyperlink r:id="rId489" w:history="1">
        <w:r>
          <w:rPr>
            <w:rFonts w:ascii="arial" w:eastAsia="arial" w:hAnsi="arial" w:cs="arial"/>
            <w:i/>
            <w:color w:val="0077CC"/>
            <w:sz w:val="20"/>
            <w:u w:val="single"/>
            <w:shd w:val="clear" w:color="auto" w:fill="FFFFFF"/>
            <w:lang w:val="en-US" w:eastAsia="en-US" w:bidi="ar-SA"/>
          </w:rPr>
          <w:t>2003 BCCA 497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McLeod argued that it is appropriate for the court to specify the amount of special costs in this case. He argued that if costs are assessed by the registrar, Mr. Bell and Hansa Bank would be required to waive privilege over their solicitors' files in British Columbia. (See Denovan v. Lee </w:t>
      </w:r>
      <w:hyperlink r:id="rId490" w:history="1">
        <w:r>
          <w:rPr>
            <w:rFonts w:ascii="arial" w:eastAsia="arial" w:hAnsi="arial" w:cs="arial"/>
            <w:i/>
            <w:color w:val="0077CC"/>
            <w:sz w:val="20"/>
            <w:u w:val="single"/>
            <w:shd w:val="clear" w:color="auto" w:fill="FFFFFF"/>
            <w:lang w:val="en-US" w:eastAsia="en-US" w:bidi="ar-SA"/>
          </w:rPr>
          <w:t>(1991), 62 B.C.L.R. (2d) 213</w:t>
        </w:r>
      </w:hyperlink>
      <w:r>
        <w:rPr>
          <w:rFonts w:ascii="arial" w:eastAsia="arial" w:hAnsi="arial" w:cs="arial"/>
          <w:color w:val="000000"/>
          <w:sz w:val="20"/>
          <w:lang w:val="en-US" w:eastAsia="en-US" w:bidi="ar-SA"/>
        </w:rPr>
        <w:t>.) As a result, Mr. Edwards might acquire privileged information and use it to the detriment of Mr. Bell and Hansa Bank in proceedings in Anguilla. Mr. McLeod argued that it would not be practical for an assessment of special costs to await the outcome of proceedings in Anguilla, because they might never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Edwards' position was that the sum claimed seemed high for a one day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that it is appropriate for this court to assess special costs. Assessment by the registrar would likely result in disclosure of privileged information which Mr. Edwards could use in proceedings in another jurisdiction to the detriment of Mr. Bell and Hansa Bank. This court has the information necessary to make the 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Bell has provided copies of the bills which he has paid, and which total $52,998.62. Of that sum, about $9,200 or 17% related to Mr. McLeod's services following the hearing of the application, and appear to relate substantially to the application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McLeod argued that Mr. Bell and Hansa Bank were prepared to waive any claim they might have for costs arising after November 30, 2003. I expect such costs would relate primarily to the special costs application, and I note that the affidavits provided on the costs application were all executed after November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amount paid by Mr. Bell and Hansa Bank for legal services is a significant sum. However, Mr. Edwards claimed the substantial sum of $11.9 million dollars, plus punitive damages of $5 million dollars, plus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issues and evidence at the jurisdictional hearing were complex. They required Mr. Bell and Hansa Bank to explore a complex set of facts involving several jurisdictions and numerous financial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Similarly, the issues on the application for special costs were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filed on the costs application showed that two different British Columbia legal firms represented Mr. Bell and Hansa Bank in the conduct of this matter. The evidence did not explain the reason for the change of counsel. I expect there was some duplication in the legal work performed as a result of the change of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considered the factors listed in Rule 57(3). I am satisfied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was complex, and raised difficult factual and legal issues;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required an experienced solicitor;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was significant, and was alleged to exceed $16.9 million;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expended by legal counsel in conducting the proceeding was 226.40 hours. That consisted of 84.90 hours for David J. Martin &amp; Associates, and 122.5 hours for Mr. McLeod. There was likely some duplication in the work performed;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proceeding to Mr. Bell and Hansa Bank was significant. There has been a stay of the proceeding in this jurisdiction;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Bell and Hansa Bank were successful in their opposition to this court assuming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Special costs are often assessed at 90% of actual legal fees. My review of the bills suggested both that there was some duplication between law firms, and that some of the work related to the media rather than just the jurisdictional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the circumstances, I assess the special costs at 75% of the actual legal fees, disbursements, and taxes of Mr. Bell and Hansa Bank. The actual amount they paid was $52,998.62. Accordingly, they are entitled to judgment against Mr. Edwards for $39,748.96.</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Form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Freeman, Q.C. attended at the hearing of the application regarding jurisdiction. I permitted him to make submissions despite the plaintiff's objections. Mr. Freeman's attendance is reflected in the October 27, 2003 reasons for judgment. It should similarly be reflected in the form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 Mr. Bell and Hansa Bank are entitled to judgment against Mr. Edwards for $39,748.96 in special costs. The October 27, 2003 order should reflect the attendance of Mr. Freeman, Q.C.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Evans v. Jim Pattison Industries Ltd. (c.o.b. Save-On-Foods and Drugs), [2000] B.C.J. No. 1171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C976129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1045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Adele Evans, plaintiff, and Jim Pattison Industries Ltd. d.b.a. Save-On-Foods and Drugs and Save-On-Food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14"/>
      <w:bookmarkEnd w:id="147"/>
      <w:r>
        <w:rPr>
          <w:rFonts w:ascii="arial" w:eastAsia="arial" w:hAnsi="arial" w:cs="arial"/>
          <w:b/>
          <w:color w:val="000000"/>
          <w:sz w:val="20"/>
          <w:lang w:val="en-US" w:eastAsia="en-US" w:bidi="ar-SA"/>
        </w:rPr>
        <w:t>Torts — Occupiers' liability for dangerous premises — Invitees, liability of particular occupiers (incl. duty and standard of care) — Retail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8" w:name="Case Summary_13"/>
            <w:bookmarkEnd w:id="1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Evans for damages for personal injuries. Evans slipped on a strawberry as she was walking out of the produce section of the grocery store operated by Jim Pattison Industries. Evans fell in an area that was immediately adjacent to a display of packaged strawberries. The strawberries were packaged in small boxes approximately two inches high. The strawberries were placed in the boxes to a level that was lower than the height of the side of the box. Customers were expected to purchase the entire box. There was another display in another section of the store where strawberries were sold in bulk. A mat was placed on the floor next to this display as it was anticipated that strawberries would fall from the display as customers made their selection. No mat was placed next to the display of packaged strawberries as it was felt that the risk of spillage was low. The store had a cleaning regime in place to ensure that the floor was cleaned regularly and there was evidence that the area of the fall was cleaned just prior to the incident. The display with the packaged strawberries was placed in an area where it could be easily monitored by the produce staff.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9" w:name="Holdings of Court_10"/>
            <w:bookmarkEnd w:id="14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Pattison established that the risk of spillage from the boxes was low. The precautions taken by Pattison by locating the strawberry packages in an area where they could be consistently and easily monitored and implementing a cleaning routine that ensured that the floor was regularly cleaned, were sufficiently reasonable to ensure the safety of the customers.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Counsel_24"/>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A.K. Khanna, for the plaintiff. J.J. Hyde and S. Lerner (articled student),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24"/>
      <w:bookmarkEnd w:id="151"/>
      <w:r>
        <w:pict>
          <v:line id="_x0000_s1130"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SINCLAIR PROWSE J."/>
            <w:bookmarkEnd w:id="152"/>
            <w:r>
              <w:rPr>
                <w:rFonts w:ascii="arial" w:eastAsia="arial" w:hAnsi="arial" w:cs="arial"/>
                <w:b/>
                <w:color w:val="000000"/>
                <w:sz w:val="30"/>
                <w:lang w:val="en-US" w:eastAsia="en-US" w:bidi="ar-SA"/>
              </w:rPr>
              <w:t>SINCLAIR PROWSE J.</w:t>
            </w:r>
          </w:p>
        </w:tc>
      </w:tr>
    </w:tbl>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Four years ago the Plaintiff was seriously injured when she slipped and fell in the Defendants' grocery store. The most serious of her injuries was the fracture of her left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the Plaintiff sought damages arising from these injuries.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no dispute as to the nature of the Plaintiff's injuries, or to the significant effect that the elbow injury has had, and will continue to have,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medical doctor. Prior to the accident, a large portion of her practice was devoted to obstetrics. The fracture of her left elbow resulted in a permanent loss of strength and function in her left arm, rendering it impossible for her to continue with this much-loved aspect of her practice. She is, and probably always will be, in continuous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there were some minor issues pertaining to damages, the critical and pivotal issue was liability. That is, did the Defendants breach their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 put this issue in context, the Plaintiff slipped on a strawberry, or strawberries, as she was walking out of the produce section of the Defendants' grocery store. Most probably this strawberry, or these strawberries, fell from one of the flats of strawberries that were piled beside the spot where the Plaintiff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occupiers, the Defendants owed a duty to the Plaintiff, as an invitee, to take reasonable precautions to ensure that she (the Plaintiff), was reasonably safe when shopping in their store. See: s. 3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set out in Hutchinson v. Woodward Stores (Mayfair) Limited </w:t>
      </w:r>
      <w:hyperlink r:id="rId498" w:history="1">
        <w:r>
          <w:rPr>
            <w:rFonts w:ascii="arial" w:eastAsia="arial" w:hAnsi="arial" w:cs="arial"/>
            <w:i/>
            <w:color w:val="0077CC"/>
            <w:sz w:val="20"/>
            <w:u w:val="single"/>
            <w:shd w:val="clear" w:color="auto" w:fill="FFFFFF"/>
            <w:lang w:val="en-US" w:eastAsia="en-US" w:bidi="ar-SA"/>
          </w:rPr>
          <w:t>(1977), 4 B.C.L.R. 309</w:t>
        </w:r>
      </w:hyperlink>
      <w:r>
        <w:rPr>
          <w:rFonts w:ascii="arial" w:eastAsia="arial" w:hAnsi="arial" w:cs="arial"/>
          <w:color w:val="000000"/>
          <w:sz w:val="20"/>
          <w:lang w:val="en-US" w:eastAsia="en-US" w:bidi="ar-SA"/>
        </w:rPr>
        <w:t xml:space="preserve"> (S.C.), and Sinow v. Maple Ridge Square Shopping Centre Limited, </w:t>
      </w:r>
      <w:hyperlink r:id="rId499" w:history="1">
        <w:r>
          <w:rPr>
            <w:rFonts w:ascii="arial" w:eastAsia="arial" w:hAnsi="arial" w:cs="arial"/>
            <w:i/>
            <w:color w:val="0077CC"/>
            <w:sz w:val="20"/>
            <w:u w:val="single"/>
            <w:shd w:val="clear" w:color="auto" w:fill="FFFFFF"/>
            <w:lang w:val="en-US" w:eastAsia="en-US" w:bidi="ar-SA"/>
          </w:rPr>
          <w:t>[1990] B.C.J. No. 743</w:t>
        </w:r>
      </w:hyperlink>
      <w:r>
        <w:rPr>
          <w:rFonts w:ascii="arial" w:eastAsia="arial" w:hAnsi="arial" w:cs="arial"/>
          <w:color w:val="000000"/>
          <w:sz w:val="20"/>
          <w:lang w:val="en-US" w:eastAsia="en-US" w:bidi="ar-SA"/>
        </w:rPr>
        <w:t>, (23 March 1990), Vancouver Registry, CA009035 (C.A.), the statutory duty of care of an occupier is no greater than their duty under the common law. That is, the invitee is expected to take reasonable care for his or her own safety. The occupier, on the other hand, is expected to take reasonable precautions to protect invitees against risks that they, (the occupier) know or reasonably ought to know, exist in their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That standard of care is one of reasonableness, not of perfection. See: Carlson v. Canada Safeway Limited </w:t>
      </w:r>
      <w:hyperlink r:id="rId500"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the questions to be addressed in resolving whether the Plaintiff has proven that the Defendants breached their duty of care to her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risks that the Defendants knew, or ought to have known, existed with respect to the display of strawberry flats?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risks that the Defendants knew, or reasonably ought to have known existed, did they take reasonable precautions to protect the Plaintiff from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For reasons which follow, I have concluded that the Defendants have not breached their duty of care. Having reached this conclusion, it was therefore unnecessary for me to address either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damages.</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was touched on in the preceding section, the Plaintiff slipped on a strawberry, or strawberries, as she was walking through the produce section of the Defendants' store. She had selected some dill and was going to meet her husband who was at the checkout counter with the rest of the groceries that they had selected. The place where she fell was immediately adjacent to a display of strawberry flats. The term "flat" not only describes the manner in which the strawberries were packaged but also the manner in which the strawberries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far as the manner of the sale of the strawberries is concerned, on the day of this incident the Defendants sold the strawberries in two different ways; namely, in "bulk" and in "flats".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sell strawberries in "bulk" means that the customer selects from a strawberry display the berries and quantity of berries desired. That is, the customer chooses the berries that they want to purchase and the quantity that they want to purchase. The selection is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To sell strawberries by the "flat", on the other hand, means that the strawberries are already packaged, namely, in a "flat". The customer buys the whole "flat". The customer does not make an individual selection of either the berries to be purchased or the quantity to be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Specifically, a "flat" is an open box, approximately two inches high, one foot wide, and two feet long. (2 1/2" x 1' x 2'). The strawberries are placed in these boxes to a level that is less than the height of the side of the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day of this incident, the strawberries that were sold in flats were displayed in a different area of the produce department from the strawberries that were sold in bulk. The strawberries that were sold by the flat, were displayed with one flat on top of another. The Defendants did not place a mat on the floor in front of the display of strawberry flats.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display of bulk strawberries, this display was not only in another area of the produce department, but there was also a mat placed on the floor in front of this display. The purpose of the mat on the floor was to absorb spillage and thereby to prevent customers from slipping on that spillage.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the Defendants, the risk of spillage, that is, strawberries rolling from the display onto the floor from a strawberry flat is low, and therefore a mat is unnecessary. Spillage from a bulk strawberry display however, is high as customers are picking through the strawberries.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this particular incident, all parties agreed that the Plaintiff slipped on at least one strawberry. The Plaintiff contended that she may have slipped on more than one strawberry, as she could see more than one strawberry as she lay on the floor after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because there was just one skid mark; because there was just one "top" of a strawberry found on the floor after the accident; and because remnants of strawberry appeared to be located in only one place on the sole of one of her sandals, I have concluded that she probably slipped on one strawberry only. The fact that strawberry juice stains were found on both her pants and her shirt is not inconsistent with this finding, given the manner in which she fell, i.e., her feet skidded out from under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far as the general cleanliness of the produce section is concerned, the Defendants, on the day of the incident, had a cleaning regime in place. As one of the witnesses explained, the staff had an on-going obligation to ensure that the floor was kept clean. Members of the staff in the produce department were expected to sweep and/or mop the floor before and after their breaks, and whenever they saw debris on the floor. Before or after each of these cleanings, the staff member was expected to record that cleaning in a log, which was kept in the storage area, by marking the time that the cleaning either started or finished and their initials, indicating the person who had done the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day of this incident, the cleaning log indicated that Mr. Paul Quan, a member of the Defendants' produce staff, had cleaned the department at 12:57 p.m. and at 1:29 p.m. Because it is Mr. Quan's practice to mark the log after he had finished, this time indicates the end rather than the beginning of his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cleaning, as Mr. Quan explained in his evidence, he followed a particular pattern which took him through the whole of the produce section. The location of this incident was a place that Mr. Quan cleaned towards the end of his cleaning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there was evidence that members of the cleaning staff had not properly logged in their cleaning time the day before this incident, I am satisfied that the log is a reliable record insofar as it pertains to the cleaning done by Mr. Quan at 12:57 p.m. and at 1:29 p.m. on the day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Specifically, I found this evidence reliable because a copy of the log was made shortly after the incident and it set out both of these cleanings.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Another copy of the cleaning log for this day was made at a later time which indicated cleanings that had been done subsequently that afternoon. The first document had to have been made prior to the second document as the second document contained the cleanings done later in the day. Moreover, it was the contrast between this first and second document that disclosed that the records of the prior day's cleanings had been augmented subsequent to the first copy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Moreover, I found Mr. Quan's entries were reliable because they were supported by the observations of at least two other members of the staff. That is, one member of the produce staff, Mr. Deplaedt, remembered that within 15 to 20 minutes of the end of his shift, which ended at 1:30 p.m., he was on his way to restock some of the displays in the produce department. Mr. Quan, at that time, was cleaning the floor by the strawberry flats. Mr. Deplaedt testified that he remembered this because he had to ask Mr. Quan to step aside so that he, Mr. Deplaedt, could push his trolley by him. It was not long after this, Mr. Deplaedt testified, that the incident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Mr. Jansen, another employee of the produce department testified that he was in the storage area when he heard over the intercom a message concerning the Plaintiff's fall. As Mr. Jansen has a First Aid Certificate, he immediately left that area to go to the place where the Plaintiff had fallen. The doors leading from the storage area to the produce department are approximately 10 to 15 feet away from the location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Jansen testified that he remembered as he was emerging from the storage area in response to this call, that he saw Mr. Quan coming through the doors into the storage area carrying cleaning equipment. With respect to the time that the Plaintiff fell, the witnesses agreed that she fell some time between 1:10 p.m. and 1:30 p.m. Because both Mr. Quan and Mr. Deplaedt recollected that she had fallen around the time that their shift was ending, (which was 1:30 p.m.); because Mr. Simoes, (an employee of the Deli department), noticed that the clock by the telephone indicated that the time was 1:35 p.m. when he called for an ambulance for the Plaintiff; because the ambulance record indicated that it was 1:33 p.m. when they received the call from the Defendants; and because the witnesses indicated that it was approximately five to ten minutes from the time that the Plaintiff fell until the ambulance was called, I have concluded that the Plaintiff probably fell some time between 1:20 p.m. and 1:30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Given that Mr. Quan indicated in the cleaning log that he finished cleaning at about 1:29 p.m. and that Mr. Deplaedt had seen him cleaning in the location where the Plaintiff had fallen, I have concluded that the floor area around the strawberry flats display had been cleaned just minutes before the Plaintiff's fall.</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Risks That The Defendants Knew, Or Ought To Have Known Existed, With Respect to The Display of Strawberry Flats?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knew that strawberries are dangerous if they fall on the floor because they are slippery. Therefore, the Defendants knew, at the time of this incident, that fallen strawberries presented a risk to their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because of the manner in which the strawberries were packaged and because of the manner in which the strawberries were sold, the risk of spillage in "strawberry flat sales" was low. Spillage occurs when customers are picking through the strawberries, as occurs in bulk strawberry sales. That is, when a customer is going through a bulk strawberry sale display, selecting strawberries individually, then some of the strawberries will be displaced and roll/spill onto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the risk of such spillage with strawberry flat sales is low because of the fact that the sides of the box of the flat are higher than the strawberries, and therefore there is little chance that the strawberries will roll out of the flat and onto the floor. Further, with respect to strawberry flat sales, there is no need for the customers to pick through the strawberries, as the depth of the strawberries is shallow, and therefore the strawberries are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there is no reason for the customers to pick through the strawberries sold in flats because the strawberries are sold as a unit, there is no selection process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Therefore, the risk of spillage with respect to strawberry flat sales arises if customers do what they are not supposed to do, that is, if they pick through the strawberry flats.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Risks That The Defendants Knew, Or Reasonably Ought To Have Known Existed, Did They Take Reasonable Precautions To Protect The Plaintiff From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Knowing that there was a risk of some spillage from strawberry flat displays, if the customers picked through the strawberries in those flats, the Defendants took precautions to address this risk by putting the strawberry flat sales in a different area of the produce department from the bulk strawberry sales; by placing the strawberry flat sales in an area of the department where it could be easily monitored by the produce staff; and by implementing a cleaning regime which ensured that the floor was cleaned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Specifically, the strawberry flats display was placed some distance away from the bulk strawberry sales so as to reduce any possible confusion that a customer may have pertaining to the manner in which the strawberries were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the strawberry flats sales were located in a high traffic area, that is, an area that the staff of the produce department passed in the normal course of their duties a number of times each day. In this way the staff was able to easily, and consistently, monitor this display and ensure that customers were not picking through these strawberries and thereby reducing any risk of spillage.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Lastly, as was mentioned earlier in this Judgment, the Defendants had a cleaning regime in place wherein not only were regular cleanings done of the floor, but all members of the staff had a responsibility to monitor the floor and to ensure that if there was any debris, that in fact it was cleaned up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contended that these precautions taken by the Defendants fell short of meeting the standard of taking reasonable precautions to protect customers against known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particular, the Plaintiff contended that the Defendants should have placed a mat on the floor by the strawberry flats display. Moreover, the Plaintiff contended that the Defendants should have covered the top of the strawberry flats, either with cellophane or with a mesh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was set out earlier in this Judgment, the duty of care imposed on the Defendants as occupiers, is not a duty of perfection. See: Carlson v. Canada Safeway Limited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Given the manner in which the strawberry flats were sold and the manner in which they were packaged, I am satisfied that the Defendants have proved that the risk of spillage from the strawberry flats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 I am satisfied that the precautions taken by the Defendants, namely, locating the strawberry flats some distance from the bulk strawberry display; placing the strawberry flats in an area where they could be consistently and easily monitored; and by implementing a cleaning routine that ensured the floor was regularly mopped or swept, and that debris was picked up as soon as it was sighted, were sufficiently reasonable to ensure the safety of the customers using this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circumstances of this case, to require that the Defendants also should have placed mats on the floor by the strawberry flats display, and/or to require that the Defendants cover the strawberry flats in some manner is not reasonable as the risk of spillage is low, and would be tantamount to imposing a standard of perfection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During the trial, the Plaintiff contended that Mr. Quan had testified in his examination for discovery that he "would" have placed a mat by the strawberry flats display if there had been more mats available. The Plaintiff submitted that the Defendants did have sufficient mats to place one on the floor by the strawberry flats, and even if they did not have a sufficient quantity of mats, given the modest costs of those mats, one should have been purchased and placed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Quan did not testify that he "would" have placed a mat in the strawberry flat area if he had more mats, rather he attested that he "may" have placed one there. A review of the whole of Mr. Quan's evidence clarifies that in his view, the risk of spillage from the strawberry flats was low, and that therefore a mat need not be placed on the floor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any event, whether Mr. Quan would or would not, on reflection, put a mat by the strawberry flats display, is not relevant to the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Rather, the issue is whether the risk of spillage was such that it was unreasonable for the Defendants not to have taken the precaution of putting a mat on the floor in that area. As was set out earlier in these Reasons, I concluded that placement of the mat in the area of the strawberry flats display did not fall in this category because the risk of spillage was low, therefore the Defendants could not reasonably have been expected to have taken this precaution.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covering the tops of the strawberry flats boxes, as Mr. Quan explained during the trial, a cellophane wrapping would result in the spoilage of the strawberries as they require some air circulation.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some manufacturers from time to time have placed a netting type cover over the top of the boxes of strawberries, this has not been done at the request of the Defendants, and therefore should not be taken as an indication that the Defendants concluded that such a precaution was necessary. As was stated above, in my view, given the low risk of spillage, the precaution of covering the tops of the strawberries was not a precaution that the Defendants could reasonably have been expected to have taken. The spillage from the strawberry flats was not caused from the strawberries rolling out of the flats, but rather it was caused by customers picking through the strawberries which was something they should not have been doing. Even if the strawberries had been covered, this may not prevent a determined customer from removing it in order to pick through them.</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was stated earlier in these Reasons, there was a risk (albeit a low one) of spillage from the strawberry flats.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 meet this risk, the Defendants took a number of precautions - including ensuring that the floor was regularly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precautions taken by the Defendants to address this risk were reasonable in the circumstances and met the standard of care imposed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Having concluded that the Defendants did not breach their standard of care, this action is dismissed.</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Costs were not addressed in this trial. If either party wishes to pursue an order for costs, leave is granted to set the application down for hearing. Arrangements for that hearing are to be made through the Registry. If a party is to make such an application, notice of it must be served on the other side within 30 days of the filing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Hughes v. Dumaresq, [2005] B.C.J. No. 577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4174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B.C.L.R. (4th)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612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Morgan Hughes, plaintiff, and Randy C. Dumaresq, The Royal Canadian Mounted Police and Her Majesty the Queen in Right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3" w:name="Keywords_15"/>
      <w:bookmarkEnd w:id="153"/>
      <w:r>
        <w:rPr>
          <w:rFonts w:ascii="arial" w:eastAsia="arial" w:hAnsi="arial" w:cs="arial"/>
          <w:b/>
          <w:color w:val="000000"/>
          <w:sz w:val="20"/>
          <w:lang w:val="en-US" w:eastAsia="en-US" w:bidi="ar-SA"/>
        </w:rPr>
        <w:t>Damages — For torts — Affecting property — Personal property — Trespass or conversion.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4" w:name="Case Summary_14"/>
            <w:bookmarkEnd w:id="1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Hughes, against the defendants, RCMP and Dumaresq, for damages for conversion. Hughes' motorcycle was stolen by a rogue and sold to the defendant, Dumaresq. When Dumaresq tried to register the motorcycle the RCMP were alerted and the motorcycle was seized. Dumaresq indicated he had bought the motorcycle in parts from another person and the motorcycle was returned to him as it was not believed he was involved in a criminal offence. Though criminal charges were laid against the man who stole the motorcycle and restitution sought, the man died before his trial. On complaint from Hughes, the RCMP again seized the motorcycle, but it was returned by justice of the peace 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5" w:name="Holdings of Court_11"/>
            <w:bookmarkEnd w:id="1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Dumaresq was required to pay $2500 in damages to Hughes. The action against the RCMP was dismissed. Dumaresq was willfully blind and a proper search would have revealed the true owner of the motorcycle. Dumaresq could not take title of the motorcycle from the man from whom he purchased it because the man did not have title to give. The motorcycle was determined to be worth $2500 at the time it was purchased by Dumaresq. There was no duty of the police to take the motorcycle into its possession and any duty they may have had was discharged when they notified Hughes that the motorcycle was in the possession of Dumaresq. They properly followed procedure in putting the matter before a justice of the peace.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Legislation Cited_11"/>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490, 490(5), 490(9), 490(1).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Sale of Goods Act, s. 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7" w:name="Counsel_25"/>
      <w:bookmarkEnd w:id="1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Dorsch.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Royal Canadian Mounted Police and Her Majesty the Queen in Right of Canada: R.B.E. Hallsor.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 Randy C. Dumaresq.</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5"/>
      <w:bookmarkEnd w:id="158"/>
      <w:r>
        <w:pict>
          <v:line id="_x0000_s1135"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SIGURDSON J."/>
            <w:bookmarkEnd w:id="159"/>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is about a stolen motorcycle. It was stolen from the plaintiff, Mr. Hughes, by a rogue and then sold to the defendant, Randy Dumaresq. The plaintiff contends that ownership did not pass to Mr. Dumaresq, and accordingly the plaintiff seeks damages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additionally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R.C.M.P., first in its failure to seize the motorcycle from Mr. Dumaresq and deliver it to the plaintiff, and second, when the motorcycle was eventually seized, in returning it to Mr. Dumaresq rather than to the plaintiff. Both of these things, the plaintiff contends, are in breach of a duty of care owed to him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Dumaresq did not file an appearance nor did he attend at trial. Apart from the question of the defendants' liability, the quantum of the plaintiff's damages, although relatively modest for an action in this court, is nevertheless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the facts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Morgan Hughes, is 44 years old. In 1994, he purchased a 1975 Harley Davidson motorcycle for $4,000. Mr. Hughes did substantial repairs to the bike, and would often insure it over the summer months. In May 1999 the motorcycle suffered carburettor trouble that prevented it from starting, it was uninsured and Mr. Hughes listed it for sale for $6,000. He did not receive any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May 31, 1999, the motorcycle was stolen from Mr. Hughes' home and was not immediately recovered. The plaintiff did not lead evidence of its market value at the time it was taken, although he produced invoices totalling almost $11,000 for repairs he had done on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hoped to sell the motorcycle and, with some other funds, to put together a down payment for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motorcycle was not located and nothing happened for about a year, until May 17, 2000. On that date, the defendant, Mr. Dumaresq, attempted to register with ICBC a motorcycle bearing the same vehicle identification number as the stolen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R.C.M.P. officer for the Colwood detachment went to the credit union where Mr. Dumaresq was attempting to register the motorcycle. Constable (now Corporal) Maillet warned Mr. Dumaresq and gave him his Charter rights. Mr. Dumaresq told Constable Maillet that he had purchased the motorcycle in parts from a man named Mr. McCauley eleven months previously. The officer was told by Mr. Dumaresq that Mr. McCauley said he had received it from a tenant or an ex-roommate who owed him money. Mr. Dumaresq told the officer that he had done a lien search and he had some transfer papers signed by Mr. McCauley, but that the papers were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officer contacted Mr. Hughes, who told him that he did not know Mr. McCauley, that he did not know Mr. Dumaresq, and that the motorcycle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officer, after looking at the motorcycle at the home of Mr. Dumaresq, and concluding that he had done work and made efforts to buy it properly and legally, decided that Mr. Dumaresq could keep it for the time being. He asked Mr. Dumaresq not to make any more alterations to it. The officer was of the view that the motorcycle did not need to be taken into custody by the R.C.M.P. since criminal charges at that point were not contemplated against Mr. Dumaresq. On July 31, 2000 Constable Maillet returned to Mr. Dumaresq's home and photographed the dismantled motorcycle parts. He advised Mr. Hughes that he should proceed civilly against Mr. Dumaresq and that it was not part of his mandate to determine ownership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Maillet did not believe that Mr. Dumaresq was involved in a criminal offence of possessing stolen goods. He based this opinion largely on Mr. Dumaresq's forthright conduct in dealing with the police officer, including taking him into his house, showing him the motorcycle and the repairs he had done to it, and telling him specifically how he had acquired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Dumaresq wrote to Mr. Hughes saying that he wanted to put the motorcycle together and needed his signature in order to register the motorcycle. Mr. Hughes did not receive this letter until May 30, 2000. He did not respond to Mr. Dumaresq. On May 31, 2000 the plaintiff's wife dropped Mr. Dumaresq's letter off at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Hughes went to the R.C.M.P. detachment the next day to tell them that he still felt that Mr. Dumaresq was in possession of stolen property. He was again told that it was a civil matter and that he would have to take Mr. Dumaresq to court if he wanted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Charges were laid against Mr. McCauley, and in the report to Crown counsel, it was noted that Mr. Hughes would be seeking restitution. However, Mr. McCauley died before the criminal proceedings got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one point, Mr. Hughes visited Mr. Dumaresq and saw the motorcycle. He did not demand its return because he said he was fearful of Mr. Dumaresq.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Hughes was upset that the motorcycle was still in the possession of Mr. Dumaresq a year after it had been located. On May 26, 2001 he went to the police station at about 5:00 a.m. and spoke about this to Constable Hobday, who said he should come in on Monday and speak to Staff Sergeant Dichrow.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Staff Sergeant Dichrow requested one of the officers attend at Mr. Dumaresq's residence and seize the motorcycle. Mr. Dumaresq was unhappy about this and complained that he had gone to the courts and obtained ownership of the motorcycle. He said he had put a substantial amount of time and money into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motorcycle nevertheless was taken into custody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issue of the motorcycle's ownership was awaiting Constable Maillet when he returned to work. Constable Maillet, however, did not think the police should be involved, and from his note to file it appears that he once again reviewed the matter carefully. On June 12, 2001 or thereabouts, he consulted with a Department of Justice lawyer and received an opinion that it was a civil matter and that a report to a justice of the peace should be completed pursuant to s. 490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490(5) of the Criminal Code reads: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at any time before the expiration of the periods of detention provided for or ordered under subsections (1) to (3) in respect of anything seized, the prosecutor, or the peace officer or other person having custody of the thing seized, determines that the continued detention of the thing seized is no longer required for any purpose mentioned in subsection (1) or (4), the prosecutor, peace officer or other person shall apply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of a superior court of criminal jurisdiction or a judge as defined in section 552, where a judge ordered its detention under subsection (3),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justice, in any other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shall, after affording the person from whom the thing was seized or the person who claims to be the lawful owner thereof or person entitled to its possession, if known, an opportunity to establish that he is lawfully entitled to the possession thereof, make an order in respect of the property under subsection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circumstances of the s. 490 application are a little unclear. It appears that early in June 2001, at least before the 12th, Constable Maillet, on a preliminary basis, contacted a justice of the peace at Colwood. The officer noted in his report that Mr. Dumaresq stated that Mr. Hughes had been at his residence and examined the motorcycle, recognizing only the oil can and front turn signals from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Constable Maillet spoke to Sergeant Dichrow and they decided the police should proceed by way of a s. 490 application, with written notification to both parties. It appears from the documents that the actual application to the justice of the peace was made on June 22, 2001. (On June 21, Mr. Hughes had been in the R.C.M.P. office and was advised of the application, but apparently not of the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Constable Maillet testified that he put the relevant facts before the justice of the peace. He told her that the motorcycle was stolen, that it had been purchased in parts and assembled, that Mr. Hughes was the registered owner, that the rogue was charged, and that there were two people, he felt, with a colour of right to the vehicle. He said that he wanted to present the information to the justice of the peace so that she could determine who the motorcycle should be returned to. He told her that both Mr. Hughes and Mr. Dumaresq were claiming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justice of the peace for some reason apparently did not require that there be notice to Mr. Dumaresq or Mr. Hughes; Constable Maillet had not informed Mr. Hughes or Mr. Dumaresq of the actual date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 490 order was made by the justice of the peace on June 22, 2001 that the motorcycle be returned to Mr. Dumaresq. It appears to be an order that the justice of the peace could make under s. 490(9).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490(9) of the Criminal Code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Subject to this or any other Act of Parliament, if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referred to in subsection (7), where a judge ordered the detention of anything seized under subsection (3),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justice, in any other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satisfied that the periods of detention provided for or ordered under subsections (1) to (3) in respect of anything seized have expired and proceedings have not been instituted in which the thing detained may be required or, where those periods have not expired, that the continued detention of the thing seized will not be required for any purpose mentioned in subsection (1) or (4), he shall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possession of it by the person from whom it was seized is lawful, order it to be returned to that person,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possession of it by the person from whom it was seized is unlawful and the lawful owner or person who is lawfully entitled to its possession is known, order it to be returned to the lawful owner or to the person who is lawfully entitled to its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may, if possession of it by the person from whom it was seized is unlawful, or if it was seized when it was not in the possession of any person, and the lawful owner or person who is lawfully entitled to its possession is not known, order it to be forfeited to Her Majesty, to be disposed of as the Attorney General directs, or otherwise dealt with in accordance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motorcycle is apparently still in the possession of Mr. Dumaresq. This lawsuit was started in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claims damages. The claim against Mr. Dumaresq is strangely phrased, but I think it is really a claim in conversion. However, the material facts are properly pleaded for the claim he is advancing.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question is whether the plaintiff succeeds on the property claim against Mr. Dumaresq. The property in the motorcycle, when it was stolen, of course belonged to Mr. Hughes. That chattel still belonged to Mr. Hughes when Mr. McCauley had it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Leaving aside for a moment the question of any changes to the chattel, Mr. Dumaresq could not take title to the motorcycle from Mr. McCauley as Mr. McCauley did not have title to give and he was clearly not authorized by the plaintiff to sell the motorcycle. A purchaser cannot get better title than the wrongdoer has: St. John v. Horvat </w:t>
      </w:r>
      <w:hyperlink r:id="rId508" w:history="1">
        <w:r>
          <w:rPr>
            <w:rFonts w:ascii="arial" w:eastAsia="arial" w:hAnsi="arial" w:cs="arial"/>
            <w:i/>
            <w:color w:val="0077CC"/>
            <w:sz w:val="20"/>
            <w:u w:val="single"/>
            <w:shd w:val="clear" w:color="auto" w:fill="FFFFFF"/>
            <w:lang w:val="en-US" w:eastAsia="en-US" w:bidi="ar-SA"/>
          </w:rPr>
          <w:t>(1994), 113 D.L.R. (4th) 670</w:t>
        </w:r>
      </w:hyperlink>
      <w:r>
        <w:rPr>
          <w:rFonts w:ascii="arial" w:eastAsia="arial" w:hAnsi="arial" w:cs="arial"/>
          <w:color w:val="000000"/>
          <w:sz w:val="20"/>
          <w:lang w:val="en-US" w:eastAsia="en-US" w:bidi="ar-SA"/>
        </w:rPr>
        <w:t xml:space="preserve"> (B.C.C.A.), Sale of Goods Act, </w:t>
      </w:r>
      <w:hyperlink r:id="rId509" w:history="1">
        <w:r>
          <w:rPr>
            <w:rFonts w:ascii="arial" w:eastAsia="arial" w:hAnsi="arial" w:cs="arial"/>
            <w:i/>
            <w:color w:val="0077CC"/>
            <w:sz w:val="20"/>
            <w:u w:val="single"/>
            <w:shd w:val="clear" w:color="auto" w:fill="FFFFFF"/>
            <w:lang w:val="en-US" w:eastAsia="en-US" w:bidi="ar-SA"/>
          </w:rPr>
          <w:t>R.S.B.C. 1996, c. 410, s. 26</w:t>
        </w:r>
      </w:hyperlink>
      <w:r>
        <w:rPr>
          <w:rFonts w:ascii="arial" w:eastAsia="arial" w:hAnsi="arial" w:cs="arial"/>
          <w:color w:val="000000"/>
          <w:sz w:val="20"/>
          <w:lang w:val="en-US" w:eastAsia="en-US" w:bidi="ar-SA"/>
        </w:rPr>
        <w:t>. It appears that a proper search would have revealed Mr. Hughes was the registered owner. Even if it were possible for Mr. Dumaresq to obtain ownership of the vehicle from a third party who did not have ownership, those circumstances do not arise here as Mr. McCauley was not a mercantile agent, he was not in possession of the motorcycle with the consent of Mr. Hughes, and I think that Mr. Dumaresq was wilfully blind, given that a proper search would have revealed Mr. Hughes' ownership (Sale of Goods Act, s.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condition and market value of the motorcycle at the time it was stolen are unclear, as are the condition and market value when it was sold to Mr. Dumaresq. Mr. Hughes had listed it for sale for $6,000 without any offers, and it was purchased for $1,500 by Mr. Dumaresq from Mr. McCauley. Doing the best that I can on the evidence before me, I determine the motorcycle was worth about $2,500 at the time it was purchased by Mr. Dumaresq.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Although Mr. Dumaresq had made improvements to the motorcycle, Mr. Hughes is entitled only to damages equal to the value of the property at the time of the conversion for which he sues. The property was converted first when it was stolen by Mr. McCauley, and again when it was purchased by Mr. Dumaresq. There is some evidence that the motorcycle was dismantled and stripped by Mr. McCauley before it was sold to Mr. Dumaresq, likely making the value less at that time than it was when it was originally stolen. Where goods are repeatedly converted, each conversion is a separate tort carrying separate liability: Clark &amp; Lindsell on Torts, 18th ed. (London: Sweet &amp; Maxwell, 2000) at 14-99. Mr. Hughes is entitled to damages assessed at the time of the conversion by Mr. Dumaresq: Tridont Leasing (Canada) Ltd. v. Saskatoon Market Mall Ltd., </w:t>
      </w:r>
      <w:hyperlink r:id="rId510" w:history="1">
        <w:r>
          <w:rPr>
            <w:rFonts w:ascii="arial" w:eastAsia="arial" w:hAnsi="arial" w:cs="arial"/>
            <w:i/>
            <w:color w:val="0077CC"/>
            <w:sz w:val="20"/>
            <w:u w:val="single"/>
            <w:shd w:val="clear" w:color="auto" w:fill="FFFFFF"/>
            <w:lang w:val="en-US" w:eastAsia="en-US" w:bidi="ar-SA"/>
          </w:rPr>
          <w:t>[1995] 6 W.W.R. 641</w:t>
        </w:r>
      </w:hyperlink>
      <w:r>
        <w:rPr>
          <w:rFonts w:ascii="arial" w:eastAsia="arial" w:hAnsi="arial" w:cs="arial"/>
          <w:color w:val="000000"/>
          <w:sz w:val="20"/>
          <w:lang w:val="en-US" w:eastAsia="en-US" w:bidi="ar-SA"/>
        </w:rPr>
        <w:t xml:space="preserve"> at [paragraph] 40 (Sask. C.A.). Damages are a difficult thing to determine here. I assess the quantum of damages payable by Mr. Dumaresq to Mr. Hughes at $2,500, being the value of the motorcycle at the time of its conversion by Mr. Dumaresq.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now turn to the case against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note parenthetically that, although the issue was not raised at trial, it appears that the wrong parties have been named in this action. As was recently noted by the Court of Appeal in Roy v. British Columbia (Attorney General), </w:t>
      </w:r>
      <w:hyperlink r:id="rId511" w:history="1">
        <w:r>
          <w:rPr>
            <w:rFonts w:ascii="arial" w:eastAsia="arial" w:hAnsi="arial" w:cs="arial"/>
            <w:i/>
            <w:color w:val="0077CC"/>
            <w:sz w:val="20"/>
            <w:u w:val="single"/>
            <w:shd w:val="clear" w:color="auto" w:fill="FFFFFF"/>
            <w:lang w:val="en-US" w:eastAsia="en-US" w:bidi="ar-SA"/>
          </w:rPr>
          <w:t>[2005] B.C.J. No. 293</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since the R.C.M.P. were acting pursuant to a s. 3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contract with the Attorney General of British Columbia, the Attorney General of B.C. should properly have been named as a defendant in place of the R.C.M.P. and Her Majesty the Queen in Right of Canada. However, since I have determined that the case against the R.C.M.P. must be dismissed, nothing turns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claim against the R.C.M.P. is really in two parts. The first part alleges a breach of duty in failing to seize the motorcycle from Mr. Dumaresq. The second part alleges a breach of duty in returning the motorcycle to Mr. Dumaresq after it had been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R.C.M.P. argues that there is no duty on the part of the police to seize goods alleged to be stolen or to protect the property of others. The defendant says that the duty of the police is properly reflected in Norris v. Gatien </w:t>
      </w:r>
      <w:hyperlink r:id="rId512" w:history="1">
        <w:r>
          <w:rPr>
            <w:rFonts w:ascii="arial" w:eastAsia="arial" w:hAnsi="arial" w:cs="arial"/>
            <w:i/>
            <w:color w:val="0077CC"/>
            <w:sz w:val="20"/>
            <w:u w:val="single"/>
            <w:shd w:val="clear" w:color="auto" w:fill="FFFFFF"/>
            <w:lang w:val="en-US" w:eastAsia="en-US" w:bidi="ar-SA"/>
          </w:rPr>
          <w:t>(2001), 56 O.R. (3d) 441</w:t>
        </w:r>
      </w:hyperlink>
      <w:r>
        <w:rPr>
          <w:rFonts w:ascii="arial" w:eastAsia="arial" w:hAnsi="arial" w:cs="arial"/>
          <w:color w:val="000000"/>
          <w:sz w:val="20"/>
          <w:lang w:val="en-US" w:eastAsia="en-US" w:bidi="ar-SA"/>
        </w:rPr>
        <w:t xml:space="preserve"> (C.A.). In that case, there was an allegation that a negligent police investigation resulted in additional hearings that would not have been necessary had the allegedly negligent investigation not resulted in the failure of the criminal trial. It was further alleged that these additional hearings caused damage to the victim's family. In dismissing the appeal of the decision to strike out the family's claim the Court said at [paragraph] 15-17: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counsel recognize that police officers constitute a public authority and are normally engaged in carrying out a public law duty. The question here is whether, in the circumstances, Gatien owed a private law duty of care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that question was set down by Wilson J. in Kamloops (City) v. Nielsen, </w:t>
      </w:r>
      <w:hyperlink r:id="rId51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at pp. 10-11 S.C.R., pp. 662-63 D.L.R. as follows: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resolution of the instant motion is to be found in the words of the first question, namely, "in the reasonable contemplation of the authority [Gatien/Nepean], might carelessness on [their] part cause damage to that person [the plaintiffs]?" The answer to that question must be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in Norris held that the police did not owe a private law duty of care to the victim's family, and that their duties are public law duties. The statement of claim was accordingly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No authority was cited for police liability in failing to seize and deliver property. However, cases where police officers have seized goods and returned them to the wrong party, however, have resulted in civil liability: see for example Blanchard v. Aurora Boat Centers Ltd. </w:t>
      </w:r>
      <w:hyperlink r:id="rId514" w:history="1">
        <w:r>
          <w:rPr>
            <w:rFonts w:ascii="arial" w:eastAsia="arial" w:hAnsi="arial" w:cs="arial"/>
            <w:i/>
            <w:color w:val="0077CC"/>
            <w:sz w:val="20"/>
            <w:u w:val="single"/>
            <w:shd w:val="clear" w:color="auto" w:fill="FFFFFF"/>
            <w:lang w:val="en-US" w:eastAsia="en-US" w:bidi="ar-SA"/>
          </w:rPr>
          <w:t>(2001), 287 A.R. 7</w:t>
        </w:r>
      </w:hyperlink>
      <w:r>
        <w:rPr>
          <w:rFonts w:ascii="arial" w:eastAsia="arial" w:hAnsi="arial" w:cs="arial"/>
          <w:color w:val="000000"/>
          <w:sz w:val="20"/>
          <w:lang w:val="en-US" w:eastAsia="en-US" w:bidi="ar-SA"/>
        </w:rPr>
        <w:t xml:space="preserve"> (Q.B.) and Carpenter v. MacDonald </w:t>
      </w:r>
      <w:hyperlink r:id="rId515" w:history="1">
        <w:r>
          <w:rPr>
            <w:rFonts w:ascii="arial" w:eastAsia="arial" w:hAnsi="arial" w:cs="arial"/>
            <w:i/>
            <w:color w:val="0077CC"/>
            <w:sz w:val="20"/>
            <w:u w:val="single"/>
            <w:shd w:val="clear" w:color="auto" w:fill="FFFFFF"/>
            <w:lang w:val="en-US" w:eastAsia="en-US" w:bidi="ar-SA"/>
          </w:rPr>
          <w:t>(1978), 91 D.L.R. (3d) 723</w:t>
        </w:r>
      </w:hyperlink>
      <w:r>
        <w:rPr>
          <w:rFonts w:ascii="arial" w:eastAsia="arial" w:hAnsi="arial" w:cs="arial"/>
          <w:color w:val="000000"/>
          <w:sz w:val="20"/>
          <w:lang w:val="en-US" w:eastAsia="en-US" w:bidi="ar-SA"/>
        </w:rPr>
        <w:t xml:space="preserve"> (Ont. Dist. Court). Those cases demonstrate the danger of the police involving themselves in the determination of what are essentially civil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there was no duty on the police to take the disputed property into its possession. Any duty they may have had was discharged by advising the plaintiff that the motorcycle was in Mr. Dumaresq's possession. I find that the police, specifically Constable Maillet, bona fide believed that there was a legitimate dispute over ownership of the goods and that it was a matter to be settled in the civil courts, not by unilateral action by the R.C.M.P. He told that to Mr. Hughes. It would have been inappropriate in these circumstances for the R.C.M.P. to favour one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Let me now deal with the second part of the claim. By the continued persistence of Mr. Hughes, the R.C.M.P. was persuaded in Constable Maillet's absence to seize the motorcycle. Having seized the motorcycle, given that there were parties disputing the ownership of the motorcycle and given that, as noted above, returning seized property to the wrong party can result in civil liability on the part of the police, the next appropriate course of action for the peace officer was to make an application for an order that the property be returned under s. 490 of the Criminal Code. That application was made and a justice of the peace, as she was entitled to do, directed that the motorcycle be returned to Mr. Dumaresq.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note as well that under s. 490(9) the motorcycle could be returned to the "lawful owner" rather than the person from whom the property was seized only if the person from whom it was seized was not in lawful possession. It may have been difficult for the justice of the peace to determine that Mr. Dumaresq was not in lawful possession given the history I have described and his work on the motorcycle. The focus of s. 490(9) is on lawful possession, rather than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Hughes could have, under s. 490(10), brought a summary application on the basis that he was the lawful owner. Section 490(10) of the Criminal Code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or any other Act of Parliament, a person, other than a person who may make an application under subsection (7), who claims to be the lawful owner or person lawfully entitled to possession of anything seized and brought before or reported to a justice under section 489.1 may, at any time, on three clear days notice to the Attorney General and the person from whom the thing was seized, apply summarily to</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referred to in subsection (7), where a judge ordered the detention of the thing seized under subsection (3),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justice, in any other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 order that the thing detained be returned to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Mr. Hughes did not make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complains about the lack of notice of the s. 490 application. I am surprised that in the circumstances actual notice was not given by the justice of the peace to Mr. Hughes. However, the evidence indicates that the decision of whether or not to give notice, if such a decision was made, was made by the justice of the peace, not by the R.C.M.P. I find that the R.C.M.P. could rely on the s. 490 order made by the justice of the peace as a lawful direction to return the motorcycle as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any event, I am satisfied that the positions of the two contestants were well known to Constable Maillet, and he in turn provided those positions to the justice of the peace, who then made her order returning the motorcycle to Mr. Dumaresq. Mr. Hughes knew immediately that the motorcycle had been returned to Mr. Dumaresq and could have forthwith - as he has now - taken legal action against Mr. Dumaresq to determine true ownership. No real loss resulted from lack of notice to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for these reasons, the action against the R.C.M.P. and Her Majesty the Queen in Right of Canada must be dismissed. The plaintiff is granted judgment against Mr. Dumaresq in the amount of $2,500 together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the R.C.M.P. seeks costs, it shall advise the plaintiff's counsel and the parties shall have liberty to make submissions in writing as to costs if they cannot agree. Mr. Hallsor should file his submission within 14 days and Ms. Dorsch within 14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Isaac v. Guardian Capital Group Ltd., [2004] B.C.J. No. 360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24 - 26, and December 2, 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S023850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254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Stanley Russell Isaac, plaintiff, and Guardian Capital Group Limited, 3439666 Canada Inc., Worldsource Holdings Corp., Worldsource Financial Services Inc./Services Financiers Worldsource Inc., Worldsource Corporate Services Inc./Services Administratifs Worldsource Inc., Worldsource Securities Inc./Valeurs Mobilires Worldsource Inc., Worldsource Insurance Agency Inc./Agence d'Assurance Worldsource Inc., John Christodoulou and Harold Hillier,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16"/>
      <w:bookmarkEnd w:id="160"/>
      <w:r>
        <w:rPr>
          <w:rFonts w:ascii="arial" w:eastAsia="arial" w:hAnsi="arial" w:cs="arial"/>
          <w:b/>
          <w:color w:val="000000"/>
          <w:sz w:val="20"/>
          <w:lang w:val="en-US" w:eastAsia="en-US" w:bidi="ar-SA"/>
        </w:rPr>
        <w:t>Employment law — Wrongful dismissal — Civil procedure — Costs — Jurisdiction — Parties — Pleadings.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15"/>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two defendants, Worldsource Securities Inc. and Worldsource Corporate Services Inc., under Rule 19(24), to strike the statement of claim of the plaintiff Isaac. The remaining corporate and individual defendants brought a motion under Rules 14(6) and 14(6.1) to set aside service and for a declaration that the court had no jurisdiction over them or declined it, and staying the proceedings against them. Isaac's claim included allegations of wrongful and constructive dismissal, breach of contract, negligent misrepresentation, defamation, quantum meruit and unjust enrichment.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2"/>
            <w:bookmarkEnd w:id="1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various issues and the pleadings were considered in detail, and the entire claim was struck with leave to amend only those claims relating to breach of contract, unjust enrichment, and quantum meruit. It was therefore not possible to deal with the Rule 14 application, so the court would remain seized of the matter for the limited purpose of considering further applications on the amended statement of claim. Costs were awarded to the defendants in any event of the cause, payable as a condition to filing a new statement of claim. There was no cost penalty for bringing the Rule 14 application.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2"/>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Rule 14, Rule 14(6), Rule 14(6.1), Rule 19(16),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6"/>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Holmes, for the plaintiff. R.B. Fraser and J. Berta,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6"/>
      <w:bookmarkEnd w:id="165"/>
      <w:r>
        <w:pict>
          <v:line id="_x0000_s1140"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MELNICK J."/>
            <w:bookmarkEnd w:id="166"/>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Fraser brings the following two applications: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behalf of two of the defendants for an order striking out the statement of claim of the plaintiff, Stanley Russell Isaac ("Mr. Isaac"), pursuant to Rule 19(24); and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behalf of the remaining defendants for an order setting aside service, a declaration that the court has no jurisdiction over them, a declaration and order that the court declines jurisdiction over them, and an order that the proceedings against them be stayed pursuant to Rule 14(6) and 14(6.1).</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Isaac advances a number of claims against the defendants arising out of alleged contracts between him and some or all of the defendants to establish a securities brokerage business in British Columbia. Two of the defendants, Worldsource Securities Inc. ("WS Securities") and Worldsource Corporate Services Inc. ("WS Corp.") (collectively the "B.C. Defendants"), are resident in British Columbia. They bring an application under Rule 19(24). The remaining corporate and individual defendants (collectively the "Ontario Defendants") have been served ex juris without leave pursuant to various subrules in Rule 13(1). They challenge the jurisdiction of the B.C. court pursuant to Rule 14(6) and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allegations against the defendants include breach of contract, negligent misrepresentation, defamation, wrongful dismissal, constructive dismissal, quantum meruit and unjust enrichment.</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19(24)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appropriate to deal with the Rule 19(24) application first. It is the B.C. Defendants' position that Mr. Isaac's statement of claim is so confusing and it violates the rules for proper pleadings to such an extent that they cannot properly respond to it. They submit that the whole of the statement of claim should be struck out and, essentially, Mr. Isaac be required to start over. It is Mr. Isaac's position that the Rule 19(24) application "is simply wrong and is wholly without merit."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Purpose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B.C. Defendants argue that Mr. Isaac has breached several elements of Rule 19. In order to assess the persuasiveness of their arguments I begin by characterizing the role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Justice Smith conveniently sets out the purpose of pleadings in Homalco Indian Band v. British Columbia </w:t>
      </w:r>
      <w:hyperlink r:id="rId523"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page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Troup v. McPherson (1965), 53 W.W.R. 37 (B.C. S.C.) at 39. The defendant, upon seeing the case to be met, must then respond to the plaintiff's allegations in such a way that the court will understand from the pleadings what issues of fact and law it will be called upon to decide.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statement of claim is to serve the ultimate purpose of pleadings, the material facts of each cause of action relied upon should be set out in the above manner. As well, they should be stated succinctly and the particulars should follow and should be identified as such: Gittings v. Caneco Audio-Publishers Inc. </w:t>
      </w:r>
      <w:hyperlink r:id="rId524" w:history="1">
        <w:r>
          <w:rPr>
            <w:rFonts w:ascii="arial" w:eastAsia="arial" w:hAnsi="arial" w:cs="arial"/>
            <w:i/>
            <w:color w:val="0077CC"/>
            <w:sz w:val="20"/>
            <w:u w:val="single"/>
            <w:shd w:val="clear" w:color="auto" w:fill="FFFFFF"/>
            <w:lang w:val="en-US" w:eastAsia="en-US" w:bidi="ar-SA"/>
          </w:rPr>
          <w:t>(1988), 26 B.C.L.R. (2d) 349</w:t>
        </w:r>
      </w:hyperlink>
      <w:r>
        <w:rPr>
          <w:rFonts w:ascii="arial" w:eastAsia="arial" w:hAnsi="arial" w:cs="arial"/>
          <w:color w:val="000000"/>
          <w:sz w:val="20"/>
          <w:lang w:val="en-US" w:eastAsia="en-US" w:bidi="ar-SA"/>
        </w:rPr>
        <w:t xml:space="preserve"> (B.C. C.A.) at 353.</w:t>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on Rule 19(24)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 B.C. Defendants complain of a variety of breaches of Rule 19, the remedy for those breaches is in Rule 19(24). That Rule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practice, a party attacking pleadings often makes reference to Rule 19(24) as a whole instead of relying on particular subrules. The B.C. Defendants in this case are guilty of such a broad-brush approach. Consequently, courts often gloss over which part of the rule they are applying in their analysis. Thus, it is useful to review how each rule has been interpreted in order to be able to rely on the appropriate aspect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Regardless of the subrule in 19(24) relied on, the B.C. Court of Appeal in Kripps v. Touche Ross &amp; Co. </w:t>
      </w:r>
      <w:hyperlink r:id="rId525" w:history="1">
        <w:r>
          <w:rPr>
            <w:rFonts w:ascii="arial" w:eastAsia="arial" w:hAnsi="arial" w:cs="arial"/>
            <w:i/>
            <w:color w:val="0077CC"/>
            <w:sz w:val="20"/>
            <w:u w:val="single"/>
            <w:shd w:val="clear" w:color="auto" w:fill="FFFFFF"/>
            <w:lang w:val="en-US" w:eastAsia="en-US" w:bidi="ar-SA"/>
          </w:rPr>
          <w:t>(1992), 94 D.L.R. (4th) 284</w:t>
        </w:r>
      </w:hyperlink>
      <w:r>
        <w:rPr>
          <w:rFonts w:ascii="arial" w:eastAsia="arial" w:hAnsi="arial" w:cs="arial"/>
          <w:color w:val="000000"/>
          <w:sz w:val="20"/>
          <w:lang w:val="en-US" w:eastAsia="en-US" w:bidi="ar-SA"/>
        </w:rPr>
        <w:t>, makes clear at 289 that the court must decide an application under Rule 19(24) on the pleadings either as they stand or as they may be amended.</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standard on a Rule 19(24)(a) application is well established.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plaintiff suffered illness from exposure to asbestos in the course of his work as an electrician. He accused several companies in the asbestos manufacturing and use business of conspiracy to hide the fact that asbestos fibres could cause disease. The defendant Carey brought an application under Rule 19(24)(a) to have the conspiracy claim dismissed. The Supreme Court of Canada noted at paragraph 12 that Rule 19(24) is a codification of the court's inherent jurisdiction to stay actions that are an abuse of process or that do not disclose a reasonable cause of action. After considering similar rules in England and in Ontario, as well as jurisprudence from B.C. and the Supreme Court of Canada, the court set the following test at page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Any doubt about whether or not a plaintiff has satisfied the test set out in Hunt is to be resolved in the plaintiff's favour: Citizens for Foreign Aid Reform Inc. v. Canadian Jewish Congress </w:t>
      </w:r>
      <w:hyperlink r:id="rId431"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standard under Rule 19(24)(b) is also a "plain and obvious" one, though it must be plain and obvious that the pleading is unnecessary, scandalous, frivolous or vexatious. Mr. Justice Romilly in Citizens for Foreign Aid sets out a useful summary of the jurisprudence on this subrule and parts of subrule 19(24)(c) at paragraph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Gittings v. Caneco Audio-Publishers Inc. </w:t>
      </w:r>
      <w:hyperlink r:id="rId526"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 S.C.).... A pleading is "unnecessary" or "vexatious" if it does not go to establishing the plaintiff's cause of action or does not advance any claim known in law: Strauts v. Harrigan, </w:t>
      </w:r>
      <w:hyperlink r:id="rId527"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(December 2, 1991), Doc. Vancouver C913631 (B.C.S.C.).... A pleading is "frivolous" if it is obviously unsustainable, not in the sense that it lacks an evidentiary basis, but because of the doctrine of estoppel: Chrisgian v. B.C. Rail Ltd., </w:t>
      </w:r>
      <w:hyperlink r:id="rId528"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xml:space="preserve"> (July 3, 1992), Doc. Prince George 20714 (B.C. Master).</w:t>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19(24)(c)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Justice Hutcheon in Keddie v. Dumas Hotels Ltd. </w:t>
      </w:r>
      <w:hyperlink r:id="rId529"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(C.A.), sets out succinctly at page 147 what constitutes an embarrassing pleading within the meaning of Rule 19(24)(c), citing Mayor of City of London v. Herner (1914), 111 L.T. 512 (C.A.) at 514: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allegations are so irrelevant that to allow them to stand would involve useless expense, and would also prejudice the trial of the action by involving the parties in a dispute that is wholly apart from the issues. In order that allegations should be struck out from a defence upon that ground ... their irrelevancy must be quite clear and, so to speak, apparent at the first glance.</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section is normally reserved for claims that clearly cannot stand for such reasons as res judicata and issue estoppel: World Wide Treasure Adventures Inc. v. Trivia Games Inc. </w:t>
      </w:r>
      <w:hyperlink r:id="rId530"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(C.A.). Notwithstanding the fact that the B.C. Defendants have not excluded reliance on this subrule, I do not consider that such issues arise in this case.</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Having regard to the kinds of complaints the B.C. Defendants advance, Rule 19(24)(a) is, on the whole, the most applicable subrule. Where I believe another subrule is more appropriate, I will make that clear.</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Adopting the standard in Hunt, in order for me to strike the plaintiff's breach of contract and misrepresentation claims, it must be plain and obvious that the statement of claim does not disclose a reasonable cause of action on those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considerable confusion between what are alleged to be clauses in the contract and misrepresentations. I shall deal with them together because it appears as though Mr. Isaac is relying on the same events to show both breach of contract and misrepresentation. I also note at the outset that the B.C. Defendants complain that the supposed terms in paragraph 21 of the statement of claim are too vague to form the basis of a contract. I have not addressed that particular argument because WS Securities admits the existence of a contract in its statement of defence. While it may not agree as to which terms are included in that contract or whether there was more than one contract, it cannot now claim no reasonable cause of action because there is no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there is a measure of confusion with respect to the alleged agreements. "Agreement" and "Employment Agreement" are both defined terms in the statement of claim. However, paragraph 53 refers to "contract of employment" and paragraph 54 refers to "various agreements". It is unclear if these undefined terms refer to either both, or neither of the defined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problem arising from the confusion and applicable to the claims in contract is one of privity. Throughout the statement of claim, Mr. Isaac refers to the defendants as a group but nowhere does he specify who he alleges are the actual parties to the contract(s). While there is some jurisprudence holding individuals who are not parties to a contract liable for breach of that contract, without knowing which parties Mr. Isaac claims are the actual parties, it is impossible to know what law applies here. As well, without knowing who are the parties to the contract, the defendants cannot know which defences may be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further problem is the making of what appear to be alternative claims. On the one hand Mr. Isaac is alleging that the defendants breached fundamental terms and on the other hand he is claiming misrepresentation. Mr. Isaac is able to plead these in the alternative under Rule 19(8). Subrules (7) and (8) of Rule 19 provide:</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shall not plead an allegation of fact or a new ground or claim inconsistent with the party's previous pleading.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(7) does not affect the right of a party to make allegations in the alternative or to amend or apply for leave to amend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Mr. Isaac's claims are not properly presented as alternative positions. For example, in paragraph 21, Mr. Isaac states that "[i]t was a condition or fundamental term of the Agreement, and further, or alternatively Mr. Hillier represented and warranted to the Plaintiff, that..." followed by a list. He also says in paragraph 40 that the defendants' conduct amounted to a repudiation of the Agreement. But in paragraph 23 he says he "reasonably relied upon these representations" and further, at paragraph 24, he says that he agreed to forgo his salary in the first year "in reliance on the conditions, fundamental terms, representations and warranties set out above". That language could relate to a breach of warranty claim in contract or to negligent misrepresentation. Mr. Isaac's primary position is not clear from these statements, which makes it very hard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Similar criticisms apply to Mr. Isaac's claims in wrongful and constructive dismissal, which are also, properly, alternative positions. He seems to be alleging both in paragraph 41 but both cannot be true. He adds further allegations of wrongful dismissal in paragraphs 51-53. Either he was constructively dismissed before he was given notice of termination in March 2002 or he was wrongfully dismissed at that time. While the problems with alternative positions may not be enough on their own to justify striking the statement of claim, they certainly add to the confusion with which the statement of claim is replete.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 further problem in that the statement of claim is not clear about how the defendants allegedly breached these various terms or how the elements listed in paragraphs 21, 22, 24, 27 and possibly 39 turned out not to be true. In order for Mr. Isaac to make a proper claim in either contract or in negligent misrepresentation, he needs to show that elements he understood were going to be present did not in fact materialize. He does set out some alleged breaches at paragraph 31, which he relates to the delay in getting WS Securities up and running, including claims that he was not given effective authority and responsibility for the development of the business (para. 31(d)). As well, at paragraph 32, he alleges interference with an application for membership in the Investment Dealers Association of Canada (the "IDA"), which presumably affects the promise he alleges in paragraph 21(e): that the defendants would take whatever steps were necessary to establish WS Securities. That leaves several claims without particulars as to the breaches on which Mr. Isaac relies and some particulars hidden within broader allegations. There is no attempt to itemize which actions relate to the repudiation of the contract alleged in paragraph 40 or to the constructive dismissal alleged in paragraph 41. A blanket reference to all the fundamental breaches, breaches of warranty and misrepresentations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Also of concern is Mr. Isaac's vague language when referring to the terms or representations and their breach:</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29: "The parties initially planned for WS Securities to be operational by the end of June 2001, however, the Defendants' actions and inactions </w:t>
      </w:r>
      <w:r>
        <w:rPr>
          <w:rFonts w:ascii="arial" w:eastAsia="arial" w:hAnsi="arial" w:cs="arial"/>
          <w:color w:val="000000"/>
          <w:sz w:val="20"/>
          <w:u w:val="single"/>
          <w:lang w:val="en-US" w:eastAsia="en-US" w:bidi="ar-SA"/>
        </w:rPr>
        <w:t>including</w:t>
      </w:r>
      <w:r>
        <w:rPr>
          <w:rFonts w:ascii="arial" w:eastAsia="arial" w:hAnsi="arial" w:cs="arial"/>
          <w:color w:val="000000"/>
          <w:sz w:val="20"/>
          <w:lang w:val="en-US" w:eastAsia="en-US" w:bidi="ar-SA"/>
        </w:rPr>
        <w:t xml:space="preserve"> those described below...."</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31: "The Defendants fundamentally breached the Agreement with the Plaintiff by causing serious delay to the commencement of WS Securities operations and imposing a series of impediments to the orderly and timely development of the business, </w:t>
      </w:r>
      <w:r>
        <w:rPr>
          <w:rFonts w:ascii="arial" w:eastAsia="arial" w:hAnsi="arial" w:cs="arial"/>
          <w:color w:val="000000"/>
          <w:sz w:val="20"/>
          <w:u w:val="single"/>
          <w:lang w:val="en-US" w:eastAsia="en-US" w:bidi="ar-SA"/>
        </w:rPr>
        <w:t>particulars of which include but are not limited to the following</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such further and other particulars as counsel may advise</w:t>
      </w: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32: "Further, the Defendants fundamentally breached the Agreement with the Plaintiff and their representations and warranties to the Plaintiff by, </w:t>
      </w:r>
      <w:r>
        <w:rPr>
          <w:rFonts w:ascii="arial" w:eastAsia="arial" w:hAnsi="arial" w:cs="arial"/>
          <w:color w:val="000000"/>
          <w:sz w:val="20"/>
          <w:u w:val="single"/>
          <w:lang w:val="en-US" w:eastAsia="en-US" w:bidi="ar-SA"/>
        </w:rPr>
        <w:t>among other things</w:t>
      </w:r>
      <w:r>
        <w:rPr>
          <w:rFonts w:ascii="arial" w:eastAsia="arial" w:hAnsi="arial" w:cs="arial"/>
          <w:color w:val="000000"/>
          <w:sz w:val="20"/>
          <w:lang w:val="en-US" w:eastAsia="en-US" w:bidi="ar-SA"/>
        </w:rPr>
        <w:t xml:space="preserve">, inappropriately interfering with the IDA membership application process. Particulars of these breaches </w:t>
      </w:r>
      <w:r>
        <w:rPr>
          <w:rFonts w:ascii="arial" w:eastAsia="arial" w:hAnsi="arial" w:cs="arial"/>
          <w:color w:val="000000"/>
          <w:sz w:val="20"/>
          <w:u w:val="single"/>
          <w:lang w:val="en-US" w:eastAsia="en-US" w:bidi="ar-SA"/>
        </w:rPr>
        <w:t>include</w:t>
      </w:r>
      <w:r>
        <w:rPr>
          <w:rFonts w:ascii="arial" w:eastAsia="arial" w:hAnsi="arial" w:cs="arial"/>
          <w:color w:val="000000"/>
          <w:sz w:val="20"/>
          <w:lang w:val="en-US" w:eastAsia="en-US" w:bidi="ar-SA"/>
        </w:rPr>
        <w:t xml:space="preserv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Isaac should be specific both about the terms he complains were breached and about the particulars of the breaches. He is not entitled to add other circumstances as he thinks fit forcing the B.C. Defendants to respond to surprise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the factual matrix surrounding the contract or contracts is unclear, the B.C. Defendants cannot properly respond to the claims of breach of contract or misrepresentation. While the B.C. Defendants take issue with many of the alleged terms of the Agreement, the Employment Agreement or undefined agreements, the fundamental problems in the statement of claim are the lack of a clear picture as to: which terms belong to which agreement, how the terms were breached, and who are the parties to the contracts. Mr. Justice Smith in Homalco says at paragraph 11 that where confusing pleadings are "extremely difficult, if not impossible, to answer" the defendant should not be required to do so. That is the case here due to the uncertainty about the alleged agreements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B.C. Defendants also make a good point when they cite Madam Justice Southin in Cotton v. Wellsby </w:t>
      </w:r>
      <w:hyperlink r:id="rId531"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where she says at 373 that when a plaintiff files "a hopelessly inadequate statement of claim, there is nothing upon which the trial judge can concentrate his or her mind." Not only does the statement of claim in this case confuse the defendants but it is likely to confuse the trial judge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all of that said, it is not "plain and obvious" that the breach of contract claims will not succeed if Mr. Isaac is able to better organize and particularize his allegations. Although Mr. Isaac did not ask for this relief the court has two options to correct defects in a statement of claim relying on its inherent jurisdiction to control court proceedings: the first is to order that Mr. Isaac provide further particulars of the claim under Rule 19(16); the second is to strike the offending portion of the statement of claim under Rule 19(24) but grant leave to amend it. While there does not appear to be a significant difference in result between these two options in most cases, the former is less draconian than the latter; therefore, the latter should be reserved for more egregious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this is a case where the breach of contract claims should be struck with leave to amend. The claims are hopelessly confused and intertwined, and although Mr. Isaac may have a reasonable cause of action once the he reorganizes his pleadings, he does not have one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there is a fatal problem with Mr. Isaac's negligent misrepresentation claims. The B.C. Defendants argue that Mr. Isaac's claims in paragraphs 21 and 22 are statements of intended future conduct and that those kinds of representations are not actionable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MacMillan v. Kaiser Equipment Ltd., </w:t>
      </w:r>
      <w:hyperlink r:id="rId532" w:history="1">
        <w:r>
          <w:rPr>
            <w:rFonts w:ascii="arial" w:eastAsia="arial" w:hAnsi="arial" w:cs="arial"/>
            <w:i/>
            <w:color w:val="0077CC"/>
            <w:sz w:val="20"/>
            <w:u w:val="single"/>
            <w:shd w:val="clear" w:color="auto" w:fill="FFFFFF"/>
            <w:lang w:val="en-US" w:eastAsia="en-US" w:bidi="ar-SA"/>
          </w:rPr>
          <w:t>[2003] B.C.J. No. 1006</w:t>
        </w:r>
      </w:hyperlink>
      <w:r>
        <w:rPr>
          <w:rFonts w:ascii="arial" w:eastAsia="arial" w:hAnsi="arial" w:cs="arial"/>
          <w:color w:val="000000"/>
          <w:sz w:val="20"/>
          <w:lang w:val="en-US" w:eastAsia="en-US" w:bidi="ar-SA"/>
        </w:rPr>
        <w:t xml:space="preserve"> (S.C.), the plaintiff entered into two agreements with the defendant saying he relied on various representations that he would receive future equity ownership to compensate him for work done over and above his work as an employee. Madam Justice Allan says this at paragraph 83 about misrepresentation claims, citing Taylor v. Netron Inc., </w:t>
      </w:r>
      <w:hyperlink r:id="rId533" w:history="1">
        <w:r>
          <w:rPr>
            <w:rFonts w:ascii="arial" w:eastAsia="arial" w:hAnsi="arial" w:cs="arial"/>
            <w:i/>
            <w:color w:val="0077CC"/>
            <w:sz w:val="20"/>
            <w:u w:val="single"/>
            <w:shd w:val="clear" w:color="auto" w:fill="FFFFFF"/>
            <w:lang w:val="en-US" w:eastAsia="en-US" w:bidi="ar-SA"/>
          </w:rPr>
          <w:t>[2002] O.T.C. 574</w:t>
        </w:r>
      </w:hyperlink>
      <w:r>
        <w:rPr>
          <w:rFonts w:ascii="arial" w:eastAsia="arial" w:hAnsi="arial" w:cs="arial"/>
          <w:color w:val="000000"/>
          <w:sz w:val="20"/>
          <w:lang w:val="en-US" w:eastAsia="en-US" w:bidi="ar-SA"/>
        </w:rPr>
        <w:t xml:space="preserve"> (Sup. Ct. J.): "in order to establish a negligent misrepresentation, the misrepresentation must be to existing facts, not future occurrences" (see also Williams v. Saanich School District No. 63 </w:t>
      </w:r>
      <w:hyperlink r:id="rId534" w:history="1">
        <w:r>
          <w:rPr>
            <w:rFonts w:ascii="arial" w:eastAsia="arial" w:hAnsi="arial" w:cs="arial"/>
            <w:i/>
            <w:color w:val="0077CC"/>
            <w:sz w:val="20"/>
            <w:u w:val="single"/>
            <w:shd w:val="clear" w:color="auto" w:fill="FFFFFF"/>
            <w:lang w:val="en-US" w:eastAsia="en-US" w:bidi="ar-SA"/>
          </w:rPr>
          <w:t>(1986), 37 C.C.L.T. 203</w:t>
        </w:r>
      </w:hyperlink>
      <w:r>
        <w:rPr>
          <w:rFonts w:ascii="arial" w:eastAsia="arial" w:hAnsi="arial" w:cs="arial"/>
          <w:color w:val="000000"/>
          <w:sz w:val="20"/>
          <w:lang w:val="en-US" w:eastAsia="en-US" w:bidi="ar-SA"/>
        </w:rPr>
        <w:t xml:space="preserve"> (B.C.S.C.), aff'd </w:t>
      </w:r>
      <w:hyperlink r:id="rId535" w:history="1">
        <w:r>
          <w:rPr>
            <w:rFonts w:ascii="arial" w:eastAsia="arial" w:hAnsi="arial" w:cs="arial"/>
            <w:i/>
            <w:color w:val="0077CC"/>
            <w:sz w:val="20"/>
            <w:u w:val="single"/>
            <w:shd w:val="clear" w:color="auto" w:fill="FFFFFF"/>
            <w:lang w:val="en-US" w:eastAsia="en-US" w:bidi="ar-SA"/>
          </w:rPr>
          <w:t>(1987), 14 B.C.L.R. (2d) 141</w:t>
        </w:r>
      </w:hyperlink>
      <w:r>
        <w:rPr>
          <w:rFonts w:ascii="arial" w:eastAsia="arial" w:hAnsi="arial" w:cs="arial"/>
          <w:color w:val="000000"/>
          <w:sz w:val="20"/>
          <w:lang w:val="en-US" w:eastAsia="en-US" w:bidi="ar-SA"/>
        </w:rPr>
        <w:t xml:space="preserve"> (C.A.)). I note that Madam Justice Allan in MacMillan dismissed the defendant's application to strike the statement of claim under Rule 19(24)(a) and (d). However, if the length of her reasons on this point is any indication, this was not the focus of either party's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All the representations in paragraphs 21, 22 and 24 refer to future events. As such the claim for negligent misrepresentation should be struck as disclosing no reasonable cause of action. As I mentioned above, Mr. Isaac relies on the same allegations in breach of contract and in negligent misrepresentation and I would limit him to pleading breach of contract for the misrepresentations that concern him. He will not have leave to amend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have considered the B.C. Defendants' argument that the "entire agreement" clause in the agreement they admit exists precludes Mr. Isaac from relying on the alleged misrepresentations in his claim for breach of contract. However, that argument is best left until Mr. Isaac remedies the confusion surrounding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Mr. Isaac indicated during argument that Mr. Isaac was not making a claim in fraudulent misrepresentation, something the B.C. Defendants thought was being alleged because of his use of the terms "recklessness", "reckless" and "wanton" in paragraphs 33 and 54. That is a further reason why the misrepresentation claims should be struck in their entirety. They are properly struck as being embarrassing under Rule 19(24)(c): Olsen v. Behr Process Corp., </w:t>
      </w:r>
      <w:hyperlink r:id="rId536" w:history="1">
        <w:r>
          <w:rPr>
            <w:rFonts w:ascii="arial" w:eastAsia="arial" w:hAnsi="arial" w:cs="arial"/>
            <w:i/>
            <w:color w:val="0077CC"/>
            <w:sz w:val="20"/>
            <w:u w:val="single"/>
            <w:shd w:val="clear" w:color="auto" w:fill="FFFFFF"/>
            <w:lang w:val="en-US" w:eastAsia="en-US" w:bidi="ar-SA"/>
          </w:rPr>
          <w:t>[2003] B.C.J. No. 627</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Isaac claims that the communication of the termination of his employment to the IDA was defamatory and injured his reputation. In Raymond E. Brown, The Law of Defamation in Canada, 2d ed. (Scarborough, Ont.: Carswell, 1994) a defamatory statement is defined at page 54 as a false statement to a person's discredit. While there are other elements to the tort, that definition is sufficient to strike Mr. Isaac's claim in this case. Leaving aside the factor that the statement has to discredit Mr. Isaac in some way, which is far from clear to me, to be defamatory a statement has to be false. In other words, truth is an absolute defence. In this case, the fact that Mr. Isaac was terminated from his position as an investment advisor was a true statement and cannot be defamatory. This makes it plain and obvious that the plaintiff's defamation claim is not a reasonable cause of action and it is properly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 Mr. Isaac has also failed in his obligation to plead the particulars of his defamation claim. If he does not set out the precise words complained of, the claim may be struck out under Rule 19(24)(a): Shannon v. King, </w:t>
      </w:r>
      <w:hyperlink r:id="rId537" w:history="1">
        <w:r>
          <w:rPr>
            <w:rFonts w:ascii="arial" w:eastAsia="arial" w:hAnsi="arial" w:cs="arial"/>
            <w:i/>
            <w:color w:val="0077CC"/>
            <w:sz w:val="20"/>
            <w:u w:val="single"/>
            <w:shd w:val="clear" w:color="auto" w:fill="FFFFFF"/>
            <w:lang w:val="en-US" w:eastAsia="en-US" w:bidi="ar-SA"/>
          </w:rPr>
          <w:t>[1931] 4 D.L.R. 438</w:t>
        </w:r>
      </w:hyperlink>
      <w:r>
        <w:rPr>
          <w:rFonts w:ascii="arial" w:eastAsia="arial" w:hAnsi="arial" w:cs="arial"/>
          <w:color w:val="000000"/>
          <w:sz w:val="20"/>
          <w:lang w:val="en-US" w:eastAsia="en-US" w:bidi="ar-SA"/>
        </w:rPr>
        <w:t xml:space="preserve"> (B.C.C.A.). The exception to this requirement is where the plaintiff does not know and cannot know the exact defamatory words until he can extract them from the defendants on discovery, such as where only the defendants were present when the words were spoken: Bulkley Nechako Cable Vision Ltd. v. CKPO Television Ltd. </w:t>
      </w:r>
      <w:hyperlink r:id="rId538" w:history="1">
        <w:r>
          <w:rPr>
            <w:rFonts w:ascii="arial" w:eastAsia="arial" w:hAnsi="arial" w:cs="arial"/>
            <w:i/>
            <w:color w:val="0077CC"/>
            <w:sz w:val="20"/>
            <w:u w:val="single"/>
            <w:shd w:val="clear" w:color="auto" w:fill="FFFFFF"/>
            <w:lang w:val="en-US" w:eastAsia="en-US" w:bidi="ar-SA"/>
          </w:rPr>
          <w:t>(1982), 37 B.C.L.R. 23</w:t>
        </w:r>
      </w:hyperlink>
      <w:r>
        <w:rPr>
          <w:rFonts w:ascii="arial" w:eastAsia="arial" w:hAnsi="arial" w:cs="arial"/>
          <w:color w:val="000000"/>
          <w:sz w:val="20"/>
          <w:lang w:val="en-US" w:eastAsia="en-US" w:bidi="ar-SA"/>
        </w:rPr>
        <w:t xml:space="preserve"> (S.C.). However, the plaintiff is not relieved from his obligation to plead particulars where he can determine the precise words by investigating: Bulkley Nechako. This is the case here. Whether the communication was oral or by letter, someone at the IDA could surely tell Mr. Isaac in precise terms what was said about his termination. There is no indication in the pleadings that Mr. Isaac has attempted to ascertain the precise words. This is a further ground upon which I would strike the 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B.C. Defendants made much of the fact that they could not be liable in defamation because a Ms. Richard was the one who sent the letter to the IDA. However, Rule 19(27) indicates that no evidence is admissible where an application is made under Rule 19(24)(a). The claim that Ms. Richard sent the letter is not in any of the pleadings but is a statement in her affidavit, which is inadmissible. In any event, the B.C. Defendants do not need another ground on which to strike out the defamation claim since they can rely on the two grounds I mentioned above. I would not grant leave to amend this claim. Unless Mr. Isaac can plead some other untrue statement that is alleged to be defamatory, I would not grant leave to amend this claim.</w:t>
      </w:r>
      <w:r>
        <w:rPr>
          <w:rFonts w:ascii="arial" w:eastAsia="arial" w:hAnsi="arial" w:cs="arial"/>
          <w:sz w:val="20"/>
          <w:lang w:val="en-US" w:eastAsia="en-US" w:bidi="ar-SA"/>
        </w:rPr>
        <w:cr/>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leading Canadian cases in unjust enrichment are Pettkus v. Becker, </w:t>
      </w:r>
      <w:hyperlink r:id="rId539"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and Peter v. Beblow, </w:t>
      </w:r>
      <w:hyperlink r:id="rId540"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Madam Justice McLachlin in Peter v. Beblow sets out the test for unjust enrichment in this way at page 987: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action for unjust enrichment arises when three elements are satisfied: (1) an enrichment; (2) a corresponding deprivation; and (3) the absence of a juristic reason for the enrichment. These proven, the action is established and the right to claim relief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claim in unjust enrichment exists where there is no contract on which to base one's right; if there is a contract then the much easier route is to sue for breach of contract. Therefore, I will assume that Mr. Isaac has no enforceable contract on which to rely. This makes the unjust enrichment claim an alternative claim to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element of benefit is of little trouble in this case. Though WS Securities apparently did not survive for long, Mr. Isaac allegedly did work to start the business, drew up a business plan, organized the office space and tried to recruit staff. This provided WS Securities with a benefit. However, it is unclear whether any other defendant received a benefit. Further, the corresponding detriment is problematic. While Mr. Isaac allegedly spent time working to develop the brokerage business, he does not plead that he was not compensated for his work properly or at all. This is a significant gap in the pleadings and the existence of the claim requires this factor; without it there is no reasonable cause of action. I order the unjust enrichment claim struck but grant Mr. Isaac leave to amend this claim. Because of the gravity of the omission, more detail should be added by amendment, not with particulars.</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Meruit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Dictionary of Canadian Law, 2d ed. defines "quantum meruit" thus, relying on the decision of Madam Justice Rowles in Gill v. Grant </w:t>
      </w:r>
      <w:hyperlink r:id="rId541" w:history="1">
        <w:r>
          <w:rPr>
            <w:rFonts w:ascii="arial" w:eastAsia="arial" w:hAnsi="arial" w:cs="arial"/>
            <w:i/>
            <w:color w:val="0077CC"/>
            <w:sz w:val="20"/>
            <w:u w:val="single"/>
            <w:shd w:val="clear" w:color="auto" w:fill="FFFFFF"/>
            <w:lang w:val="en-US" w:eastAsia="en-US" w:bidi="ar-SA"/>
          </w:rPr>
          <w:t>(1988), 30 E.T.R. 255</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contractual setting, remuneration is said to be paid on a quantum meruit basis when, although a valid contract is found to exist in fact and law, there is no clause spelling out in express terms the consideration for the contract. In such circumstances, the courts award reasonable remuneration to the person who has rendered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Therefore, Mr. Isaac must show that there was a contract in existence but that his remuneration was not expressly set out in that contract. In this case, his ability to do so depends on the particularization of the contract on which he is basing his claim for quantum meruit. It also depends on a finding that the term setting out his compensation, that he alleges was included in the contract in paragraph 24 of the statement of claim, was not so included; it is, therefore, properly an alternative position to his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little doubt that Mr. Isaac can properly plead quantum meruit in these circumstances (assuming as I must at this stage that the facts pleaded about his work to get WS Securities started are true) if he can point to a particular contract and if he can show that he did not receive reasonable compensation. Unfortunately, Mr. Isaac has done neither here. He does not specify the contract to which this claim applies and nowhere in the pleadings does he say that he did not get any or got insufficient compensation for his work to develop WS Securities, the same impediment to his claim in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instance, once Mr. Isaac properly pleads breach of contract one hopes that the particulars he pleads will be sufficient to indicate which contract he is relying on for his quantum meruit claim. But, as mentioned in the section on unjust enrichment, because of the importance of the detail about his not having received any or enough compensation, he should amend the pleadings to include such a statement. The quantum meruit claim is struck with leave to amend.</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not alleging a cause of action, paragraph 11 pleads that at all material times all defendants acted as the authorized employee, agent, partner, joint venturer or representative of the others; that each held himself or itself out as being able to represent and bind the others; that they all had knowledge of the acts and omissions of the others; and that they acted jointly and in concert with the others in committing the various wrongs against the plaintiff. With this paragraph, Mr. Isaac is presumably attempting to claim that all defendants are jointly liable; however, as Mr. Fraser rightly points out, because of the wording, Mr. Isaac is making the illogical claim that corporations are employees or representatives of individuals. That cannot be so and it renders the claims in the paragraph suspect on their face. Also, Mr. Isaac does not plead, as he must under Rule 19(9.1), any material facts to indicate how these legal relationships were created or how they functioned.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subsidiary issue is Mr. Isaac's having referred to the defendants as a group throughout the statement of claim, an approach likely related to the language in paragraph 11. It is unclear when he makes his various allegations whether the defendants are accused of breaching contract(s) or of being liable in unjust enrichment or quantum meruit because of their own actions or because they are vicariously or jointly liable due to the actions of another party or parties. I discussed this problem above as it relates to the contract claims specifically but it is problematic for all claims. It is possible that Mr. Isaac could be making alternative claims but he has not made this clear. This leaves the defendants in the unworkable position of having to defend the actions of an unknown or undefined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Paragraph 11 is rightfully characterized as embarrassing and should be struck under Rule 19(24)(c). I give Mr. Isaac leave to amend this paragraph on the following conditions: that he plead the material facts necessary to support the legal relationships he maintains existed; that he specify which defendants are parties to the contract(s); that he outline for each cause of action which defendants are responsible for direct actions and which are vicariously or otherwise liable; and that he be clear when he is advancing alternative claims.</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Rule 19(24)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is evident from the above analysis, Mr. Isaac's statement of claim is so confusing and so replete with problems that it should be almost totally redrafted. While some paragraphs, such as the introductory paragraphs, are not offensive, it is a task beyond what can be expected of the court to edit it any further than I have already done. Thus, the entire statement of claim should be struck. I would, however, grant leave to Mr. Isaac to file a new (essentially totally amended) statement of claim except for those claims for which I have not granted leave to amend. In other words, he may advance claims in breach of contract, unjust enrichment and quantum meruit.</w:t>
      </w:r>
      <w:r>
        <w:rPr>
          <w:rFonts w:ascii="arial" w:eastAsia="arial" w:hAnsi="arial" w:cs="arial"/>
          <w:sz w:val="20"/>
          <w:lang w:val="en-US" w:eastAsia="en-US" w:bidi="ar-SA"/>
        </w:rPr>
        <w:cr/>
      </w:r>
    </w:p>
    <w:p>
      <w:pPr>
        <w:numPr>
          <w:numId w:val="2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14(6) APPLICATION -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undertaking this analysis, I proceeded on the basis that the former Rule 14 applies to these proceedings rather than the amended Rule 14. In any event, neither side made an issue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one very real problem with the jurisdiction application. Without setting out the law at this point, it will suffice to say that as part of my analysis I am required to determine if Mr. Isaac has a good arguable case against the Ontario Defendants. It is impossible to determine whether Mr. Isaac has a good arguable case on pleadings that have yet to be reformulated. Mr. Isaac may or may not choose to join some or all of the Ontario Defendants in his amended statement of claim. He may or may not succeed in properly describing his claims the next time, so that he may again face a Rule 19(24) argument from the B.C. Defendants before the court can consider the Ontario Defendants' jurisdiction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Further, Mr. Isaac's claim that the defendants are jointly liable because of relationships of agency, employment, joint venture, partnership etc. may turn out to have a legal basis once he amends his pleadings and it would be premature to decide that the Ontario Defendants could not be parties before Mr. Isaac's claims are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same problem presents itself in any attempt to determine whether this court has jurisdiction over the Ontario Defendants. Thus, the application of the Ontario Defendants will have to be considered after Mr. Isaac delivers a properly drafted statement of claim setting out his claims in clear and comprehensible form, including what he alleges are the relationships between him and the various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remain seized of this matter for the limited purpose of considering any further application with respect to an amended statement of claim, including the question of jurisdiction.</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are entitled to the costs of this application in any event of the cause, payable as a condition to filing a new statement of claim. However, I will not consider fixing costs at a rate other than Scale 3 without the receipt of argument. There is liberty to present such argument at a time to be arranged if the defendants still wish to pursue other than normal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also observe that it was reasonable for the Ontario Defendants to bring on their application with respect to jurisdiction, even if I was ultimately unable to deal with it due to the result of the application of the B.C. Defendants. They are, therefore, not to be penalized in the form of costs for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JCB Contracting Ltd. v. New West Management Inc., [2008] B.C.J. No. 2604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 (appearing by teleconference)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40747, 42555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1803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JCB Contracting Ltd., Plaintiff, and New West Management Inc. and Ron Lowry, Defendants, and JCB Contracting Ltd., Defendant by Counterclaim, and The Geothermal Guys Ltd., Defendant by Third Party And between The Geothermal Guys Ltd., Plaintiff, and New West Management Inc. and Ron Lowry,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17"/>
      <w:bookmarkEnd w:id="167"/>
      <w:r>
        <w:rPr>
          <w:rFonts w:ascii="arial" w:eastAsia="arial" w:hAnsi="arial" w:cs="arial"/>
          <w:b/>
          <w:color w:val="000000"/>
          <w:sz w:val="20"/>
          <w:lang w:val="en-US" w:eastAsia="en-US" w:bidi="ar-SA"/>
        </w:rPr>
        <w:t>Corporations, partnerships and associations law — Corporations — General principles — Distinct legal entity — Exceptions (Piercing the corporate veil) — Action by the plaintiff contractor against the corporate and individual defendants for breach of a contract allowed in part — Plaintiff argued individual defendant was liable as he was a party and his conduct justified piercing the corporate veil — Corporate defendant was liable for the amount owed to the plaintiff — There was no viable foundation for establishing personal liability against the individual defendant — Evidence did not establish that the individual defendant was a party to the contract — It was clear on the evidence that he signed the contract as an authorized signatory for the corporate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16"/>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contractor against the corporate and individual defendants for breach of a contract to construct a building. The plaintiff alleged that the defendants refused to pay for his work. The plaintiff argued that the individual defendant was liable because he was a party to the contract and that his conduct in negotiating the contract justified going behind the corporate veil and finding personal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3"/>
            <w:bookmarkEnd w:id="16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corporate defendant was liable for the amount owed to the plaintiff for the work performed. The plaintiff's pleadings did not set forth any material facts to found a cause of action against the personal defendant in fraud, deceit, dishonesty, or want of authority. There was no viable foundation for establishing personal liability against the defendant. The evidence did not establish that the individual defendant was a party to the contract. It appeared clear on the evidence that he signed the contract as an authorized signatory for the corporate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3"/>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549" w:history="1">
        <w:r>
          <w:rPr>
            <w:rFonts w:ascii="arial" w:eastAsia="arial" w:hAnsi="arial" w:cs="arial"/>
            <w:i/>
            <w:color w:val="0077CC"/>
            <w:sz w:val="20"/>
            <w:u w:val="single"/>
            <w:shd w:val="clear" w:color="auto" w:fill="FFFFFF"/>
            <w:lang w:val="en-US" w:eastAsia="en-US" w:bidi="ar-SA"/>
          </w:rPr>
          <w:t>SBC 2002, CHAPTER 57, s. 27</w:t>
        </w:r>
      </w:hyperlink>
      <w:r>
        <w:rPr>
          <w:rFonts w:ascii="arial" w:eastAsia="arial" w:hAnsi="arial" w:cs="arial"/>
          <w:color w:val="000000"/>
          <w:sz w:val="20"/>
          <w:lang w:val="en-US" w:eastAsia="en-US" w:bidi="ar-SA"/>
        </w:rPr>
        <w:t>(1)(c), s. 158(1)(b)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7"/>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by teleconference: K.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and for the Defendant New West Management Inc. appearing by teleconference: Ron Lowry.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appearing by teleconference: S.M. Kelly.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7"/>
      <w:bookmarkEnd w:id="172"/>
      <w:r>
        <w:pict>
          <v:line id="_x0000_s1145"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A.F. CULLEN J. (orally)"/>
            <w:bookmarkEnd w:id="173"/>
            <w:r>
              <w:rPr>
                <w:rFonts w:ascii="arial" w:eastAsia="arial" w:hAnsi="arial" w:cs="arial"/>
                <w:b/>
                <w:color w:val="000000"/>
                <w:sz w:val="30"/>
                <w:lang w:val="en-US" w:eastAsia="en-US" w:bidi="ar-SA"/>
              </w:rPr>
              <w:t>A.F. CULLEN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in these matters was heard on October 30, 2008. It involved two related actions which were tried together pursuant to an order of Master Hyslop made on September 23, 2008. I will deal first with action number 40747.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the plaintiff, JCB Contracting, sought judgment against the defendants, Ron Lowry and New West Management Inc., arising out of the breach of a contract entered into in August of 2006 under which the plaintiff agreed to build a commercial residential building on a cost-plus basis. The agreement as originally drafted was between JCB Contracting and Ron Lowry. It was modified by Mr. Lowry placing brackets around his name and adding the name "New West Management Inc." It was signed by Mr. Lowry as "authorized signatory." In the section of the document providing for the printed name of a witness, he printed his name in brackets and added the name of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contract called for the construction of a three-storey building on the lot at 4007 27th Street in Vernon. The contract also provided that the defendant would pay the actual cost of the labour, equipment, materials, and expenses involved in the construction plus 10 percent plus GST. It also provided that the contract should be payable by way of progress payments due on the first day of each month commencing September 2006, and on the first day of each month thereafter together with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Due to the ongoing failure of the defendant to make the payments in a timely way as provided for in the contract, on March 23, 2007, because the plaintiff could no longer carry the costs of the project without charging interest, the defendant agreed to pay interest on all outstanding balances at 24 percent per annum. In the result, by the end of the contract, the plaintiff issued invoices to the defendant in the amount of $882,678.99. Since then with interest accruing less the payments made, the total amount due and owing to the plaintiff inclusive of interest is $1,150,384.60.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New West, has not appeared at the trial of this matter to contest its liability or the amount owing. The defendant, Ron Lowry, has appeared and resists judgment against himself and the quantum of that judgment if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conclusion of the trial of this matter, I awarded judgment to JCB Contracting Ltd. against New West Management Inc. for $1,150,384.60, and I granted JCB a declaration of lien in that amount on the subject property. I reserved on the issue whether JCB is entitled to judgment against the defendant, Lowry, personally, and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foundation of the plaintiff's claim against the defendant, Lowry, rests in part on the inclusion of his name in the agreement between the parties and in part on the nature and effect of representations said to have been made by him in the course of the performance of the contract and leading up to its original execution. The plaintiff contends that the inclusion of Mr. Lowry's name in the contract without a clear indication that he was simply an agent for New West Management Inc. renders him personally liable as a party to the contract. The plaintiff further submits that the representations made by Mr. Lowry to the principal of JCB, Jason Barnett, that he had and was in the process of securing additional financing for the building as the contract was being performed, when it appears he did not have adequate finances to pay JCB, his conduct of a sort that justifies lifting the corporate veil and finding personal liability against Mr. Lowry. Mr. Lowry's role as a director, shareholder, and "face" of the defendant, New West, in its dealings with the plaintiff justifies a finding of personal liability according to the submissions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Barnett's evidence was that his company, JCB, entered into a contract to build the De Monte Building in August of 2006. He dealt exclusively with Ron Lowry and he drew up the cost-plus contract that reflected an agreement between his company and Ron Lowry. It was Mr. Lowry's handwriting that added the name "New West Management Inc." to the front of the contract and put brackets around his own name. Mr. Barnett said there was no discussion about New West before the contract was entered into and there was no discussion about Mr. Lowry putting brackets around his name or what that meant. Mr. Lowry signed the agreement as the authorized signatory on page 5 and his name was put in brackets on page 6 in the space provided for a witness. Mr. Barnett testified there was no discussion about New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building called for was 9,000 square feet with three floors. Mr. Barnett summarized the agreement as calling for invoicing on a cost-plus 10-percent basis and payment on receipt of the invoices. According to Mr. Barnett, Mr. Lowry told him he was getting three draws from his financing and that if he fell behind in making the payments, if JCB could carry him to the draws, it would get paid. The draws were at lockup on completion of the drywall and on completion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Barnett acknowledged that he entered into a contract with Geothermal Guys Ltd. He said he was, in effect, directed by Ron Lowry to use them as subcontractors, but he chose and hired all of the other subtrades himself. He had never done a building with a geothermal system before. In the contract with Geothermal Guys, Ron Lowry was identified as the "project coordinator" for the building in the agreement between The Geothermal Guys and JCB. All the invoices rendered by the plaintiff were addressed and sent to New West Management Inc. Mr. Barnett testified that Mr. Lowry asked him to address the invoices to New West Inc. He delivered them to Ron Lowry. He further testified that JCB got to the lock-up stage at the end of December, to the completion of the drywall at the end of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reaching the lockup stage, Mr. Barnett said he asked Mr. Lowry to clean up the invoices. He said Mr. Lowry told him the money was coming. There was no problem getting the money. The project was being financed by a private lender and a bank. Mr. Barnett was shown a series of bank drafts payable to JCB drawn on the Toronto Dominion Bank. He testified that they were the payments received from New West and consisted of the following: October 23, $27,552; December 22, 2006, $240,048.58; February 5, 2007, $120,027.06; May 7, 2007, $105,277; for a total of $492,875.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Barnett received no other payments and, on March 23, 2007, he prepared a document to reflect an agreement that the plaintiff would be paid 24-percent interest on all outstanding invoices. The document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23,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Ron Lowry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West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between JCB Contracting Ltd. and Ron Lowry of New West Management is to acknowledge that all invoices to New West Management from JCB Contracting Ltd. are due upon receipt. Both parties agree that interest will be charged and paid on all unpaid balances at a rate of 2% per month or 24%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______________________</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________________________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Ron Lowry</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Jason Barnett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 West Management</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JCB Contracting Ltd.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Lowry's signature was affixed to the document above the words, "Ron Lowry, New West Management Inc." Mr. Barnett's signature was affixed above the words, "Jason Barnett, JCB Contracting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Pursuant to the agreement, JCB sent a series of invoices reflecting the interest owing on the outstanding overdue balance. The invoices were headed, "Clients: New West Management Inc." The interest amounts charged in the invoices were as follows: March 31, $6,701.46; April 30, $10,162.94; [inaudible], $13,745.31; June 31, $16,786.86; and July 15, $17.307.43.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Barnett testified that as the project drew to a close he was concerned about payment and asked Mr. Lowry to provide some proof of financing and he sent the following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JCB Contracting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6801 Foothills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BC V1B 3W2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308-6185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Cathy &amp; Jason,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patience. As per our conversation, attached is correspondence from Valley First Financial Institution regarding the first mortgage. A second mortgage is being provided by a private investor (for confidentiality reasons, I cannot identify the private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New West Management Inc., the owner of the building, banks at TD Canada Trust. The tenant, De Monte Centre Management Inc., banks at Scotiabank.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plan is to complete the first mortgage financing by June 8, 2007, with the second mortgage financing completed at the same time or shortly thereafter, by mid June. Commercial financing is considerably more complex than residential financing and we are working expeditiously to complete these transactions.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Ron Lowry, 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550-5233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ronwlowry@shaw.ca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the letter was a letter dated May 30, 2007, from Valley First Credit Union headed, "For Discussion Purposes" setting out a contemplated loan in the amount of $1,612,500. The Valley First letter stated, among other things,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working paper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be construed as a commitment or offering implied or otherwise, nor can it, under any circumstances be made a commitment by amendment and/or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First Valley letter provided for acceptance from the proposed borrowers on the terms set out in the final paragraph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document is being delivered to you on the understanding that neither this document nor its substance shall be disclosed publicly or privately except to counsel, accountants, employees and agents of the Borrower who are specifically involved in the proposed transaction. Without limiting the generality of the foregoing clause, none of such persons shall use or refer to the Credit Union's name in any disclosure made in connection with any of the transactions described below without the Credit Union's prior written consent. This letter is not to be construed as a formal commitment letter and is for discussion purposes only. If you are in agreement with the foregoing terms and conditions, kindly sign and return the enclosed copy of this letter by 5:00 p.m. June 8, 2007. Upon receipt of this letter, we will approach our head office for formal authorization. This Discussion Paper may be executed by the parties and transmitted by telecopy/facsimile and if so executed and transmitted, this Discussion Paper will be for all purposes as effective as if the parties had delivered an executed original Discussion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was addressed to "NEWCO (De Monte Professional Building)" and it was signed by Ron Lowry and Denise De Monte. Mr. Barnett testified he understood from the letters he received from Mr. Lowry that "he had no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final occupancy permit for the building was issued on June 14, 2007, to New West Management Inc. Mr. Barnett testified that before that a temporary occupancy permit was issued and the defendants took possession of the property and it was occupied since then as a spa, as offices for a naturopath, and as four residential suites. On June 18, 2007, the plaintiff, JCB, filed a claim of lien against the property. The claim of lien was for the sum of $868,373.23 and the claim of lien reads in part as follows: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engaged the lien claimant, or to whom the lien claimant supplied materials, and who is or will become indebted to the lien claimant is: NEW WEST MANAGEMENT INC. (Incorporation No. 747857), of 2411 Highway 6, #105, Vernon, British Columbia, V1T 5G4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Subsequently, on June 29, 2008, Ron Lowry sent Mr. Barnett a letter on the letterhead of New West Management Inc. The letter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 $200,000 loan for De Monte Centre Management Inc., the tenant or resident, for leasehold improvements with the proceeds going to leasehold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indicated JCB needed to issue receipts that "some payments already made to JCB were for leasehold improvement," and paid for by De Monte Centre Management Inc. De Monte Centre Management Inc. was the tenant of the premises. Mr. Barnett testified he had done no work for De Monte Centre. He sought to get a hold of his counsel who was away and was unable to get back to Mr. Lowry in time to secure the payment of $200,000 via the loan to De 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he said he did not get legal advice before entering into the contract. He said that from the beginning his discussions were only with Ron Lowry and the first he heard of New West was when Ron Lowry entered the name on the contract when it was being signed. He was not aware that Ron Lowry was a shareholder or that New West had four shareholder or plans for more shareholders. He was not aware New West was the owner of the property and De Monte Centre was the tenant. He agreed all invoices were sent to New West and none to Ron Lowry personally and that all interest invoices were sent to New West and not Ron Lowry personally. He agreed that all payments made were made by a bank draft on an account at the Toronto Dominion Bank and he agreed that the first draft for $27,552 was indicated in the "Re" line as "New West Management Inc. Invoice 727-01, but he noted that it was not noted on others. He agreed that the letters he received from Mr. Lowry were on New West letterhead and that the occupancy permit was in the name of New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was not aware of what person or entity the money for the financing was going to or that New West owned the building. He agreed that in his March 23, 2007, letter, it was to the attention of Ron Lowry and New West Management Inc. and that it referred to an agreement between JCB and Ron Lowry of New West Management Inc. He was not aware of the financing put in place after completion of the building, but was aware that Ron Lowry was always looking for financing. He was not aware of a loan from Business Development Bank of Canada finalized in November of 2007. He was asked about a proposed settlement in January 2008 which did not come to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Lowry testified that he was a director of New West Management Inc. and was the project manager for the De Monte Building. New West, he explained, is a holding company set up to hold real estate. It owned three properties in Vernon including the De Monte property. It had four shareholders, but he described himself as the face of the organization. He testified that the company entered into an agreement with JCB to construct the building at issue. All the building permits were applied for by New West and all approvals were given to New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contract, Mr. Lowry testified that JCB put only his name in the contract and put him down as owner. He testified that he corrected that and initialled his correction. He was the signing officer for New West. He said that he never made any attempt to indicate that he was the person who was contracting them. He testified that the company received $1.95 million in financing from the Business Development Bank of Canada based on its merits. He said in respect to the contract with JCB all invoices were sent to New West, all correspondence was done under New West letterhead, and he always indicated himself as being a director of New West when he signed the correspondence. The building was structured with De Monte as the main tenant and four residential tenants in the top floor. All the tenants had tenancy agreements with New West. He pointed out the claim of lien and all invoices named New West and the contract with Geothermal Guys, the installer of the geothermal heating/cooling system, named him as the project coordinator. He gave some evidence about the quantum of the amount owed under the contract; however, much of his evidence was hearsay and based on affidavit evidence not adduced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the geothermal heating and cooling system installed by The Geothermal Guys Ltd. was deficient. He received an engineer's report to the effect that it was inadequate to either cool or heat the building and testified as to periods in the summer of 2007 and 2008 when it was very hot in the building. He testified he was told by engineers that to remediate the problems with the geothermal system would be very expensive and upwards of $300,000. That evidence was not adduced to prove that it was true, but to explain Mr. Lowry's state of mind. He said that The Geothermal Guys had not been paid by JCB because he had told Mr. Barnett not to pay because of the deficiencies in the system and the prospect of expensive repairs and replacements. He testified the system was still not operating properly as of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that New West has been unable to meets its financial obligations and, as a result, the second mortgage holder on the property has brought foreclosure proceedings. The other two properties owned by the company are also under foreclosure. He agreed in cross-examination that the building was hot in July and The Geothermal Guys did not attend because they had not been paid. It was suggested that when the contract was entered into the company had only $650,000 in financing. He disagreed saying that although that is what he said at discovery, "It didn't come up," but there was another $140,000 from a private lender. So he had a total of $790,000. He agreed that the preliminary budget estimate of $737,000 made by JCB did not include finishing the exterior, a parking site preparation, or demolition of the buildings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was shown a letter dated April 23, 2007, whereby mortgage brokers were attempting to get financing on New West's behalf and represented to potential lenders that, "JCB Contracting's contract is $739,642 including soft and hard costs." He agreed that that letter was written at a time when the outstanding balance owing to JCB on which interest was accruing was $701,000. He did not admit that the information about JCB's hard and soft costs came from him, although he acknowledged providing information to a variety of lenders through the mortgage broker. He said that when the contract was negotiated the defendants had an estimate from JCB of about $735,000, but he agreed that that estimate did not include all hard and soft costs. He agreed that at that time New West did not have the financial numbers in place to pay the contract. He denied telling JCB that he only had $650,000. He testified that he told Mr. Barnett of JCB that there was $790,000 available. He said he was very clear when he spoke with JCB that they had a budget and he knew what the costs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was asked about his evidence on an examination for discovery where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may have misunderstood, but earlier I understood you to say that you never told Mr. Barnett what your budget and your maximum number was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you couldn't exceed?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we did not state a maximum; that's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told him you had a budget?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the time you were negotiating with Mr. Barnett to build, you were exclusively asking him just to do the building,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actually if you look at the budget it does -- it only includes the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agreed he was asked those questions and gave those answers. He agreed he never said that that was the amount available and JCB could not exceed it. He testified that by January or February of 2007 it was clear the project would exceed the preliminary budget and so the defendants contracted Rivard &amp; Associates to provide a new appraisal so that they could apply for new financing based on that appraisal. He knew it was a cost-plus contract and that no total or ceiling was put on in the contract. He agreed the invoices were not in dispute. He agreed he expected all along that the total would exceed what was in the preliminary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trial of this claim included a counterclaim brought the defendant, New West, against JCB on the basis, among other things, that the geothermal system installed by The Geothermal Guys under the contract failed to function. A third party notice was brought by JCB against The Geothermal Guys and a counterclaim brought by the third party against JCB Contracting for damages for breach of contract for failing to pay the amounts owing under the contract or, in the alternative, an award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for goods and services provided. As earlier noted, shortly before trial, the defendant, New West, indicated to the plaintiff and the third party that it would not be appearing to defend the claim against it or to pursue its counterclaim against the plaintiff, JCB. In the result, I granted judgment to the plaintiff, JCB, against New West including a declaration of lien in the amount of damages earlier indicated. The plaintiff discontinued the third party proceedings against The Geothermal Guys and The Geothermal Guys discontinued its counterclaim against JCB. The counterclaim of New West, if it was not, should be dismissed, as well, as against JCB.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indicated, I reserved on the issue of granting judgment against Mr. Lowry and on the issue of costs. JCB sought judgment against Mr. Lowry personally on the two separate bases I have outlined, firstly, that he was a party to the contract and did not sufficiently make it clear he was not a party to the contract in order to avoid liability under it. The second was that his conduct in negotiating the contract and in using the plaintiff to finance the project when he did not have sufficient financing arranged, while constantly promising that the plaintiff's invoices would be paid, justifies going behind the corporate veil and finding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relied on two decisions, </w:t>
      </w:r>
      <w:r>
        <w:rPr>
          <w:rFonts w:ascii="arial" w:eastAsia="arial" w:hAnsi="arial" w:cs="arial"/>
          <w:b/>
          <w:i/>
          <w:color w:val="000000"/>
          <w:sz w:val="20"/>
          <w:lang w:val="en-US" w:eastAsia="en-US" w:bidi="ar-SA"/>
        </w:rPr>
        <w:t>Kosmopoulos v. Constitution Insurance Company</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[1987] S.C.J. No. 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Performance Industries Ltd. v. Sylvan Lake Golf Club Ltd.</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2000 ABCA 116</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Kosmopoulos</w:t>
      </w:r>
      <w:r>
        <w:rPr>
          <w:rFonts w:ascii="arial" w:eastAsia="arial" w:hAnsi="arial" w:cs="arial"/>
          <w:color w:val="000000"/>
          <w:sz w:val="20"/>
          <w:lang w:val="en-US" w:eastAsia="en-US" w:bidi="ar-SA"/>
        </w:rPr>
        <w:t>, counsel referred to paragraph 12 where the court observed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corporation is a legal entity distinct from its shareholders: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The law on when a court may disregard this principle by "lifting the corporate veil" and regarding the company as a mere "agent" or "puppet" of its controlling shareholder or parent corporation follows no consistent principle. The best that can be said is that the "separate entities" principle is not enforced when it would yield a result "too flagrantly opposed to justice, convenience or the interests of the public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Performance Industries</w:t>
      </w:r>
      <w:r>
        <w:rPr>
          <w:rFonts w:ascii="arial" w:eastAsia="arial" w:hAnsi="arial" w:cs="arial"/>
          <w:color w:val="000000"/>
          <w:sz w:val="20"/>
          <w:lang w:val="en-US" w:eastAsia="en-US" w:bidi="ar-SA"/>
        </w:rPr>
        <w:t>, the plaintiff referred to paragraph 23 where the court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the actions of O'Connor to be "fraudulent, dishonest and deceitful". Those findings of fact require deference on appeal. They provide the necessary support for lifting the corporate veil. As the corporate veil cannot be used as a shield for misconduct or fraud, liability may be extended to the principals of a corporation where they have engaged in this type of 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in the present case has not pleaded either fraud, fraudulent misrepresentation, or negligent misrepresentation, nor has the plaintiff provided material facts specific to such claims in this proceeding. The action against the defendant is in breach of contract flowing from the defendant's failure to pay invoices in the amounts of $852,586.37 and interest at 24 percent per annum as agreed. In so far as the plaintiff's claims against the defendant, Lowry, as a party to the contract is concerned, I am not satisfied that the evidence establishes that he was indeed a party or that the combined operation of s. 27(1)(c) and 158(1)(b) of the </w:t>
      </w:r>
      <w:r>
        <w:rPr>
          <w:rFonts w:ascii="arial" w:eastAsia="arial" w:hAnsi="arial" w:cs="arial"/>
          <w:b/>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renders him liable as a party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I accept that it was Mr. Lowry who negotiated with the plaintiff, it appears clear on the evidence that he signed the contract as an authorized signatory for the corporate defendant and that by putting brackets around his name and inserting the name of the corporate defendant, he indicated that that was the contracting party. In coming to that conclusion, I have regard for the evidence that all correspondence and invoices reflect New West as the contracting party and that in the March 23, 2007, agreement, the reference is to Ron Lowry of New West Management and it is signed by "Ron Lowry," comma, "New West Management," rather than "and." In addition, in the claim of lien the plaintiff named New West Management Inc.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person who engaged the lien claimant or to whom the lien claimant supplied material and who is ... indebted to the lien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mention is made of Ron Lowry.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rely on substantially the same evidence in concluding that s. 27(1)(c) and 158(1)(b) of the </w:t>
      </w:r>
      <w:r>
        <w:rPr>
          <w:rFonts w:ascii="arial" w:eastAsia="arial" w:hAnsi="arial" w:cs="arial"/>
          <w:b/>
          <w:i/>
          <w:color w:val="000000"/>
          <w:sz w:val="20"/>
          <w:lang w:val="en-US" w:eastAsia="en-US" w:bidi="ar-SA"/>
        </w:rPr>
        <w:t>Business Corporations Act</w:t>
      </w:r>
      <w:r>
        <w:rPr>
          <w:rFonts w:ascii="arial" w:eastAsia="arial" w:hAnsi="arial" w:cs="arial"/>
          <w:color w:val="000000"/>
          <w:sz w:val="20"/>
          <w:lang w:val="en-US" w:eastAsia="en-US" w:bidi="ar-SA"/>
        </w:rPr>
        <w:t xml:space="preserve"> do not apply in the present circumstances. Those provisions read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company or extraprovincial company must display its name or, in the case of an extraprovincial company that has adopted an assumed name under this Act, its assumed name, in legible English or French characters ...</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all its contracts, business letters and orders for goods, and on all its invoices, statements of account, receipts and letters of credit used in British Columbia ...</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director or officer of a company who knowingly permits the company to contravene section 27(1)(a), (b) or (c) or (2) is personally liable to indemnify any of the following persons who suffer loss or damage as a result of being misled by that contravention ...</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supplier of goods or services to the company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not satisfied that there was a failure under s. 27(1)(c) of the corporate defendant to display its name in the contract or otherwise in documents evidencing the performance of the contract such that it could be said that the plaintiff suffered damages as a result of being misled by that failure. Here, although the original contract as drawn by Mr. Barnett named Mr. Lowry as the contracting party, that was rectified by Mr. Lowry putting his name in brackets and inserting the name of the corporate defendant. Thereafter, Mr. Barnett was told to render all invoices to the corporate defendant and any correspondence relating to the contract was on the letterhead of the corporate defendant. In those circumstances, I am unable to find a contravention of s. 27(1)(c) giving rise to a personal liability on the part of Lowry.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similarly unable to find the defendant, Lowry, liable in connection with his representations to Mr. Barnett of JCB respecting the corporate defendant's financing. In the first place, while it is clear representations concerning the financing were made, there is no indication they were made in contemplation of or in connection with the ultimate value of the contract of $1.3 million. The contract was a cost-plus contract. The plaintiff's preliminary budget for the project exclusive of demolition of existing buildings, site preparation, and exterior finishing was $737,000 and Mr. Lowry testified that the company had $790,000 in financing at that time and that he told Mr. Barnett that. The evidence was that as the cost of the project increased New West sought additional financing to cover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Montreal Trust Company of Canada v. Scotia McLeod Inc.</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(1996), 129 D.L.R. (4th) 711</w:t>
        </w:r>
      </w:hyperlink>
      <w:r>
        <w:rPr>
          <w:rFonts w:ascii="arial" w:eastAsia="arial" w:hAnsi="arial" w:cs="arial"/>
          <w:color w:val="000000"/>
          <w:sz w:val="20"/>
          <w:lang w:val="en-US" w:eastAsia="en-US" w:bidi="ar-SA"/>
        </w:rPr>
        <w:t xml:space="preserve"> (Ont. C.A.), the court summarized the circumstances under which the corporate veil can be pierced to render directors or officers of a company liable at page 720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decided cases in which employees and officers of companies have been found personally liable for actions ostensibly carried out under a corporate name are fact-specific. In the absence of findings of fraud, deceit, dishonesty or want of authority on the part of employees or officers, they are also rare. Those cases in which the corporate veil has been pierced usually involve transactions where the use of the corporate structure was a sham from the outset or was an afterthought to a deal which had gone sour. There is also a considerable body of case law wherein injured parties to actions for breach of contract have attempted to extend liability to the principals of the company by pleading that the principals were privy to the tort of inducing breach of contract between the company and the plaintiff: see </w:t>
      </w:r>
      <w:r>
        <w:rPr>
          <w:rFonts w:ascii="arial" w:eastAsia="arial" w:hAnsi="arial" w:cs="arial"/>
          <w:b/>
          <w:i/>
          <w:color w:val="000000"/>
          <w:sz w:val="20"/>
          <w:lang w:val="en-US" w:eastAsia="en-US" w:bidi="ar-SA"/>
        </w:rPr>
        <w:t>Ontario Store Fixtures Inc. v. Mmmuffins Inc.</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(1989), 70 O.R. (2d) 42</w:t>
        </w:r>
      </w:hyperlink>
      <w:r>
        <w:rPr>
          <w:rFonts w:ascii="arial" w:eastAsia="arial" w:hAnsi="arial" w:cs="arial"/>
          <w:color w:val="000000"/>
          <w:sz w:val="20"/>
          <w:lang w:val="en-US" w:eastAsia="en-US" w:bidi="ar-SA"/>
        </w:rPr>
        <w:t xml:space="preserve"> (H.C.J.), and the cases referred to therein. Additionally there have been attempts by injured parties to attach liability to the principals of failed businesses through insolvency litigation. In every case, however, the facts giving rise to personal liability were specifically pleaded. Absent allegations which fit within the categories described above, officers or employees of limited companies are protected from personal liability unless it can be shown that their actions are themselves tortious or exhibit a separate identity or interest from that of the company so as to make the act or conduct complained of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present case, the plaintiff's pleadings do not allege any tortious conduct on the part of the defendant, Lowry, or conduct that takes him out of the role of a directing mind of the defendant corporation exhibiting a separate entity or interest from that of the company making his conduct his own as opposed to that of the corporate entity. The pleadings do not allege material facts supporting a cause of action of fraud, deceit, dishonesty, or want of authority. The evidence establishes that Lowry made some representations on behalf of the company as to the financing the company had and the company's ability to pay, but the evidence is unclear, at best, as to what Mr. Lowry told Mr. Barnett New West had in financing when the contract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This case is different from that of </w:t>
      </w:r>
      <w:r>
        <w:rPr>
          <w:rFonts w:ascii="arial" w:eastAsia="arial" w:hAnsi="arial" w:cs="arial"/>
          <w:b/>
          <w:i/>
          <w:color w:val="000000"/>
          <w:sz w:val="20"/>
          <w:lang w:val="en-US" w:eastAsia="en-US" w:bidi="ar-SA"/>
        </w:rPr>
        <w:t>Performance Industries Ltd.</w:t>
      </w:r>
      <w:r>
        <w:rPr>
          <w:rFonts w:ascii="arial" w:eastAsia="arial" w:hAnsi="arial" w:cs="arial"/>
          <w:color w:val="000000"/>
          <w:sz w:val="20"/>
          <w:lang w:val="en-US" w:eastAsia="en-US" w:bidi="ar-SA"/>
        </w:rPr>
        <w:t xml:space="preserve"> cited by counsel for the plaintiff. In that case, the trial court found that the defendant corporation: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an entity wholly controlled by Mr. O'Connor and set up by Mr. O'Connor expressly for the purpose of holding his interest in the Sylvan Lake joint venture. All and every action undertaken with respect to the formation of the Agreement and its enforcement was directed by Mr. O'Connor and the contract was formed between he and Mr. Bell as individuals on the understanding that their separate interests in the joint venture would be placed in the names of their nominee corporations. Every action taken to defeat the legitimate interest of Bell and each attempt to deceive this court and deny justice to Bell was that of O'Connor. Surely there could never be a clearer case in which the court must pierce the corporate veil and attribute to O'Connor ... full responsibility for any and all of the acts undertaken in the name of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evidence here is that New West had four shareholders. There was no evidence that it was set up simply to hold Mr. Lowry's interests in the property. The evidence in </w:t>
      </w:r>
      <w:r>
        <w:rPr>
          <w:rFonts w:ascii="arial" w:eastAsia="arial" w:hAnsi="arial" w:cs="arial"/>
          <w:b/>
          <w:i/>
          <w:color w:val="000000"/>
          <w:sz w:val="20"/>
          <w:lang w:val="en-US" w:eastAsia="en-US" w:bidi="ar-SA"/>
        </w:rPr>
        <w:t>Performance Industries</w:t>
      </w:r>
      <w:r>
        <w:rPr>
          <w:rFonts w:ascii="arial" w:eastAsia="arial" w:hAnsi="arial" w:cs="arial"/>
          <w:color w:val="000000"/>
          <w:sz w:val="20"/>
          <w:lang w:val="en-US" w:eastAsia="en-US" w:bidi="ar-SA"/>
        </w:rPr>
        <w:t xml:space="preserve"> was congruent with the characterization in </w:t>
      </w:r>
      <w:r>
        <w:rPr>
          <w:rFonts w:ascii="arial" w:eastAsia="arial" w:hAnsi="arial" w:cs="arial"/>
          <w:b/>
          <w:i/>
          <w:color w:val="000000"/>
          <w:sz w:val="20"/>
          <w:lang w:val="en-US" w:eastAsia="en-US" w:bidi="ar-SA"/>
        </w:rPr>
        <w:t>Montreal Trust Company v. Scotia McLeod</w:t>
      </w:r>
      <w:r>
        <w:rPr>
          <w:rFonts w:ascii="arial" w:eastAsia="arial" w:hAnsi="arial" w:cs="arial"/>
          <w:color w:val="000000"/>
          <w:sz w:val="20"/>
          <w:lang w:val="en-US" w:eastAsia="en-US" w:bidi="ar-SA"/>
        </w:rPr>
        <w:t>of transactions "ostensibly carried out under a corporate name," but being a sham or "an afterthought to a deal gone sour." That is not the case here where the corporate entity owned the property and apparently had a tenancy agreement with another corporate entity to occupy a portion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Kay Aviation b.v. v. Rofe</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2001 PESCAD 7</w:t>
        </w:r>
      </w:hyperlink>
      <w:r>
        <w:rPr>
          <w:rFonts w:ascii="arial" w:eastAsia="arial" w:hAnsi="arial" w:cs="arial"/>
          <w:color w:val="000000"/>
          <w:sz w:val="20"/>
          <w:lang w:val="en-US" w:eastAsia="en-US" w:bidi="ar-SA"/>
        </w:rPr>
        <w:t>, the court held as follows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persons who deal with a corporate entity, knowing the extent to which liability is limited, do not have a cause of action against both the company for breach of contract and an action against the officer or director for inducing breach of contract, which is tortious in nature and provides for a scope of damages much broader that those flowing from the breach of the contract. See: </w:t>
      </w:r>
      <w:r>
        <w:rPr>
          <w:rFonts w:ascii="arial" w:eastAsia="arial" w:hAnsi="arial" w:cs="arial"/>
          <w:i/>
          <w:color w:val="000000"/>
          <w:sz w:val="20"/>
          <w:lang w:val="en-US" w:eastAsia="en-US" w:bidi="ar-SA"/>
        </w:rPr>
        <w:t>ADGA Systems International Ltd. v. Valcom Ltd. et al</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(Ont. C.A.). On the other hand where directors, officers or employees of a company partake in independent tortious conduct, the individual could be liable presuming of course the proof of a standard of care and a breach of duty. The pleadings alleging such a cause of action must set forth with particularity the material facts thereby providing the factual underpinning for the cause of action. The reason for this is not only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but the well established policy that in order to insure the proper functioning of commerce, the directing minds of a corporation should not have to be continually looking over their shoulder in the fear of being sued when they direct a corporation to take certain action in relation to a contract. The directing minds of the corporate entity cannot be held liable for the actions of the corporation unless there is independent tortious conduct such as fraud, deceit, dishonesty or want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observed in paragraph 25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minimum level of material facts in a statement of claim founded on causes of action against an officer, director or employee of a corporation with whom the plaintiff has contracted is very high. The imposition of personal liability ... is the exception rather than the rule. To justify a departure from this rule [the] plaintiff must plead all the relevant material facts to establish there is a reasonable cause of action. In the absence of specifically pleaded material facts the action against the director, officer or employee of the corporation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earlier noted, in the present case, the plaintiff's statement of claim avers only a breach of contract against the personal defendant. In the defendant New West's counterclaim against the plaintiff, it is asserted in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defendant, New West, claims the plaintiff was negligent in providing the budget estimate when the ultimate costs of the building according to invoices submitted by the plaintiff was almost double the amount set out in the budget estimate.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this respect, the defendant, New West, has incurred and will further incur special damages, loss, and expense, particulars of which will be delivered upon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its statement of defence to New West's counterclaim, the plaintiff pleaded in paragraph 25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specific answer to paragraph 23 of the counterclaim, the plaintiff says that if the defendants relied on the preliminary budget estimate as alleged, which is not admitted but specifically denied, the defendants did so knowing that it represented only a preliminary budget estimate and they did not have sufficient funding to proceed even on the basis of that preliminary budget estimate to successfully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that even considering the plaintiff's statement of defence to the defendant New West's counterclaim, the plaintiff's pleadings do not set forth any material facts to found a cause of action against the personal defendant in fraud, deceit, dishonesty, or want of authority. In those circumstances and in light of the ambiguous evidence and the changing nature of the contract price against which the alleged representations must be measured, there is no viable foundation for establishing personal liability against the defendant, Lowry, and I would dismiss the action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is entitled to its costs at Scale B as against the defendant, New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related action, 42555, the plaintiff, Geothermal Guys, brought its action against New West Management Inc. and Ron Lowry claiming damages against New West for:</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interfering with the plaintiff's economic interests;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for materials and services provided to supply and install the geothermal system;</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if the court found that the plaintiff was not a subcontractor of JCB, then damages for breach of contract together with interest at the contractual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Against Ron Lowry, the plaintiff, Geothermal Guys, sought damages for fraudulent and negligent misrepresentation and intentionally interfering with the plaintiff's economic interests. That action was brought on July 4, 2008. On August 8, 2008, the plaintiff, Geothermal Guys, obtained default judgment against New West and Ron Lowry for failing to deliver and file a statement of defence within the time allowed. In the result, the court ordered that the defendants pay the plaintiff damages to be assessed and costs to be assessed. As I earlier noted on September 23, Master Hyslop ordered that the assessment of damages under action 42555 be heard at the same time as the trial of 40727. At the conclusion of the trial on the assessment of damages, I ordered the defendant, New West, to pay damages of $43,603.85 to the plaintiff, Geothermal Guys, on the basis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there was evidence called by Ron Lowry that the geothermal system was not functioning to its intended capacity, there was no evidence adduced by the defendant, New West or Mr. Lowry in his personal capacity, in the assessment of damages as to the cause of or costs of repair or replacement of that system. The Geothermal Guys testified through one of its principals that the problem was an electrical one unrelated to the system itself. It could be rectified for $500. Mr. Lowry in his evidence referenced information he was provided with as to the nature and extent of the problem and the costs of repair or replacement, but that evidence was inadmissible to prove its truth. It was admitted solely to explain Mr. Lowry's state of mind and subsequent actions. I reserved to today on the issue of the assessment of damages as against the defendant, Lowry.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essence of the plaintiff's claim against the defendants, Lowry and New West, was set out in paragraph 21 of its statement of claim as follows in so far as the allegation of interference with its economic interests is concerned: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defendants induced JCB to breach its contract with the plaintiff by making misrepresentations regarding the geothermal system and by directing that JCB not pay the plaintiff. The only evidence of the plaintiff's damages arising from its claim against the defendant, Lowry, is that advanced against the defendant, New West, the shortfall in payment received under its contract with JCB in the amount of $43,603.85, as set out in Exhibit 6 in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that that is the appropriate measure of damages in the circumstances and I award damages in that amount against Ron Lowry jointly and severally with New West Management. I base my decision on the evidence that Mr. Lowry instructed JCB not to pay Geothermal Guys, but not on the evidence of misrepresentation which I find ambiguous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Additionally, I am not satisfied that although fraud and misrepresentation were pleaded in the plaintiff Geothermal Guys' statement of claim, that there is sufficient specificity in the pleadings of the material facts to justify awarding damages on such a basis. Accordingly, I award damages against Mr. Lowry personally of $43,603.85 and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Jiwan v. Jiwan, [2001] B.C.J. No. 284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C955769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E.T.R. (2d)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Aly Fatehali Jiwan and Abdul Fatehali Jiwan, plaintiffs, and Fatehali Ramji Jiwan, also known as Fateh Jiwan, Abdul Lalji Jiwan, also known as Dallo Jiwan, Dallo Enterprises Ltd. and Niele Jiwan,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18"/>
      <w:bookmarkEnd w:id="174"/>
      <w:r>
        <w:rPr>
          <w:rFonts w:ascii="arial" w:eastAsia="arial" w:hAnsi="arial" w:cs="arial"/>
          <w:b/>
          <w:color w:val="000000"/>
          <w:sz w:val="20"/>
          <w:lang w:val="en-US" w:eastAsia="en-US" w:bidi="ar-SA"/>
        </w:rPr>
        <w:t>Practice — Parties — Adding or substituting parties — Adding or substituting defendants — Application of limitation periods — Circumstances when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17"/>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add Hoegg, 4J Enterprises Ltd. and Jo-Lynne Enterprises Ltd. as defendants in an action for breach of trust. The plaintiffs were brothers and beneficiaries of a family trust created by their father, one of the defendants. The principal asset of the trust was shares in FRJ Enterprises Inc., a company incorporated by the father. FRJ, along with companies incorporated by the plaintiffs and the proposed defendants, entered into a partnership to own and manage real estate. The plaintiffs alleged that their father and his brother misappropriated funds and benefits of the partnership and of FRJ, and claimed against their father for breaching his fiduciary duty as trustee. They commenced their action In October 1995. Hoegg was the principal of 4J Enterprises, and his wife was the principal of Jo-Lynne. In February 2001, the plaintiffs sought to add Hoegg, 4J and Jo-Lynne as defendants on the basis that Hoegg participated in the allegations when he had full knowledge of the family trust. The plaintiffs claimed that they did not learn of Hoegg's knowledge of the trust until late 2000. The proposed defendants opposed the application on the grounds of insufficient particulars, the expiry of a limitation period, and because the claims against them fell entirely within the rule prohibiting derivative claims.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14"/>
            <w:bookmarkEnd w:id="1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had been pleaded with sufficient particularity to allow the amendments. Whether or not the claim was prohibited as derivative would depend on the evidence led at trial as to whether the plaintiffs suffered any loss other than the one suffered by the partnership. There was a six-year limitation period which did not begin to run until the plaintiffs learned of Hoegg's knowledge, so the claim was advanced in time, again subject to the findings of the trial judge. On balance, the risk of prejudice to the plaintiffs outweighed the risk of prejudice to the proposed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4"/>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3(3), 3(5), 6(3), 6(4), 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8"/>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Brown, for the plaintiffs. J. Rost, for John Hoegg, 4J Enterprises Ltd. and Jo-Lynne Enterprises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8"/>
      <w:bookmarkEnd w:id="179"/>
      <w:r>
        <w:pict>
          <v:line id="_x0000_s1150"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CLANCY J."/>
            <w:bookmarkEnd w:id="180"/>
            <w:r>
              <w:rPr>
                <w:rFonts w:ascii="arial" w:eastAsia="arial" w:hAnsi="arial" w:cs="arial"/>
                <w:b/>
                <w:color w:val="000000"/>
                <w:sz w:val="30"/>
                <w:lang w:val="en-US" w:eastAsia="en-US" w:bidi="ar-SA"/>
              </w:rPr>
              <w:t>CLANCY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15(5)(a)(iii) of the Rules of Court, the plaintiffs, Aly and Abdul Jiwan ("Aly" and "Abdul"), seek to add John Hoegg ("Hoegg"), 4J Enterprises Ltd. ("4J") and Jo-Lynne Enterprises Ltd. ("Jo-Lynne") (collectively, "the Hoegg defendants") as defendants in this action and to amend their amended statement of claim to add allegations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Fateh Jiwan ("Fateh") and Abdul Jiwan a.k.a. Dallo Jiwan ("Dallo"), are brothers. Fateh is the father of the plaintiffs, Aly and Abdul. Dallo is the father of the defendant, Niele Jiwan ("Niele").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Fateh incorporated FRJ Enterprises Inc. ("FRJ Inc."). FRJ Inc. was controlled by Fateh and his wife, Rashida Jiwan ("Rashida"). Dallo and his wife incorporated and controlled Dallo Enterprises Ltd. ("Dallo Ltd."). At all material times, the proposed defendant, Hoegg, was the principal of 4J. His wife, Jo-Lynne Hoegg, was the principal of Jo-Lynne.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FRJ Inc., Dallo Ltd. and the Hoegg corporations formed a partnership known as the Fraserview Court Apartments Partnership ("Fraserview Partnership") which, at all material times, owned and managed real estate, including multi-unit residential apartment complexes. The Fraserview Partnership interests were held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FRJ Inc.</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 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Dallo Ltd.</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 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4J</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 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Jo-Lynne</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Fateh, Dallo and Hoegg were respectively the active representatives of the Fraserview Partnership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April 1991, a Jiwan family trust was created by Fateh's family (the "Trust"). Fateh and his then wife, Rashida, were, and apparently still are, the trustees of the Trust. The beneficiaries were and are Aly and Abdul. The principal asset held in the Trust was 98% of the Class "B" non-voting participating common shares of FRJ Inc. The value of those shares at the time of creating the Trust was nominal. As the value of the assets of FRJ Inc. increased, the beneficial interest of Aly and Abdul increased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1992, Fateh and Rashida separated. On the material before me, it appears that they remain as the trustees of the Trust. On October 15, 1997, Fateh resigned as a director of FRJ. Aly and Rashida became the sole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a dispute was resolved, Aly and Abdul obtained access to partnership documents in December 1994. Aly has deposed that they had become concerned over alleged misappropriations and misrepresentations by the partners. When their request to Dallo Ltd. and Fateh to take action to rectify wrongs was ignored, they commenced this action on October 12, 1995 ("the Trust action"). As beneficiaries of the Trust, they claimed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their statement of claim, as amended, they alleged that Fateh and Dallo had misappropriated funds and benefits of the Fraserview Partnership and of FRJ Inc. They alleged that the defendants participated generally in certain described activities and that they authorized and received unnecessary and unwarranted payments referred to as commissions from the sale of Holly Park Apartments by the Partnership in 1993 and 1994 (collectively, the "Misappropriations").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Specifically, Aly and Abdul alleged that Fateh breached his fiduciary duty as trustee of the Trust by participating in the Misappropriations and in failing to account for the property of the Trust. Aly and Abdul claimed for damages for conversion, fraudulent misrepresentation, breach of fiduciary duty, an accounting and corollary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18, 1999, FRJ Inc. commenced action to recover the monies allegedly misappropriated by Dallo, Dallo Enterprises, Niele and the Hoegg defendants in connection with the operation and management of the partnership ("FRJ action"). That action and this Trust action are scheduled to be tried together in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thrust of the Trust action is that as a result of the Misappropriations, the FRJ Inc. share of the profits in the Partnership did not flow through to it. That, in turn, resulted in a diminution in the value of the participating shares held in trust. Aly and Abdul now wish to amend their statement of claim to allege that Hoegg participated in the Misappropriations at a time when he had full knowledge of the family trust. They allege that Hoegg and the Hoegg corporations are therefore liable to them as beneficiaries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Air Canada v. M &amp; L Travel Ltd., </w:t>
      </w:r>
      <w:hyperlink r:id="rId36"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the Court considered whether the directors of M &amp; L could be held liable for a breach of trust by the corporation. M &amp; L operated a travel agency. It was obliged to hold the proceeds of the sale of Air Canada tickets in trust. It did not do so. Iacobucci J. held at page 809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strangers to the trust can also be personally liable for breach of trust if they knowingly participate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adopted the judgment of Lord Selborne in Barnes v. Addy (1874), 9 Ch. App. 244, who held at page 251 that responsibility may be extended to others who are not trustees who are "... actually participating in any fraudulent conduct of the trustee to the injury of the cestui que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Iacobucci J. went on to hold (at page 810) that "... the only basis upon which the directors could be held personally liable as constructive trustees is under the "knowing assistance" head of liability." Again, he cited Lord Selborne in Barnes who stated that persons who "assist with knowledge in a dishonest and fraudulent design on the part of the trustees" will be liable for breach of trust as constructive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Iacobucci J. went on to hold that the degree of knowledge required to extend responsibility to a constructive trustee is actual knowledge, recklessness or wilful blindness. Thus, if the stranger knew of the trust, or was reckless or wilfully blind as to its existence and knowingly assisted the trustee in a dishonest and fraudulent design, responsibility may be extended to the stranger.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Alers-Hankey v. Teixeira, </w:t>
      </w:r>
      <w:hyperlink r:id="rId564" w:history="1">
        <w:r>
          <w:rPr>
            <w:rFonts w:ascii="arial" w:eastAsia="arial" w:hAnsi="arial" w:cs="arial"/>
            <w:i/>
            <w:color w:val="0077CC"/>
            <w:sz w:val="20"/>
            <w:u w:val="single"/>
            <w:shd w:val="clear" w:color="auto" w:fill="FFFFFF"/>
            <w:lang w:val="en-US" w:eastAsia="en-US" w:bidi="ar-SA"/>
          </w:rPr>
          <w:t>[2000] B.C.J. No. 602</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2000 BCCA 196</w:t>
        </w:r>
      </w:hyperlink>
      <w:r>
        <w:rPr>
          <w:rFonts w:ascii="arial" w:eastAsia="arial" w:hAnsi="arial" w:cs="arial"/>
          <w:color w:val="000000"/>
          <w:sz w:val="20"/>
          <w:lang w:val="en-US" w:eastAsia="en-US" w:bidi="ar-SA"/>
        </w:rPr>
        <w:t>, Hollinrake J.A. considered Air Canada, supra, and held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Air Canada, supra, dealt with third-party participation in breach of an express trust obligation, it is clear, in my opinion, that these principles make third parties liable for participating in any breach of trust. To establish a claim against a third party for knowing assistance in breach of trust, a plaintiff must establish (P.M. Perell, "Intermeddlers or Strangers to the Breach of Trust or Fiduciary Duty" (1998), 21 Adv. Q. 94 at p. 107 and Air Canada, supra, at p. 811 and 824):</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trust or fiduciary relationship;</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or fiduciary fraudulently or dishonestly breaching his or her equitable duty;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assisting in the fraudulent or dishonest design,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having actual knowledge of the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Applying those principles to the facts before me, I find that there is evidence of a trust or fiduciary relationship. Unfortunately, the terms of the trust have not been disclosed. The trust agreement was not provided to me. If the allegations in the FRJ action are proven to be true, it is clear there would be a breach of the fiduciary duties owed by the partners to each other. Whether that breach constituted a breach of Fateh's trust obligations to Aly and Abdul seems likely, but I cannot say it has been proven without knowing the terms on which the participating shares were held. It would also be necessary to explore Rashida's obligations as trustee and her participation in any dishonest design before deciding whether Fateh breached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proposed allegations that the Hoegg defendants participated in the Misappropriations of Fateh, Dallo Ltd. and Niele of assets, funds, opportunities and benefits that properly belong to FRJ Inc. or to the Fraserview Partnership. Some particulars are provided but they are very general in nature. Fateh's breach of his fiduciary duty as trustee is said to be participating in the Misappropriations, failing to prevent and report those Misappropriations and failing to properly account for the property of the family trust. The extent to which the Hoegg defendants are alleged to have assisted Fateh, rather than having acted on their own, is not clear from the material before me but the allegations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the pleadings in the Trust action allege that the Hoegg defendants knew, or ought to have known, that Fateh was a trustee or, alternatively, that they were wilfully blind to that fact or were reckless in failing to realize that Fateh was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principal authorities provided to the court on the addition of defendants are Teal Cedar Products (1977) Ltd. v. Dale Intermediaries Ltd. </w:t>
      </w:r>
      <w:hyperlink r:id="rId56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Letvad v. Fenwick, </w:t>
      </w:r>
      <w:hyperlink r:id="rId30"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and Takenaka v. Stanley, </w:t>
      </w:r>
      <w:hyperlink r:id="rId566" w:history="1">
        <w:r>
          <w:rPr>
            <w:rFonts w:ascii="arial" w:eastAsia="arial" w:hAnsi="arial" w:cs="arial"/>
            <w:i/>
            <w:color w:val="0077CC"/>
            <w:sz w:val="20"/>
            <w:u w:val="single"/>
            <w:shd w:val="clear" w:color="auto" w:fill="FFFFFF"/>
            <w:lang w:val="en-US" w:eastAsia="en-US" w:bidi="ar-SA"/>
          </w:rPr>
          <w:t>[2000] B.C.J. No. 288</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Letvad, supra, the court considered Teal, supra, and adopted a finding that the Chambers judge is required to have regard to the following factors when considering an application to add parties as defendants: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extent of the connection, if any, between the existing claims and the proposed new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Teal, McEachern C.J.B.C. had expressed the view that the most important considerations are, "... the length of the delay, prejudice to the respondents, and the overriding question of what is just and convenient" (Letvad,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have expressed concern over some deficiencies in the evidence adduced. In Letvad, Esson J.A. set aside the order adding the defendants made by the Chambers judge, "[b]ecause the plaintiff has produced nothing to put any flesh on the bones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there still is no way of knowing what case, if any, may be advanced." In the circumstances before him there was, as well, a long delay before the parties were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am urged by counsel for the Hoegg defendants to reach the same conclusion. I do not consider that result to be justified. There is evidence of possible misappropriation in two accounting reports produced. There is some evidence of the particular provisions of the trust, admittedly in general terms. There is affidavit evidence which shows that Hoegg knew that the Class "B" shares were held in trust and that all of the increase in value in those shares would accrue to the beneficiaries. That was made clear to him in a copy of a letter of September 4, 1991; forwarded to him by his solicitor. This is not a situation such as that confronting the Court in Letvad, nor can the circumstances here be equated with the circumstances faced by the Court in Proconic Electronics Ltd. v. Wong et al </w:t>
      </w:r>
      <w:hyperlink r:id="rId567"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may well be that further particulars will be required but I would not dismiss the application on the ground that insufficient particulars have been provided at this stage. An issue has been pleaded with sufficient particularity to allow the amendments and to allow the matter to proceed, provided no other grounds exist for dismissing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Two further grounds are advanced by counsel for the Hoegg defendants. It is contended first that the proposed action against the Hoegg defendants is statute-barred by reason of the provisions of the Limitation Act, </w:t>
      </w:r>
      <w:hyperlink r:id="rId4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Second, counsel submits that the proposed action offends the rule in Foss v. Harbottle (1843), 2 Hare 461, 67 E.R.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in Foss v.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Watson v. Imperial Financial Services Ltd. </w:t>
      </w:r>
      <w:hyperlink r:id="rId568" w:history="1">
        <w:r>
          <w:rPr>
            <w:rFonts w:ascii="arial" w:eastAsia="arial" w:hAnsi="arial" w:cs="arial"/>
            <w:i/>
            <w:color w:val="0077CC"/>
            <w:sz w:val="20"/>
            <w:u w:val="single"/>
            <w:shd w:val="clear" w:color="auto" w:fill="FFFFFF"/>
            <w:lang w:val="en-US" w:eastAsia="en-US" w:bidi="ar-SA"/>
          </w:rPr>
          <w:t>(1994), 88 B.C.L.R. (2d) 88</w:t>
        </w:r>
      </w:hyperlink>
      <w:r>
        <w:rPr>
          <w:rFonts w:ascii="arial" w:eastAsia="arial" w:hAnsi="arial" w:cs="arial"/>
          <w:color w:val="000000"/>
          <w:sz w:val="20"/>
          <w:lang w:val="en-US" w:eastAsia="en-US" w:bidi="ar-SA"/>
        </w:rPr>
        <w:t xml:space="preserve"> (C.A.), Hollinrake J.A. held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 at common law is that only a person who has suffered a wrong may maintain an action in respect of that wrong. The common law is clear that, speaking in a company context where there is damage to the company only, the company, and not its shareholders, are the proper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held in Watson that where a bank is aware that a depositor holds funds in trust for another, the bank will generally be treated as a constructive trustee for the beneficiary. The argument before the Court was that the bank knew that the general partner of a partnership, Galcor, was in breach of its fiduciary obligation to the partnership and thus had a transmitted fiduciary obligation to account to the partnership and the individual partners for whatever benefit Galcor received where that benefit found its way into the hands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applied the rule in Foss v. Harbottle. Hollinrake J.A. agreed with the bank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matters not whether the bank participated in a breach of Galcor's fiduciary duty to the partnership and its individual partners but whether any such breach gives rise to a loss other than one to the partnership. The respondent bank says the true substance of the claim is damage to the partnership and the partnership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dismissed the derivative action brought by the limited partners against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Hoegg defendants contend that the claims made against them fall entirely within the rule prohibiting derivative claims. They say that the claims of the partnership are being pursued by FRJ Inc. in the FRJ action, in which claims virtually identical to the claims in this action are advanced. It is submitted that Aly and Abdul suffered no loss which is independent of the losses suffered by the partnership and FRJ. Reliance is placed on Watson, supra, and other decisions as authority for that submission. The alleged losses by reason of diminution in value of the FRJ Inc. shares is described by the Hoegg defendants as classically derivative.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with counsel for the Hoegg defendants that the real question is whether Aly and Abdul suffered any loss other than the one suffered by the Fraserview Partnership. If not, their claim falls within the principles set out by Hollinrake J.A. in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Aly and Abdul contends that the claim advanced in the Trust action differs from the claim advanced in the FRJ action. In her submission, even if FRJ Inc. was unsuccessful in its action, in the sense that the partners in the Fraserview Partnership could agree to participate in unlawful actions to the detriment of the Partnership, Aly and Abdul could still succeed in the Trust action. Their claim rests on breaches of trust by Fateh and breaches of constructive trust by the Hoegg defendants. Even if FRJ Inc. is unsuccessful as against the Hoegg defendants, if the value of its shares has been diminished by the actions of Fateh and the defendants, Aly and Abdul may well succeed in the Trust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 it may be that the loss to the trust estate will not be equated with the loss of FRJ Inc. FRJ Inc. may not succeed in recovering damages in its action but if the loss is established, the trust estate may still have a claim which is not directly related to the FRJ Inc.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rule in Foss v. Harbottle does not at this time lead to a dismissal of the application of Aly and Abdul to add the Hoegg defendants. They should be permitted to pursue their claim. That is not to say that the rule will not ultimately provide a defence. That will depend on the evidence led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Justice and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Takenaka, supra, Master Bolton reviewed the authorities relating to Rule 15(5)(a) of the Rules of Court and summarized the principles that emerge from those authorities. The principles applicable to these proceedings as summarized by the Master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effect of the Teal and Tri-Line, </w:t>
      </w:r>
      <w:hyperlink r:id="rId569" w:history="1">
        <w:r>
          <w:rPr>
            <w:rFonts w:ascii="arial" w:eastAsia="arial" w:hAnsi="arial" w:cs="arial"/>
            <w:i/>
            <w:color w:val="0077CC"/>
            <w:sz w:val="20"/>
            <w:u w:val="single"/>
            <w:shd w:val="clear" w:color="auto" w:fill="FFFFFF"/>
            <w:lang w:val="en-US" w:eastAsia="en-US" w:bidi="ar-SA"/>
          </w:rPr>
          <w:t>[1997] B.C.J. No. 180</w:t>
        </w:r>
      </w:hyperlink>
      <w:r>
        <w:rPr>
          <w:rFonts w:ascii="arial" w:eastAsia="arial" w:hAnsi="arial" w:cs="arial"/>
          <w:color w:val="000000"/>
          <w:sz w:val="20"/>
          <w:lang w:val="en-US" w:eastAsia="en-US" w:bidi="ar-SA"/>
        </w:rPr>
        <w:t>, cases appears to be this. The discretion afforded the court by s. 4(4) is completely unfettered, subject only to it being exercised judicially (Finch, J.A.). The overriding question is, what is just and convenient. Important considerations relevant to that question are the length of the delay and prejudice to the respondent (McEachern C.J.B.C.).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delay, the reasons for the delay are relevant, but they need not exculpate the applicant from all "fault" or "culpability" (Finch J.A.). Indeed, an application may be allowed even when no good explanation for the delay is provided at all (Lambert J.A.). There is no principle that a conscious decision not to make a claim, or "voluntary dilatory behaviour", should bar an amendment outside the limitation period (Finch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factors to be considered are the expiry of the limitation period and the extent of the connection, if any, between the existing claims and the proposed new cause of action (Finch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the Hoegg defendants submits that it is not just and convenient to add them. Their addition will result in duplicitous proceedings, thereby forcing them to fight on two fronts when justice and convenience requires that they fight on only one. That argument fails to take into account the possibility that FRJ Inc. may fail in its claim as against its partners because of its own participation in frauds and misappropriations. If that were to occur, the proceedings would not be duplicitous. In the Trust action the trustees could still claim that the value of the FRJ Inc. participating shares was diminished by reason of the Misappropriations and that Fateh and the Hoegg defendants are responsible for that loss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can be seen that the claims of Aly and Abdul in the Trust action may not be truly derivative claims. A derivative claim would be wholly dependent on the claim of the corporation. In the circumstances I have described, that may not be the case. If, because of its own conduct, FRJ Inc. is unsuccessful in pursuing its claim against its partners, the question of whether the beneficiaries of the trust can recover for breach of trust remains. That is a question to be resolved at trial. It is for that reason that I declined to strike out the application to add the Hoegg defendants on the basis of the rule in Foss v.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considering whether it is just and convenient to add the Hoegg defendants, I must also consider delay. The Hoegg defendants submit that the claim of Aly and Abdul is statute-barred by virtue of the Limitation Act. They contend that the applicable limitation period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Aly and Abdul rely on s. 3(3) of the Act as authority for finding a limitation period of 10 years. That section provides: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10 years after the date on which the right to do so arose a person may not bring any of the following actions: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trust property or property into which trust property can be traced against a trustee or any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trust property is the participating shares in FRJ Inc. I do not see how it can be said that the trust action is designed to recover those shares or other property into which those shares can be traced. I find that the limitation period is governed by s. 3(5) which provides: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that the limitation period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Hoegg defendants have provided evidence given by Aly on an examination for discovery in which he admits that by 1990 or 1992 he was aware that Fateh alleged that Hoegg and Dallo were receiving improper payments from the Fraserview Partnership. Aly admitted that he was aware that he was a beneficiary under the family trust and that if the allegation of Fateh were true that might hurt him and his brother. Based on that evidence, the Hoegg defendants argue that the cause of action arose by 1992 at the latest. The claim is therefore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That argument overlooks the requirement that Hoegg's knowledge of the existence of the trust and its breach by Fateh is necessary to found the action as against the Hoegg defendants: Air Canada, supra. On the evidence before me, the first evidence of Hoegg's knowledge that the trust existed was brought to the attention of Aly in late 2000. In those circumstances I find that the limitation period of six years had not expired. The limitation period had been postponed. Section 6(3) of the Act provides: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6(4) provides: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resepct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6(5) provides: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(4),</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the affidavit of Aly, he, his brother and his mother did not obtain access to partnership documents until December 1994. Hoegg had a stroke in 1994. The plaintiffs were therefore unable at that time to ascertain whether he had the requisite knowledge of the trust structure. Again, Aly alleges that the requisite knowledge did not come to his attention until 2000. I find that a reasonable explanation for delay has been provided. Counsel for Aly and Abdul could not have addressed the claim as against the Hoegg defendants until they had evidence of Hoegg's knowledge of the existence of the trust. The running of time with respect to the limitation period was postponed as provided for in s. 6(3)(4) and (5)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may be that the facts adduced at trial will provide evidence of earlier knowledge of Hoegg of the existence of the trust. There is, therefore, leave to the Hoegg defendants to raise the issue of whether the claim of Aly and Abdul is statute-barred before the trial judge, if further evidence casts doubt on my conclusions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obliged, as well, to consider prejudice to the parties. On balance, I find that the risk of prejudice is greatest to the plaintiffs. If, indeed, the Hoegg defendants participated in dishonest activities within the partnership and FRJ Inc. fails to recover damages in its action, Aly and Abdul would be unable to recover damages for a breach of a constructive trust by the Hoegg defendants. Their delay in bringing the application has been satisfactorily explained. In Letvad, supra, there was a long unexplained delay. That is not the case before me. The evidence to be adduced will be virtually the same in both actions. The trial date is only some two months away but preparation in the FRJ action should be well advanced and available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Teal, supra, Finch J.A. made reference to the judgment of Gibbs J.A. in Bank of Montreal v. Ricketts </w:t>
      </w:r>
      <w:hyperlink r:id="rId570" w:history="1">
        <w:r>
          <w:rPr>
            <w:rFonts w:ascii="arial" w:eastAsia="arial" w:hAnsi="arial" w:cs="arial"/>
            <w:i/>
            <w:color w:val="0077CC"/>
            <w:sz w:val="20"/>
            <w:u w:val="single"/>
            <w:shd w:val="clear" w:color="auto" w:fill="FFFFFF"/>
            <w:lang w:val="en-US" w:eastAsia="en-US" w:bidi="ar-SA"/>
          </w:rPr>
          <w:t>(1990), 44 B.C.L.R. (2d) 95</w:t>
        </w:r>
      </w:hyperlink>
      <w:r>
        <w:rPr>
          <w:rFonts w:ascii="arial" w:eastAsia="arial" w:hAnsi="arial" w:cs="arial"/>
          <w:color w:val="000000"/>
          <w:sz w:val="20"/>
          <w:lang w:val="en-US" w:eastAsia="en-US" w:bidi="ar-SA"/>
        </w:rPr>
        <w:t xml:space="preserve"> (C.A.). Gibbs J.A. referred to the presumption of prejudice arising from delay in the sense that there would be an inevitable deterioration of the evidence and in the sense that the defendants could not order their affairs on the understanding that their contingent liability had ceased to exist. The deterioration of evidence is not a factor before me. The age of the evidence is the same in both actions. Any prejudice resulting from the stroke suffered by Hoegg occurred years ago. It does not provide a reason for preventing Aly and Abdul from proceeding with their action. As to the ordering of the affairs of the defendants, it seems to me that the security interest of the defendants in being able to order their affairs does not change by reason of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on balance, the prejudice to the position of the plaintiffs outweighs the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convenience, the trials are to be heard together. It is convenient to have all of the evidence heard at the same time, and the claims of the parties assessed on the basis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application of the plaintiffs to add Hoegg, 4J and Jo-Lynne as defendants in this action is granted. The question of whether the claim of the plaintiffs is barred by reason of the rule in Foss v. Harbottle, supra, is reserved to the trial judge. There is leave to raise the question of whether the claim of the plaintiffs is statute-barred before the trial judge if further evidence adduced at trial casts doubt on my factual conclusions. The proposed amendments to the statement of claim are allowed. Some of the amendments affect defendants other than the Hoegg defendants. They have not appeared to contest the application. The amendments are permitted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CLANCY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JTI-Macdonald Corp. v. British Columbia (Attorney General), [2000] B.C.J. No. 349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5 - 8, 12 - 15 and 18 - 22,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C985777, C985780, C985781 and C985776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D.L.R. (4th) 335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6 W.W.R. 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B.C.L.R. (3d)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C.R.R. (2d)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891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JTI-Macdonald Corp., plaintiff, and Attorney General of British Columbia, defendant (Vancouver Registry No. C985777) And between Imperial Tobacco Limited, a division of Imasco Limited, plaintiff, and Attorney General of British Columbia, defendant (Vancouver Registry No. C985780) And between Rothmans, Benson &amp; Hedges Inc., plaintiff, and Attorney General of British Columbia, defendant (Vancouver Registry No. C985781) And between Her Majesty the Queen in Right of British Columbia, plaintiff, and Imperial Tobacco Limited, Imasco Limited, British American Tobacco (Investments) Ltd., B.A.T. Industries p.l.c., British American Tobacco p.l.c., Brown &amp; Williamson Tobacco Corporation, American Tobacco Company, B.A.T. #1, #2, #3, #4, #5, #6, #7, #8, #9, #10, Rothmans, Benson &amp; Hedges Inc., Rothmans Inc., Rothmans International Limited, Rothmans International p.l.c., Rothmans International N.V., Rothmans #1, #2, #3, #4, #5, #6, #7, #8, #9, #10, Philip Morris Companies Inc., Philip Morris Incorporated, Philip Morris International Inc., Philip Morris #1, #2, #3, #4, #5, #6, #7, #8, #9, #10, RJR-Macdonald Inc., R.J. Reynolds Tobacco Company, RJR Nabisco Inc., R.J. Reynolds Tobacco International Inc., RJR #1, #2, #3, #4, #5, #6, #7, #8, #9, #10, Liggett Group Inc., Canadian Tobacco Manufacturers' Council, the Council for Tobacco Research - U.S.A. Inc., the Tobacco Institute Inc., defendants (Vancouver Registry No. C985776)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19"/>
      <w:bookmarkEnd w:id="181"/>
      <w:r>
        <w:rPr>
          <w:rFonts w:ascii="arial" w:eastAsia="arial" w:hAnsi="arial" w:cs="arial"/>
          <w:b/>
          <w:color w:val="000000"/>
          <w:sz w:val="20"/>
          <w:lang w:val="en-US" w:eastAsia="en-US" w:bidi="ar-SA"/>
        </w:rPr>
        <w:t>Constitutional law — Provincial jurisdiction (s. 92) — Territorial limitation — Definitions — Rule of law — Determination of validity of statutes or Acts — Reading down — Declaration of invalidity — Severability — Judges — Independence — Government programs — Medicare — Administration — Subrogation actions — Against tobacco manufacturers — Company law — Extra-provincial corporations — Application of provincial law.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18"/>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tobacco manufacturers for declaratory judgments that the Tobacco Damages and Health Care Costs Recovery Act was of no force or effect. The Act permitted the BC government to bring direct actions against manufacturers to recover the costs of health care benefits on behalf of insured persons, or on an aggregate basis. It required courts to presume that persons exposed to tobacco products would not have been exposed to the product but for breaches of duty by the manufacturers and that the exposure caused or contributed to disease. The Act provided that for aggregate actions, the government was not required to identify any particular insured person, to prove the cause of disease, or to prove the costs of health care benefits provided to an insured. In 1998, the Act was amended to make shareholders of federal and foreign companies liable for the conduct of the company where they held a sufficient number of shares. A company domiciled anywhere in the world owning the majority of shares in any company that obtained 10 per cent of its revenue from tobacco became a member of the one of four tobacco company groups identified under the Act and was liable for the conduct of the member. BC brought an action against manufacturers whose products were marketed in BC. None of the companies were incorporated in BC. The manufacturers then brought these 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15"/>
            <w:bookmarkEnd w:id="183"/>
            <w:r>
              <w:rPr>
                <w:rFonts w:ascii="arial" w:eastAsia="arial" w:hAnsi="arial" w:cs="arial"/>
                <w:color w:val="000000"/>
                <w:sz w:val="20"/>
                <w:lang w:val="en-US" w:eastAsia="en-US" w:bidi="ar-SA"/>
              </w:rPr>
              <w:t>HELD: Manufacturers' actions allowed and BC's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 was declared to be of no force or effect. The Act did not interfere with judicial independence. It did not remove the court's function of finding the facts necessary to reach a decision. The procedural and evidentiary components of the legislation were necessary features ancillary to the new cause of action created. A reasonable person would not believe the trier of fact was unfairly kept from evidence required to adjudicate the issues raised. It was premature to rule in the abstract that the Act violated the rule of law as the Manufacturers did not show that the Act offended against specific principles of the rule of law in a constitutional context. The Act in pith and substance was extra-territorial and beyond the constitutional powers of the BC. The global application of the Act was an integral part of its aim and focus. The Act attempted to derogate from the rights of shareholders of federal and foreign companies by making them liable for the conduct of the company itself. The Act appeared to have been designed to strip away separate corporate identifies and treat them as if they had legally merged or amalgamated. The effect was to deny the right to any separate corporate existences. The provisions resulting in the Act's extra-territorial effect were inextricably bound up with the remaining features of the Act so that it was inappropriate to sever offending provisions or read down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15"/>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American Constitution Article 1, s. 9, CL.3.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Architects Act, </w:t>
      </w:r>
      <w:hyperlink r:id="rId578" w:history="1">
        <w:r>
          <w:rPr>
            <w:rFonts w:ascii="arial" w:eastAsia="arial" w:hAnsi="arial" w:cs="arial"/>
            <w:i/>
            <w:color w:val="0077CC"/>
            <w:sz w:val="20"/>
            <w:u w:val="single"/>
            <w:shd w:val="clear" w:color="auto" w:fill="FFFFFF"/>
            <w:lang w:val="en-US" w:eastAsia="en-US" w:bidi="ar-SA"/>
          </w:rPr>
          <w:t>R.S.B.C. 1996, c. 17, s.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13, 13(10).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Business Corporations Act,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Evidence Act, </w:t>
      </w:r>
      <w:hyperlink r:id="rId337"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Shipping Act, R.S.C. 1985, c. S-9, ss. 284, 295,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Bill of Rights, s. 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ss. 7, 11(d), 11(g), 15,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1867 (U.K.) 30 &amp; 31 Victoria, ss. 91(2), 92, 92(13), 92(14), 92(16), 96,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278.1, 278.91.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Hospital Insurance Act, </w:t>
      </w:r>
      <w:r>
        <w:rPr>
          <w:rFonts w:ascii="arial" w:eastAsia="arial" w:hAnsi="arial" w:cs="arial"/>
          <w:i/>
          <w:color w:val="000000"/>
          <w:sz w:val="20"/>
          <w:lang w:val="en-US" w:eastAsia="en-US" w:bidi="ar-SA"/>
        </w:rPr>
        <w:t>R.S.B.C. 1996, c. 204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579"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Livestock Act, </w:t>
      </w:r>
      <w:hyperlink r:id="rId580" w:history="1">
        <w:r>
          <w:rPr>
            <w:rFonts w:ascii="arial" w:eastAsia="arial" w:hAnsi="arial" w:cs="arial"/>
            <w:i/>
            <w:color w:val="0077CC"/>
            <w:sz w:val="20"/>
            <w:u w:val="single"/>
            <w:shd w:val="clear" w:color="auto" w:fill="FFFFFF"/>
            <w:lang w:val="en-US" w:eastAsia="en-US" w:bidi="ar-SA"/>
          </w:rPr>
          <w:t>R.S.B.C. 1996, c. 270, s. 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Medicare Protection Act,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Mines Act, </w:t>
      </w:r>
      <w:hyperlink r:id="rId581" w:history="1">
        <w:r>
          <w:rPr>
            <w:rFonts w:ascii="arial" w:eastAsia="arial" w:hAnsi="arial" w:cs="arial"/>
            <w:i/>
            <w:color w:val="0077CC"/>
            <w:sz w:val="20"/>
            <w:u w:val="single"/>
            <w:shd w:val="clear" w:color="auto" w:fill="FFFFFF"/>
            <w:lang w:val="en-US" w:eastAsia="en-US" w:bidi="ar-SA"/>
          </w:rPr>
          <w:t>R.S.B.C. 1996, c. 293, s.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Pipeline Act, </w:t>
      </w:r>
      <w:hyperlink r:id="rId582" w:history="1">
        <w:r>
          <w:rPr>
            <w:rFonts w:ascii="arial" w:eastAsia="arial" w:hAnsi="arial" w:cs="arial"/>
            <w:i/>
            <w:color w:val="0077CC"/>
            <w:sz w:val="20"/>
            <w:u w:val="single"/>
            <w:shd w:val="clear" w:color="auto" w:fill="FFFFFF"/>
            <w:lang w:val="en-US" w:eastAsia="en-US" w:bidi="ar-SA"/>
          </w:rPr>
          <w:t>R.S.B.C. 1996, c. 364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hyperlink r:id="rId583" w:history="1">
        <w:r>
          <w:rPr>
            <w:rFonts w:ascii="arial" w:eastAsia="arial" w:hAnsi="arial" w:cs="arial"/>
            <w:i/>
            <w:color w:val="0077CC"/>
            <w:sz w:val="20"/>
            <w:u w:val="single"/>
            <w:shd w:val="clear" w:color="auto" w:fill="FFFFFF"/>
            <w:lang w:val="en-US" w:eastAsia="en-US" w:bidi="ar-SA"/>
          </w:rPr>
          <w:t>R.S.B.C. 1996, c. 418, s. 131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 of Westminster, 1931, (U.K.), 22 &amp; 23 Geo. 5, c.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Tobacco Damages and Health Care Costs Recovery Act, S.B.C. 1997, c. 41, ss. 1, 1(1), 1(2), 1(3), 1(3)(a), 1(3)(b), 1(4), 1(5), 2, 11(4), 12, 13, 13(1), 13(5)(a), 13(5)(b), 13(6), 13(6)(a)(i), 13(6)(a)(ii), 13(6)(a)(iii), 13(6)(b), 13(6)(c), 13(6)(d), 13(6)(e), 13.1, 13.1(1)(a), 13.1(1)(b), 13.1(1)(c), 13.1(3), 13.1(4), 17, 17.1, 17.1(1)(a), 17.1(2), 19, 20, 20(2), 51,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Tobacco Damages Recovery Amendment Act, S.B.C. 1998, c.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Trade-marks Act, 1985, c. T-13.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 Act, </w:t>
      </w:r>
      <w:hyperlink r:id="rId584"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Young Offenders Act, R.S.C. 1985, c. Y-1, s. 47(2).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29"/>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Giles, Q.C., Jeffrey J. Kay and Ludmila B. Herbst, for the plaintiff, JTI-Macdonald Corp., in Action No. C985777. W.S. Berardino, Q.C., David C. Harris and Lyndon A.J. Barnes, for the plaintiff, Imperial Tobacco, a division of Imasco Limited, in Action No. C985780. James A. Macaulay, Q.C., Kenneth N. Affleck and Stephen A. Kurelek, for the plaintiff, Rothmans, Benson &amp; Hedges Inc., in Action No. C985781. Thomas R. Berger, Q.C., Daniel A. Webster, Q.C., Craig Jones and Robin Elliott, for the plaintiff, Her Majesty the Queen in Right of British Columbia, in Action No. C985776. Thomas R. Berger, Q.C., Daniel A. Webster, Q.C., Craig Jones and Robin Elliott, for the defendant, Attorney General of British Columbia in Action Nos. C985777, C985780 and C985781. Richard R. Sugden, Q.C., and Craig P. Dennis, for the defendants, British American Tobacco (Investments) Ltd., B.A.T. Industries p.l.c., British American Tobacco p.l.c., in Action No. C985776. Paul D.K. Fraser, Q.C., and Bruce MacDougall, for the defendants, Brown and Williamson Tobacco Corporation and American Tobacco Company, in Action No. C985776. James A. Macaulay, Q.C., Kenneth N. Affleck, and Stephen A. Kurelek, for the defendants, Rothmans Inc., Rothmans International Limited, Rothmans International p.l.c., and Rothmans International N.V. in Action No. C985776. D. Ross Clark and Cynthia A. Millar, for the defendants, Philip Morris Companies Inc., Philip Morris Incorporated and Philip Morris International Inc., in Action No. C985776. Jack Giles, Q.C., Jeffrey J. Kay and Ludmila B. Herbst, for the defendants, R.J. Reynolds Tobacco Company and RJR Nabisco Inc., in Action No. C985776. Richard B.T. Goepel, Q.C., and Kathryn Seely, for the defendants, the Council for Tobacco Research-U.S.A. Inc., and The Tobacco Institute Inc., in Action No. C985776.</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29"/>
      <w:bookmarkEnd w:id="186"/>
      <w:r>
        <w:pict>
          <v:line id="_x0000_s1155"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 note: A Corrigendum was released by the Court February 28,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HOLMES J."/>
            <w:bookmarkEnd w:id="187"/>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TOBACCO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three actions for trial concern the constitutional validity of the Tobacco Damages and Health Care Costs Recovery Act, </w:t>
      </w:r>
      <w:hyperlink r:id="rId585" w:history="1">
        <w:r>
          <w:rPr>
            <w:rFonts w:ascii="arial" w:eastAsia="arial" w:hAnsi="arial" w:cs="arial"/>
            <w:i/>
            <w:color w:val="0077CC"/>
            <w:sz w:val="20"/>
            <w:u w:val="single"/>
            <w:shd w:val="clear" w:color="auto" w:fill="FFFFFF"/>
            <w:lang w:val="en-US" w:eastAsia="en-US" w:bidi="ar-SA"/>
          </w:rPr>
          <w:t>S.B.C. 1997 c. 41</w:t>
        </w:r>
      </w:hyperlink>
      <w:r>
        <w:rPr>
          <w:rFonts w:ascii="arial" w:eastAsia="arial" w:hAnsi="arial" w:cs="arial"/>
          <w:color w:val="000000"/>
          <w:sz w:val="20"/>
          <w:lang w:val="en-US" w:eastAsia="en-US" w:bidi="ar-SA"/>
        </w:rPr>
        <w:t xml:space="preserve"> [the "Act"]. The plaintiffs in the three actions are named defendants ["manufacturers"] in the Supreme Court of British Columbia, Vancouver Registry Action No. C985776 commenced by Her Majesty the Queen in Right of British Columbia (the "government action") pursuant to the statutory cause of action conferred by Section 13 of the Act. They are the Canadian manufacturers of tobacco products whose products have been marketed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seek declaratory judgments that the Act is ultra vires the Constitution of Canada and consequently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Council for Tobacco Research-U.S.A. Inc. and Tobacco Institute, Inc. ["Tobacco Institute"]; British America Tobacco p.l.c, British American Tobacco Investments, British American Tobacco Industries ["B.A.T."]; Brown &amp; Williamson Tobacco Corporation ["Brown &amp; Williamson"], American Tobacco Company; and Phillip Morris Companies Inc., Phillip Morris Incorporated and Phillip Morris International Inc.; collectively termed the "ex juris defendants", are defendants named in the government action who have been served ex juris.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ex juris defendants have motions pending pursuant to Rule 13(10) of the Rules of Court to set aside service of the Writs of Summons and Statements of Claim but by agreement they appear in these proceedings to argue in support of the constitutional invalidity of the Act. The balance of their Rule 13 motions are to be heard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manufacturers' and the ex juris defendants' attack upon the Act is broadly based and essentially tripartite. They allege the Act exceeds the territorial jurisdiction of the Province; that it is an unconstitutional interference with judicial independence; and that it violates the rule of law protection of equality under the law and against retroactive penal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LEGISLATIVE HISTORY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Tobacco Damages Recovery Act, </w:t>
      </w:r>
      <w:hyperlink r:id="rId585" w:history="1">
        <w:r>
          <w:rPr>
            <w:rFonts w:ascii="arial" w:eastAsia="arial" w:hAnsi="arial" w:cs="arial"/>
            <w:i/>
            <w:color w:val="0077CC"/>
            <w:sz w:val="20"/>
            <w:u w:val="single"/>
            <w:shd w:val="clear" w:color="auto" w:fill="FFFFFF"/>
            <w:lang w:val="en-US" w:eastAsia="en-US" w:bidi="ar-SA"/>
          </w:rPr>
          <w:t>S.B.C. 1997, c. 41</w:t>
        </w:r>
      </w:hyperlink>
      <w:r>
        <w:rPr>
          <w:rFonts w:ascii="arial" w:eastAsia="arial" w:hAnsi="arial" w:cs="arial"/>
          <w:color w:val="000000"/>
          <w:sz w:val="20"/>
          <w:lang w:val="en-US" w:eastAsia="en-US" w:bidi="ar-SA"/>
        </w:rPr>
        <w:t xml:space="preserve"> received Royal Assent July 28, 1997. It was to be brought into force by regulation. By virtue of the Interpretation Act, </w:t>
      </w:r>
      <w:hyperlink r:id="rId579"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only the title of the Act and the commencement section came into force July 28, 1997 and the balance of the Act remained unproclaimed.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convenience, I refer hereafter to the manufacturers and the ex juris defendants collectively as "the manufacturers".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 remained dormant for approximately a year. On July 30, 1998 the Tobacco Damages Recovery Amendment Act, S.B.C. 1998, c. 45, which provided for extensive amendments to the original Act, received Royal Assent. The original Act and the Amendments were brought into force by Regulation, November 12, 1998 [Order in Council No. 1357]. The three manufacturers' actions now being tried were commenced immediately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status of the Act following the amendment was that Section 1 and Sections 13 to 19 were added to the title and the commencement section (s. 20) previously in force. Sections 2 to 12 of the original Act remained unproclaimed.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Act was further amended by Sections 61 to 65 of the Miscellaneous Statutes Amendment Act (No. 3), 1999. On July 16, 1999, Royal Assent was given and on July 19, 1999, Order in Council No. 870 brought Sections 61 to 65 into force. The unproclaimed Sections 2 to 12 of the original Act were repealed.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not contentious that the Province has an exclusive right to make laws in respect of Property and Civil Rights in the Province; in respect of the Administration of Justice in the Province including matters of Civil Procedure in the Courts; and generally all matters of a merely local or private nature in the Province. [Sections 92(13),(14), and (16) of the Constitution Act, 1867 (U.K.) 30 &amp; 31 Victoria, c. 3, rep R.S.C. 1985 App. II No.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Act creates a new civil cause of action in British Columbia permitting the government to directly recoup a cost incurred on behalf of another and in addition deals substantively with rights and obligations. It is therefor legislation that deals with "Civil Rights in the Province" under s. 92(13). [General Motors of Canada Ltd. v. City National Leasing </w:t>
      </w:r>
      <w:hyperlink r:id="rId586" w:history="1">
        <w:r>
          <w:rPr>
            <w:rFonts w:ascii="arial" w:eastAsia="arial" w:hAnsi="arial" w:cs="arial"/>
            <w:i/>
            <w:color w:val="0077CC"/>
            <w:sz w:val="20"/>
            <w:u w:val="single"/>
            <w:shd w:val="clear" w:color="auto" w:fill="FFFFFF"/>
            <w:lang w:val="en-US" w:eastAsia="en-US" w:bidi="ar-SA"/>
          </w:rPr>
          <w:t>(1989), 58 D.L.R. (4th) 255</w:t>
        </w:r>
      </w:hyperlink>
      <w:r>
        <w:rPr>
          <w:rFonts w:ascii="arial" w:eastAsia="arial" w:hAnsi="arial" w:cs="arial"/>
          <w:color w:val="000000"/>
          <w:sz w:val="20"/>
          <w:lang w:val="en-US" w:eastAsia="en-US" w:bidi="ar-SA"/>
        </w:rPr>
        <w:t xml:space="preserve"> (S.C.C.); Attorney General (Ontario) v. Scott, </w:t>
      </w:r>
      <w:hyperlink r:id="rId587" w:history="1">
        <w:r>
          <w:rPr>
            <w:rFonts w:ascii="arial" w:eastAsia="arial" w:hAnsi="arial" w:cs="arial"/>
            <w:i/>
            <w:color w:val="0077CC"/>
            <w:sz w:val="20"/>
            <w:u w:val="single"/>
            <w:shd w:val="clear" w:color="auto" w:fill="FFFFFF"/>
            <w:lang w:val="en-US" w:eastAsia="en-US" w:bidi="ar-SA"/>
          </w:rPr>
          <w:t>(1955), 1 D.L.R. (2d) 433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are several provisions of the Act directed to "Procedure in Civil Matters" coming under s. 92(14). [Reference re Status of the Supreme Court of British Columbia (1882), 1 B.C.R. 243 (S.C.C.); Re Joseph Jacob Holdings Ltd. and City of Prince George </w:t>
      </w:r>
      <w:hyperlink r:id="rId588" w:history="1">
        <w:r>
          <w:rPr>
            <w:rFonts w:ascii="arial" w:eastAsia="arial" w:hAnsi="arial" w:cs="arial"/>
            <w:i/>
            <w:color w:val="0077CC"/>
            <w:sz w:val="20"/>
            <w:u w:val="single"/>
            <w:shd w:val="clear" w:color="auto" w:fill="FFFFFF"/>
            <w:lang w:val="en-US" w:eastAsia="en-US" w:bidi="ar-SA"/>
          </w:rPr>
          <w:t>(1980), 118 D.L.R. (3d) 243</w:t>
        </w:r>
      </w:hyperlink>
      <w:r>
        <w:rPr>
          <w:rFonts w:ascii="arial" w:eastAsia="arial" w:hAnsi="arial" w:cs="arial"/>
          <w:color w:val="000000"/>
          <w:sz w:val="20"/>
          <w:lang w:val="en-US" w:eastAsia="en-US" w:bidi="ar-SA"/>
        </w:rPr>
        <w:t xml:space="preserve"> (B.C.S.C.); Hunt v. T&amp;N plc, </w:t>
      </w:r>
      <w:hyperlink r:id="rId589"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 xml:space="preserve"> at 320, </w:t>
      </w:r>
      <w:hyperlink r:id="rId589" w:history="1">
        <w:r>
          <w:rPr>
            <w:rFonts w:ascii="arial" w:eastAsia="arial" w:hAnsi="arial" w:cs="arial"/>
            <w:i/>
            <w:color w:val="0077CC"/>
            <w:sz w:val="20"/>
            <w:u w:val="single"/>
            <w:shd w:val="clear" w:color="auto" w:fill="FFFFFF"/>
            <w:lang w:val="en-US" w:eastAsia="en-US" w:bidi="ar-SA"/>
          </w:rPr>
          <w:t>109 D.L.R. (4th) 16</w:t>
        </w:r>
      </w:hyperlink>
      <w:r>
        <w:rPr>
          <w:rFonts w:ascii="arial" w:eastAsia="arial" w:hAnsi="arial" w:cs="arial"/>
          <w:color w:val="000000"/>
          <w:sz w:val="20"/>
          <w:lang w:val="en-US" w:eastAsia="en-US" w:bidi="ar-SA"/>
        </w:rPr>
        <w:t xml:space="preserve"> at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Act may also be said to relate to an aspect of the organization and delivery of health care within a Province which comes within s. 92(16).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One illustration of prior Canadian legislation that provides government a direct cause of action to recoup from a third party costs incurred on behalf of another is found in the Canada Shipping Act, </w:t>
      </w:r>
      <w:hyperlink r:id="rId590"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 at ss. 284-286. The federal government is accorded a right of action to recover from a ship owner, regardless of fault, the medical expenses paid to treat an illness of a seaman.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fact, industry specific liability laws have long existed in the area of worker compensation legislation in England, U.S.A.,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number of British Columbia statutes currently have liability provisions relating to specific industries,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Mines Act, </w:t>
      </w:r>
      <w:hyperlink r:id="rId581" w:history="1">
        <w:r>
          <w:rPr>
            <w:rFonts w:ascii="arial" w:eastAsia="arial" w:hAnsi="arial" w:cs="arial"/>
            <w:i/>
            <w:color w:val="0077CC"/>
            <w:sz w:val="20"/>
            <w:u w:val="single"/>
            <w:shd w:val="clear" w:color="auto" w:fill="FFFFFF"/>
            <w:lang w:val="en-US" w:eastAsia="en-US" w:bidi="ar-SA"/>
          </w:rPr>
          <w:t>R.S.B.C. 1996, c. 293, s. 17</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Pipeline Act, </w:t>
      </w:r>
      <w:hyperlink r:id="rId582" w:history="1">
        <w:r>
          <w:rPr>
            <w:rFonts w:ascii="arial" w:eastAsia="arial" w:hAnsi="arial" w:cs="arial"/>
            <w:i/>
            <w:color w:val="0077CC"/>
            <w:sz w:val="20"/>
            <w:u w:val="single"/>
            <w:shd w:val="clear" w:color="auto" w:fill="FFFFFF"/>
            <w:lang w:val="en-US" w:eastAsia="en-US" w:bidi="ar-SA"/>
          </w:rPr>
          <w:t>R.S.B.C. 1996, c. 364</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at s. 131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Livestock Act, </w:t>
      </w:r>
      <w:r>
        <w:rPr>
          <w:rFonts w:ascii="arial" w:eastAsia="arial" w:hAnsi="arial" w:cs="arial"/>
          <w:i/>
          <w:color w:val="000000"/>
          <w:sz w:val="20"/>
          <w:lang w:val="en-US" w:eastAsia="en-US" w:bidi="ar-SA"/>
        </w:rPr>
        <w:t>R.S.B.C. 1996, c. 270</w:t>
      </w:r>
      <w:r>
        <w:rPr>
          <w:rFonts w:ascii="arial" w:eastAsia="arial" w:hAnsi="arial" w:cs="arial"/>
          <w:color w:val="000000"/>
          <w:sz w:val="20"/>
          <w:lang w:val="en-US" w:eastAsia="en-US" w:bidi="ar-SA"/>
        </w:rPr>
        <w:t>, at s.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Architects Act, </w:t>
      </w:r>
      <w:r>
        <w:rPr>
          <w:rFonts w:ascii="arial" w:eastAsia="arial" w:hAnsi="arial" w:cs="arial"/>
          <w:i/>
          <w:color w:val="000000"/>
          <w:sz w:val="20"/>
          <w:lang w:val="en-US" w:eastAsia="en-US" w:bidi="ar-SA"/>
        </w:rPr>
        <w:t>R.S.B.C. 1996, c. 17</w:t>
      </w:r>
      <w:r>
        <w:rPr>
          <w:rFonts w:ascii="arial" w:eastAsia="arial" w:hAnsi="arial" w:cs="arial"/>
          <w:color w:val="000000"/>
          <w:sz w:val="20"/>
          <w:lang w:val="en-US" w:eastAsia="en-US" w:bidi="ar-SA"/>
        </w:rPr>
        <w:t>, at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Act is modelled in significant degree on the State of Florida's Medicaid Third-Party Liability Act, 409.910 Fla.Stat. (1995). On challenge in the Supreme Court of Florida, in Agency for Health Care Administration et al v. Associated Industries of Florida Inc. et al 678 So. 2d 1239 at 1257(Florida Supreme Court 1996), the Court upheld the statutory cause of action conferred on the state to recover health care costs on the basis that the state "... must have the freedom to craft causes of action to meet society's changing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arguments of the manufacturers here are predicated upon alleged constitutional inconsistencies that require the Act be invalidated entirely rather than remedied by severance or reading down. The Attorney-General without conceding that Act is unconstitutional in any way takes the position that reading down or severance could be appropriate in the event certain aspects of the Act are found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provisions of the Act have application to actions brought by the government and provide for a direct action for recovery of the cost of health care benefits incurred on behalf of an individual insured person, a number of individual insured persons or "on an aggregate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the statutory cause of action under s. 13(5)(b) in respect of the "aggregate action" that is the focus of the present declaratory actions. That is essentially because the provisions of the Act that formulate an aggregate cause of action are a radical departure from traditional common law damage actions requiring proof of individual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arguments advanced cannot necessarily be segregated to the three main headings of constitutional analysis. There is some overlap and a flow of reasoning and analysis in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INTERFERENCE WITH INDEPENDENCE OF THE JUDICIARY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manufacturers claim that the Act constitutes an impermissible interference by the government with the judicial independence of the Court. The manufacturers argue that the effect of the scheme allowing the government an aggregate action for recovery of health care costs interferes with the Court's right to hear from relevant witnesses and receive the evidence necessary and appropriate to a determination of the facts. The manufacturers perceive the Act to involve the Court in a process that gives the appearance of partiality to the government's case and is, in reality, inherently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argument of the manufacturers is grounded upon interference with judicial function and though centered upon the principle of judicial independence also raises issues as to separation of powers, the rule of law, and inviolability of the core judicial function of fact-finding, which in combination renders the Act constitutionally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principle of independence of the functions of the judiciary is grounded in the preamble to the Constitution Act and Section 96. Chief Justice Lamer traced the origins of judicial independence in Reference Re: Public Sector Pay Reduction Act, </w:t>
      </w:r>
      <w:hyperlink r:id="rId591" w:history="1">
        <w:r>
          <w:rPr>
            <w:rFonts w:ascii="arial" w:eastAsia="arial" w:hAnsi="arial" w:cs="arial"/>
            <w:i/>
            <w:color w:val="0077CC"/>
            <w:sz w:val="20"/>
            <w:u w:val="single"/>
            <w:shd w:val="clear" w:color="auto" w:fill="FFFFFF"/>
            <w:lang w:val="en-US" w:eastAsia="en-US" w:bidi="ar-SA"/>
          </w:rPr>
          <w:t>[1997] 3 S.C.R. 3</w:t>
        </w:r>
      </w:hyperlink>
      <w:r>
        <w:rPr>
          <w:rFonts w:ascii="arial" w:eastAsia="arial" w:hAnsi="arial" w:cs="arial"/>
          <w:color w:val="000000"/>
          <w:sz w:val="20"/>
          <w:lang w:val="en-US" w:eastAsia="en-US" w:bidi="ar-SA"/>
        </w:rPr>
        <w:t xml:space="preserve"> at 76, </w:t>
      </w:r>
      <w:hyperlink r:id="rId591" w:history="1">
        <w:r>
          <w:rPr>
            <w:rFonts w:ascii="arial" w:eastAsia="arial" w:hAnsi="arial" w:cs="arial"/>
            <w:i/>
            <w:color w:val="0077CC"/>
            <w:sz w:val="20"/>
            <w:u w:val="single"/>
            <w:shd w:val="clear" w:color="auto" w:fill="FFFFFF"/>
            <w:lang w:val="en-US" w:eastAsia="en-US" w:bidi="ar-SA"/>
          </w:rPr>
          <w:t>150 D.L.R. (4th) 577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historical origins of the protection of judicial independence in the United Kingdom, and thus in the Canadian Constitution, can be traced to the Act of Settlement of 1701. And as we said in R. v. Valente, </w:t>
      </w:r>
      <w:hyperlink r:id="rId592" w:history="1">
        <w:r>
          <w:rPr>
            <w:rFonts w:ascii="arial" w:eastAsia="arial" w:hAnsi="arial" w:cs="arial"/>
            <w:i/>
            <w:color w:val="0077CC"/>
            <w:sz w:val="20"/>
            <w:u w:val="single"/>
            <w:shd w:val="clear" w:color="auto" w:fill="FFFFFF"/>
            <w:lang w:val="en-US" w:eastAsia="en-US" w:bidi="ar-SA"/>
          </w:rPr>
          <w:t>[1985] 2 S.C.R. 673</w:t>
        </w:r>
      </w:hyperlink>
      <w:r>
        <w:rPr>
          <w:rFonts w:ascii="arial" w:eastAsia="arial" w:hAnsi="arial" w:cs="arial"/>
          <w:color w:val="000000"/>
          <w:sz w:val="20"/>
          <w:lang w:val="en-US" w:eastAsia="en-US" w:bidi="ar-SA"/>
        </w:rPr>
        <w:t>, that Act was the "historical inspiration" for the judicature provisions of the Constitution Act, 1867. Admittedly, the Act only extends protection to judges of the English superior courts. However, our Constitution has evolved over time. In the same way that our understanding of rights and freedoms have grown, such that they have now been expressly entrenched through the enactment of the Constitution Act, 1982, so too has judicial independence grown into a principle that now extends to all courts, not just the superior courts of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And concluded at pp. 77-78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express provisions of the Constitution Act, 1867, and the Charter are not an exhaustive written code for the protection of judicial independence in Canada. Judicial independence is an unwritten norm, recognized and affirmed by the preamble to the Constitution Act, 1867.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Act is specific legislation for the benefit of the government who is plaintiff in the recovery action commenced. A new and unusual statutory cause of action is created that incorporates specific evidentiary rules and procedures and targets only the tobacco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Act gives the government: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direct and distinct action against a manufacturer to recover the cost of health care benefits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action is neither a subrogated action of individual claims, nor is it a class action. [Section 13(2)]. It permits two separate and divergent routes by which the government may recover health care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subsection (1), the government may recover the cost of health care benefits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have been provided or will be provided to particular individual insured persons, or</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aggregate basis, that have been provided or will be provided to that portion of the population of insured persons who have suffered disease as a result of exposure to a type of tobacco product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13(5)(a) and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Act provides that if the government in an aggregate action proves, on a balance of probabilities, in respect of a type of tobacco product: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manufacturer breached a common law, equitable or statutory duty or obligation owed to persons who have been exposed or might become exposed to the type of tobacco product,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 to the type of tobacco product can cause or contribute to disease,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or part of the period of the breach referred to in paragraph (a), the type of tobacco product, manufactured or promoted by the defendant manufacturer or the manufacturers related to the defendant manufacturer, was offered for sale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13.1(1)(a),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must presume: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(1) and (4) ...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population of insured persons who were exposed to a tobacco product, manufactured or promoted by the defendant manufacturer or the manufacturers related to the defendant manufacturer, would not have been exposed to the product but for the breach referred to in subsection (1)(a),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exposure described in paragraph (a) caused or contributed to disease in a portion of the population described in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manufacturers argue this shifts the onus to them to disprove the presumptions, while s. 13(6) denies them access to the evidence necessary to rebut the inference:</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seeks in an action under subsection (1) to recover the cost of health care benefits on an aggregate basis,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w:t>
      </w:r>
    </w:p>
    <w:p>
      <w:pPr>
        <w:numPr>
          <w:numId w:val="8"/>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particular individual insured persons,</w:t>
      </w:r>
    </w:p>
    <w:p>
      <w:pPr>
        <w:numPr>
          <w:numId w:val="9"/>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prove the cause of disease in any particular individual insured person, or</w:t>
      </w:r>
    </w:p>
    <w:p>
      <w:pPr>
        <w:numPr>
          <w:numId w:val="10"/>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prove the cost of health care benefits that have been provided or will be provided to any particular individual insured person,</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care records and documents of particular individual insured persons or the documents relating to the provision of health care benefits to particular individual insured persons are not compellable except as provided under a rule of law, practice or procedure that requires the production of documents relied on by an expert witness,</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is compellable to answer questions with respect to the health of, or the provision of health care benefits to, particular individual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manufacturers therefore allege that these legislative provisions allow the government, a party before the Court as plaintiff in the recovery action, to manipulate and interfere with the adjudicative process. More specifically, the manufacturers allege the inter-relationship of the sections of the Act structuring the aggregate form of action creates an interference striking at the core judicial fact-finding function, thus impairing the Court's ability to fairly determine the action. They rely upon judicial independence to safeguard against what they consider as legislative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manufacturers, as an ancillary argument, point to the lack of separation between the legislative and executive branches of government in the present circumstance. They allege the effect is that the government as a party to the action has conscripted the legislature to interfere with the independence of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manufacturers' view the Act as the executive seeking a method to recover health care costs from the tobacco manufacturers by employing their controlling legislative capacity to create an entirely new cause of action. Clear and explicit language is required to extinguish rights that have been previously conferred. [Wells v. Newfoundland (September 15, 1999), No. 26362 (S.C.C.), </w:t>
      </w:r>
      <w:hyperlink r:id="rId593" w:history="1">
        <w:r>
          <w:rPr>
            <w:rFonts w:ascii="arial" w:eastAsia="arial" w:hAnsi="arial" w:cs="arial"/>
            <w:i/>
            <w:color w:val="0077CC"/>
            <w:sz w:val="20"/>
            <w:u w:val="single"/>
            <w:shd w:val="clear" w:color="auto" w:fill="FFFFFF"/>
            <w:lang w:val="en-US" w:eastAsia="en-US" w:bidi="ar-SA"/>
          </w:rPr>
          <w:t>[1999] S.C.J. No. 50</w:t>
        </w:r>
      </w:hyperlink>
      <w:r>
        <w:rPr>
          <w:rFonts w:ascii="arial" w:eastAsia="arial" w:hAnsi="arial" w:cs="arial"/>
          <w:color w:val="000000"/>
          <w:sz w:val="20"/>
          <w:lang w:val="en-US" w:eastAsia="en-US" w:bidi="ar-SA"/>
        </w:rPr>
        <w:t xml:space="preserve"> p.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however no strict separation of powers doctrine in Canada. In any event, I do not accept that the Act does violate the separation of powers doctrine: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general "separation of powers" in the Constitution Act, 1867. The Act does not separate the legislative, executive and judicial functions and insist that each branch of government exercise only "its own" function. As between the legislative and executive branches, any separation of powers would make little sense in a system of responsible government; and it is clearly established that the Act does not call for any separation. As between the judicial and the two political branches, there is likewise no general separation of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[Peter W. Hogg, Constitutional Law of Canada (4th ed.) (Toronto: Carswell, 1997), p. 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Reference re Secession of Quebec, </w:t>
      </w:r>
      <w:hyperlink r:id="rId594" w:history="1">
        <w:r>
          <w:rPr>
            <w:rFonts w:ascii="arial" w:eastAsia="arial" w:hAnsi="arial" w:cs="arial"/>
            <w:i/>
            <w:color w:val="0077CC"/>
            <w:sz w:val="20"/>
            <w:u w:val="single"/>
            <w:shd w:val="clear" w:color="auto" w:fill="FFFFFF"/>
            <w:lang w:val="en-US" w:eastAsia="en-US" w:bidi="ar-SA"/>
          </w:rPr>
          <w:t>[1998] 2 S.C.R. 217</w:t>
        </w:r>
      </w:hyperlink>
      <w:r>
        <w:rPr>
          <w:rFonts w:ascii="arial" w:eastAsia="arial" w:hAnsi="arial" w:cs="arial"/>
          <w:color w:val="000000"/>
          <w:sz w:val="20"/>
          <w:lang w:val="en-US" w:eastAsia="en-US" w:bidi="ar-SA"/>
        </w:rPr>
        <w:t xml:space="preserve"> at 233, </w:t>
      </w:r>
      <w:hyperlink r:id="rId594" w:history="1">
        <w:r>
          <w:rPr>
            <w:rFonts w:ascii="arial" w:eastAsia="arial" w:hAnsi="arial" w:cs="arial"/>
            <w:i/>
            <w:color w:val="0077CC"/>
            <w:sz w:val="20"/>
            <w:u w:val="single"/>
            <w:shd w:val="clear" w:color="auto" w:fill="FFFFFF"/>
            <w:lang w:val="en-US" w:eastAsia="en-US" w:bidi="ar-SA"/>
          </w:rPr>
          <w:t>161 D.L.R. (4th) 385</w:t>
        </w:r>
      </w:hyperlink>
      <w:r>
        <w:rPr>
          <w:rFonts w:ascii="arial" w:eastAsia="arial" w:hAnsi="arial" w:cs="arial"/>
          <w:color w:val="000000"/>
          <w:sz w:val="20"/>
          <w:lang w:val="en-US" w:eastAsia="en-US" w:bidi="ar-SA"/>
        </w:rPr>
        <w:t>,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Canadian Constitution does not insist on a strict separation of powers. Parliament and the provincial legislatures may properly confer other legal functions on the courts, and may confer certain judicial functions on bodies that are not courts. The exception to this rule relates only to s. 96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accept that research by counsel for the Attorney-General disclosed only four cases attempting a challenge to the validity of legislation in Canada based on separation of powers and none succeeded on that ground. The most notable was Singh v. Canada (Attorney General), </w:t>
      </w:r>
      <w:hyperlink r:id="rId595" w:history="1">
        <w:r>
          <w:rPr>
            <w:rFonts w:ascii="arial" w:eastAsia="arial" w:hAnsi="arial" w:cs="arial"/>
            <w:i/>
            <w:color w:val="0077CC"/>
            <w:sz w:val="20"/>
            <w:u w:val="single"/>
            <w:shd w:val="clear" w:color="auto" w:fill="FFFFFF"/>
            <w:lang w:val="en-US" w:eastAsia="en-US" w:bidi="ar-SA"/>
          </w:rPr>
          <w:t>[1999] F.C.J. No. 1056</w:t>
        </w:r>
      </w:hyperlink>
      <w:r>
        <w:rPr>
          <w:rFonts w:ascii="arial" w:eastAsia="arial" w:hAnsi="arial" w:cs="arial"/>
          <w:color w:val="000000"/>
          <w:sz w:val="20"/>
          <w:lang w:val="en-US" w:eastAsia="en-US" w:bidi="ar-SA"/>
        </w:rPr>
        <w:t xml:space="preserve"> (T.D.) affirmed on appeal January 14, 2000 in Westergard-Thorpe et al v. The Attorney General of Canada, </w:t>
      </w:r>
      <w:hyperlink r:id="rId596" w:history="1">
        <w:r>
          <w:rPr>
            <w:rFonts w:ascii="arial" w:eastAsia="arial" w:hAnsi="arial" w:cs="arial"/>
            <w:i/>
            <w:color w:val="0077CC"/>
            <w:sz w:val="20"/>
            <w:u w:val="single"/>
            <w:shd w:val="clear" w:color="auto" w:fill="FFFFFF"/>
            <w:lang w:val="en-US" w:eastAsia="en-US" w:bidi="ar-SA"/>
          </w:rPr>
          <w:t>[2000] F.C.J. No. 4</w:t>
        </w:r>
      </w:hyperlink>
      <w:r>
        <w:rPr>
          <w:rFonts w:ascii="arial" w:eastAsia="arial" w:hAnsi="arial" w:cs="arial"/>
          <w:color w:val="000000"/>
          <w:sz w:val="20"/>
          <w:lang w:val="en-US" w:eastAsia="en-US" w:bidi="ar-SA"/>
        </w:rPr>
        <w:t>, docket number A-426-99, Federal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accept as tenable the manufacturers' argument that the right to a fair trial is a component of the rule of law. Comparison to s. 7 or 11(d) Charter rights, although not directly relied upon, is a poor analogy as the Charter does not guarantee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regard to economic interests within the context of a civil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omission of property rights from s. 7 greatly reduces its scope. It means that s. 7 affords no guarantee of compensation or even of a fair procedure for the taking of property by government. It means that s. 7 affords no guarantee of fair treatment by courts, tribunals or officials with power over the purely economic interests of individuals or corporations. It also requires ... that [liberty and security of the person] be interpreted as excluding economic liberty and economic security; otherwise, property, having been shut out of the front door, would enter by the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[Hogg, supra, at p. 1074; Wells v. Newfoundland,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Madam Justice McLachlin, in MacKeigan v. Hickman, </w:t>
      </w:r>
      <w:hyperlink r:id="rId597" w:history="1">
        <w:r>
          <w:rPr>
            <w:rFonts w:ascii="arial" w:eastAsia="arial" w:hAnsi="arial" w:cs="arial"/>
            <w:i/>
            <w:color w:val="0077CC"/>
            <w:sz w:val="20"/>
            <w:u w:val="single"/>
            <w:shd w:val="clear" w:color="auto" w:fill="FFFFFF"/>
            <w:lang w:val="en-US" w:eastAsia="en-US" w:bidi="ar-SA"/>
          </w:rPr>
          <w:t>[1989] 2 S.C.R. 796</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61 D.L.R. (4th) 688</w:t>
        </w:r>
      </w:hyperlink>
      <w:r>
        <w:rPr>
          <w:rFonts w:ascii="arial" w:eastAsia="arial" w:hAnsi="arial" w:cs="arial"/>
          <w:color w:val="000000"/>
          <w:sz w:val="20"/>
          <w:lang w:val="en-US" w:eastAsia="en-US" w:bidi="ar-SA"/>
        </w:rPr>
        <w:t>, noted a distinction between independence of the judiciary and impartiality of the judiciary: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independence of the judiciary must not be confused with impartiality of the judiciary. As Le Dain J. points out in Valente v. The Queen, impartiality relates to the mental state possessed by the judge; judicial independence, in contrast, denotes the underlying relationship between the judiciary and other branches of government which serves to ensure that the court will function and be perceived to function impartially. Thus the question in a case such as this is not whether the government action in question would in fact affect a judge's impartiality, but rather whether it threatens the independence which is the underlying condition of judicial impartiality in the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[Reference Re: Public Sector Pay Reduction Act, supra; R. v. Beauregard, </w:t>
      </w:r>
      <w:hyperlink r:id="rId598" w:history="1">
        <w:r>
          <w:rPr>
            <w:rFonts w:ascii="arial" w:eastAsia="arial" w:hAnsi="arial" w:cs="arial"/>
            <w:i/>
            <w:color w:val="0077CC"/>
            <w:sz w:val="20"/>
            <w:u w:val="single"/>
            <w:shd w:val="clear" w:color="auto" w:fill="FFFFFF"/>
            <w:lang w:val="en-US" w:eastAsia="en-US" w:bidi="ar-SA"/>
          </w:rPr>
          <w:t>[1986] 2 S.C.R. 56</w:t>
        </w:r>
      </w:hyperlink>
      <w:r>
        <w:rPr>
          <w:rFonts w:ascii="arial" w:eastAsia="arial" w:hAnsi="arial" w:cs="arial"/>
          <w:color w:val="000000"/>
          <w:sz w:val="20"/>
          <w:lang w:val="en-US" w:eastAsia="en-US" w:bidi="ar-SA"/>
        </w:rPr>
        <w:t xml:space="preserve"> at 84, </w:t>
      </w:r>
      <w:hyperlink r:id="rId598" w:history="1">
        <w:r>
          <w:rPr>
            <w:rFonts w:ascii="arial" w:eastAsia="arial" w:hAnsi="arial" w:cs="arial"/>
            <w:i/>
            <w:color w:val="0077CC"/>
            <w:sz w:val="20"/>
            <w:u w:val="single"/>
            <w:shd w:val="clear" w:color="auto" w:fill="FFFFFF"/>
            <w:lang w:val="en-US" w:eastAsia="en-US" w:bidi="ar-SA"/>
          </w:rPr>
          <w:t>(1986), 30 D.L.R. (4th) 481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Chief Justice Lamer noted in R. v. Lippe, </w:t>
      </w:r>
      <w:r>
        <w:rPr>
          <w:rFonts w:ascii="arial" w:eastAsia="arial" w:hAnsi="arial" w:cs="arial"/>
          <w:i/>
          <w:color w:val="000000"/>
          <w:sz w:val="20"/>
          <w:lang w:val="en-US" w:eastAsia="en-US" w:bidi="ar-SA"/>
        </w:rPr>
        <w:t>[1991] 2 S.C.R. 114</w:t>
      </w:r>
      <w:r>
        <w:rPr>
          <w:rFonts w:ascii="arial" w:eastAsia="arial" w:hAnsi="arial" w:cs="arial"/>
          <w:color w:val="000000"/>
          <w:sz w:val="20"/>
          <w:lang w:val="en-US" w:eastAsia="en-US" w:bidi="ar-SA"/>
        </w:rPr>
        <w:t xml:space="preserve"> at p. 139 "... the overall objective of guaranteeing judicial independence is to ensure a reasonable perception of impartiality.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Chief Justice Dickson in R. v. Beauregard, supra, described the principle of judicial independence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Historically, the generally accepted core of the principle of judicial independence has been the complete liberty of individual judges to hear and decide the cases that come before them: no outsider - be it government, pressure group, individual or even another judge - should interfere in fact, or attempt to interfere, with the way in which a judge conducts his or her case and makes his or her decision. This core continues to be central to the principle of judicial independence.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v. Beauregard, p. 420, para.71].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test to determine judicial independence emphasizing that the legislation must be viewed objectively from the standpoint of an informed reasonable person was proposed by Chief Justice Lamer in R. v. Valente (No. 2) </w:t>
      </w:r>
      <w:hyperlink r:id="rId599" w:history="1">
        <w:r>
          <w:rPr>
            <w:rFonts w:ascii="arial" w:eastAsia="arial" w:hAnsi="arial" w:cs="arial"/>
            <w:i/>
            <w:color w:val="0077CC"/>
            <w:sz w:val="20"/>
            <w:u w:val="single"/>
            <w:shd w:val="clear" w:color="auto" w:fill="FFFFFF"/>
            <w:lang w:val="en-US" w:eastAsia="en-US" w:bidi="ar-SA"/>
          </w:rPr>
          <w:t>(1983), 2 C.C.C. (3d) 417</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145 D.L.R. (3d) 452</w:t>
        </w:r>
      </w:hyperlink>
      <w:r>
        <w:rPr>
          <w:rFonts w:ascii="arial" w:eastAsia="arial" w:hAnsi="arial" w:cs="arial"/>
          <w:color w:val="000000"/>
          <w:sz w:val="20"/>
          <w:lang w:val="en-US" w:eastAsia="en-US" w:bidi="ar-SA"/>
        </w:rPr>
        <w:t xml:space="preserve"> (Ont.C.A.), </w:t>
      </w:r>
      <w:hyperlink r:id="rId592" w:history="1">
        <w:r>
          <w:rPr>
            <w:rFonts w:ascii="arial" w:eastAsia="arial" w:hAnsi="arial" w:cs="arial"/>
            <w:i/>
            <w:color w:val="0077CC"/>
            <w:sz w:val="20"/>
            <w:u w:val="single"/>
            <w:shd w:val="clear" w:color="auto" w:fill="FFFFFF"/>
            <w:lang w:val="en-US" w:eastAsia="en-US" w:bidi="ar-SA"/>
          </w:rPr>
          <w:t>[1985] 2 S.C.R. 673</w:t>
        </w:r>
      </w:hyperlink>
      <w:r>
        <w:rPr>
          <w:rFonts w:ascii="arial" w:eastAsia="arial" w:hAnsi="arial" w:cs="arial"/>
          <w:color w:val="000000"/>
          <w:sz w:val="20"/>
          <w:lang w:val="en-US" w:eastAsia="en-US" w:bidi="ar-SA"/>
        </w:rPr>
        <w:t>, 24 ED.L.R. (4th) 161,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reasonable person, who was informed of the relevant statutory provisions, their historical background and the traditions surrounding them, after viewing the matter realistically and practically [would conclude that the tribunal or court was independent].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v. Valente (No. 2), supra, at p. 684].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in Canada v. Tobiass, </w:t>
      </w:r>
      <w:hyperlink r:id="rId600" w:history="1">
        <w:r>
          <w:rPr>
            <w:rFonts w:ascii="arial" w:eastAsia="arial" w:hAnsi="arial" w:cs="arial"/>
            <w:i/>
            <w:color w:val="0077CC"/>
            <w:sz w:val="20"/>
            <w:u w:val="single"/>
            <w:shd w:val="clear" w:color="auto" w:fill="FFFFFF"/>
            <w:lang w:val="en-US" w:eastAsia="en-US" w:bidi="ar-SA"/>
          </w:rPr>
          <w:t>[1997] 3 S.C.R. 391</w:t>
        </w:r>
      </w:hyperlink>
      <w:r>
        <w:rPr>
          <w:rFonts w:ascii="arial" w:eastAsia="arial" w:hAnsi="arial" w:cs="arial"/>
          <w:color w:val="000000"/>
          <w:sz w:val="20"/>
          <w:lang w:val="en-US" w:eastAsia="en-US" w:bidi="ar-SA"/>
        </w:rPr>
        <w:t>, after considering these prior comments on how to determine whether the appearance of judicial independence has been maintained, formulated as a simple objective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a reasonable observer would perceive that the court was able to conduct its business free from the interference of the government and of other judges.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[Canada v. Tobiass, supra, para.72].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manufacturers' central contention is that, where the government purports to go beyond creating a cause of action and enacts legislation which interferes with the fact-finding process required of the judge to determine the action, the judicial independence of the Court is compromised. The manufacturers' view is that the "blocking" provisions of s. 13(6), restricting the admissibility of evidence, creates this impermissible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manufacturers argue the legislature having dealt with the creation of a cause of action and necessary procedural matters then engages the judicial fact-finding function. Having done so it may not immediately interfere and frustrate the independence of the judge in a core adjudicative function by keeping from him or her the evidence necessary to a fair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manufacturers see the government's cause of action as founded upon a breach of duty to an individual or a group of individuals. The definition of the "cost of health care benefits" in s. 1(1) of the Act relates to the treatment of an individual person. The definition of an "insured person" in the Act is "a person ... provided with [or entitled to] health care benefits" [Section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analyze the government's aggregate cause of action as giving rise to four major issues of fact to be determined by the Court; regardless of the party upon whom the onus of proof lies: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knowledge of the person or persons to whom the duty was owed as to the facts related to the acts or omissions, which are the basis of the alleged breach of duty?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acts or omissions of the defendants cause individuals to start smoking, or fail to quit smoking?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smoking cause disease to individuals and did smoking cause the government to incur the health care costs claimed?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health care costs incurred properly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manufacturers, stressing the need in their view for proof in regard to "individual persons", argue that the pool of evidence available for the Court to determine these necessary factual issues consists of:</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evidence of the individuals who received health care;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evidence of doctors and others involved in delivering the health care;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relevant direct evidence from persons relating to 1 &amp; 2;</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care records of the government and others;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Statistical evidence that correlates the direct and the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Section 13(6)(a)(i),(ii), and (iii) together provide that the government is not required to identify any particular individual insured person, to prove the cause of disease in any particular insured person, or to prove the cost of health care benefits provided to any individual insured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Section 13(6)(b),(c),(d), and (e) together effectively bar access to records and evidence relating to individual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the production of individual health care records is restricted:</w:t>
      </w:r>
      <w:r>
        <w:rPr>
          <w:rFonts w:ascii="arial" w:eastAsia="arial" w:hAnsi="arial" w:cs="arial"/>
          <w:sz w:val="20"/>
          <w:lang w:val="en-US" w:eastAsia="en-US" w:bidi="ar-SA"/>
        </w:rPr>
        <w:cr/>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seeks in an action under subsection (1) to recover the cost of health care benefits on an aggregate basis,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care records and documents of particular individual insured persons or the documents relating to the provision of health care benefits to particular individual insured persons are not compellable except as provided under a rule of law, practice or procedure that requires the production of documents relied on by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Secondly:</w:t>
      </w:r>
      <w:r>
        <w:rPr>
          <w:rFonts w:ascii="arial" w:eastAsia="arial" w:hAnsi="arial" w:cs="arial"/>
          <w:sz w:val="20"/>
          <w:lang w:val="en-US" w:eastAsia="en-US" w:bidi="ar-SA"/>
        </w:rPr>
        <w:cr/>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seeks in an action under subsection (1) to recover the cost of health care benefits on an aggregate basis,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is compellable to answer questions with respect to the health of, or the provision of health care benefits to, particular individual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 Court has a discretion and may on application of a defendant:</w:t>
      </w:r>
      <w:r>
        <w:rPr>
          <w:rFonts w:ascii="arial" w:eastAsia="arial" w:hAnsi="arial" w:cs="arial"/>
          <w:sz w:val="20"/>
          <w:lang w:val="en-US" w:eastAsia="en-US" w:bidi="ar-SA"/>
        </w:rPr>
        <w:cr/>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paragraphs (b) and (c), ... order discovery of a statistically meaningful sample of the documents referred to in paragraph (b) and the order must include directions concerning the nature, level of detail and type of information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Additionally, in any statistical sample ordered:</w:t>
      </w:r>
      <w:r>
        <w:rPr>
          <w:rFonts w:ascii="arial" w:eastAsia="arial" w:hAnsi="arial" w:cs="arial"/>
          <w:sz w:val="20"/>
          <w:lang w:val="en-US" w:eastAsia="en-US" w:bidi="ar-SA"/>
        </w:rPr>
        <w:cr/>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is made under paragraph (d), the identity of particular individual insured persons must not be disclosed and all identifiers that disclose or may be used to trace the names or identities of any particular individual insured persons must be deleted from any documents that are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 the manufacturers characterize s. 13(6) as a "blocking" provision, effectively eliminating the defendants' access to direct evidence of the individuals the cost of whose health care benefits have been aggregated in the action. They view this as ensuring their inability to defend themselves in rebutting the onus shifted upon them. They urge these provisions demonstrate legislative interference, by preventing the Court receiving the evidence necessary to fairly perform its core adjudicative fact-finding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They urge the effect of the provisions of the Act compels the Court to determine the facts on a fictional, statistical basis because the Act effectively bans any inquiry into the medical history of the actual individuals whose costs of health care benefits are aggregated. The manufacturers argue the Court is left without the ability to test the statistical evidence of experts against the direct evidence of the persons who comprise the cohort from which samples are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manufacturers argue the process mandated by the Act prevents and interferes with the ability to hear, test and weigh evidence on the issues to be decided and forces the trier of fact to rely on secondary hypothetical evidence of questionable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concept of a constitutionally protected core judicial function was recognized by the Supreme Court of Canada in MacMillan Bloedel Ltd. v. Simpson, </w:t>
      </w:r>
      <w:hyperlink r:id="rId601" w:history="1">
        <w:r>
          <w:rPr>
            <w:rFonts w:ascii="arial" w:eastAsia="arial" w:hAnsi="arial" w:cs="arial"/>
            <w:i/>
            <w:color w:val="0077CC"/>
            <w:sz w:val="20"/>
            <w:u w:val="single"/>
            <w:shd w:val="clear" w:color="auto" w:fill="FFFFFF"/>
            <w:lang w:val="en-US" w:eastAsia="en-US" w:bidi="ar-SA"/>
          </w:rPr>
          <w:t>[1995] 4 S.C.R. 725</w:t>
        </w:r>
      </w:hyperlink>
      <w:r>
        <w:rPr>
          <w:rFonts w:ascii="arial" w:eastAsia="arial" w:hAnsi="arial" w:cs="arial"/>
          <w:color w:val="000000"/>
          <w:sz w:val="20"/>
          <w:lang w:val="en-US" w:eastAsia="en-US" w:bidi="ar-SA"/>
        </w:rPr>
        <w:t>. At issue was s. 47(2) of the Young Offenders Act, R.S.C. 1985, c. Y-1, which granted to the youth court exclusive jurisdiction in respect of ex facie contempt by a youth of any Court. A Superior Court was thus deprived of jurisdiction to deal with an ex facie contempt of its own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Court held that the grant of jurisdiction to the youth court of the power to deal with contempt of a Superior Court was within the test for s. 96 of the Constitution Act, 1867, in Re Residential Tenancies Act, 1979, </w:t>
      </w:r>
      <w:hyperlink r:id="rId602" w:history="1">
        <w:r>
          <w:rPr>
            <w:rFonts w:ascii="arial" w:eastAsia="arial" w:hAnsi="arial" w:cs="arial"/>
            <w:i/>
            <w:color w:val="0077CC"/>
            <w:sz w:val="20"/>
            <w:u w:val="single"/>
            <w:shd w:val="clear" w:color="auto" w:fill="FFFFFF"/>
            <w:lang w:val="en-US" w:eastAsia="en-US" w:bidi="ar-SA"/>
          </w:rPr>
          <w:t>[1981] 1 S.C.R. 714</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123 D.L.R. (3d) 554</w:t>
        </w:r>
      </w:hyperlink>
      <w:r>
        <w:rPr>
          <w:rFonts w:ascii="arial" w:eastAsia="arial" w:hAnsi="arial" w:cs="arial"/>
          <w:color w:val="000000"/>
          <w:sz w:val="20"/>
          <w:lang w:val="en-US" w:eastAsia="en-US" w:bidi="ar-SA"/>
        </w:rPr>
        <w:t>. The Court however was divided on the issue of whether it was constitutionally permissible to remove the contempt jurisdiction from the Superior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majority of the Court, led by Chief Justice Lamer, held that where a non-section 96 body received a grant of exclusive jurisdiction which formed part of the core jurisdiction of a Superior Court it was constitutionally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MacMillan Bloedel Ltd. v. Simpson, supra, a specific jurisdiction of the Court was entirely removed. By contrast, an interference with jurisdiction by a concurrent grant to the youth court was insufficient to constitutionally invalidate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relation to the case at bar the Province clearly has power to legislate in the field of civil procedure. The facts of this case do not trigger s. 96. There is no core jurisdiction of Court that is removed when it is directed by legislation in regard to evidentiary or procedural matters ancillary to a civil cause of action. The Rules of Court and B.C. Evidence Act are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do not accept that the principle of judicial independence can be extended to a trier of fact in a civil action having an unfettered right to determine what evidence may be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provisions of the Act do not remove from the Court its function of finding the facts necessary to reach a decision. The fact-finding process may at most be said to suffer some interference or constraint as a result of procedural provisions, but I do not consider that inference impairment of a core judicial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manufacturers draw an analogy to the decision in R. v. Seaboyer, </w:t>
      </w:r>
      <w:r>
        <w:rPr>
          <w:rFonts w:ascii="arial" w:eastAsia="arial" w:hAnsi="arial" w:cs="arial"/>
          <w:i/>
          <w:color w:val="000000"/>
          <w:sz w:val="20"/>
          <w:lang w:val="en-US" w:eastAsia="en-US" w:bidi="ar-SA"/>
        </w:rPr>
        <w:t>[1991] 2 S.C.R. 577</w:t>
      </w:r>
      <w:r>
        <w:rPr>
          <w:rFonts w:ascii="arial" w:eastAsia="arial" w:hAnsi="arial" w:cs="arial"/>
          <w:color w:val="000000"/>
          <w:sz w:val="20"/>
          <w:lang w:val="en-US" w:eastAsia="en-US" w:bidi="ar-SA"/>
        </w:rPr>
        <w:t xml:space="preserve"> striking down the Rape Shield Law. Madam Justice McLachlin said at p. 609: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fundamental to our system of justice that the rules of evidence should permit the judge and jury to get at the truth and properly determine the issues. This goal is reflected in the basic tenet of relevance which underlies all our rules of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nothing is to be received which is not logically probative of some matter requiring to be proved and everything which is probative should be received unless its exclusion can be justified on some other ground. A law which prevents the trier of fact from getting at the truth by excluding relevant evidence in the absence of a clear ground of policy or law justifying the exclusion runs afoul of our fundamental conceptions of justice and what constitutes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issue concerned a criminal law of general application. There was no reverse onus, and the application of the Act was specific not general. The restrictions in the case at bar apply only to the government's ability to bring an aggregate action and do not apply to an individual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manufacturers also rely upon the recent decision of the Supreme Court of Canada in R. v. Mills, </w:t>
      </w:r>
      <w:hyperlink r:id="rId603" w:history="1">
        <w:r>
          <w:rPr>
            <w:rFonts w:ascii="arial" w:eastAsia="arial" w:hAnsi="arial" w:cs="arial"/>
            <w:i/>
            <w:color w:val="0077CC"/>
            <w:sz w:val="20"/>
            <w:u w:val="single"/>
            <w:shd w:val="clear" w:color="auto" w:fill="FFFFFF"/>
            <w:lang w:val="en-US" w:eastAsia="en-US" w:bidi="ar-SA"/>
          </w:rPr>
          <w:t>[1999] S.C.J. No. 68</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248 N.R. 101</w:t>
        </w:r>
      </w:hyperlink>
      <w:r>
        <w:rPr>
          <w:rFonts w:ascii="arial" w:eastAsia="arial" w:hAnsi="arial" w:cs="arial"/>
          <w:color w:val="000000"/>
          <w:sz w:val="20"/>
          <w:lang w:val="en-US" w:eastAsia="en-US" w:bidi="ar-SA"/>
        </w:rPr>
        <w:t>, concerning the constitutionality of ss. 278.1 to 278.91 of the Criminal Code and the production of records in sexual offence proceedings. McLachlin and Iacobucci JJ. write at para.89: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our discussion of the [accused's] right to make full answer and defence, it is clear that the accused will have no right to the records in question so far as they contain information that is either irrelevant or would serve to distort the search for truth, as access to such information is not included with the ambit of the accused's right ... However, the accused's right must prevail where the lack of disclosure or production of the record would render him unable to make full answer and defence. This is because our justice system has always held that the threat of convicting an innocent individual strikes at the heart of the principles of fundamental justice. However, between these extremes lies a spectrum of possibilities regarding where to strike a balance between these competing rights in any particular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Certainly, the case at bar invokes the right of the manufacturers to make "full answer and defence", but the right applies to a set of facts significantly different from the position of an individual defending against an accusation of sexual misconduct in the criminal context. Moreover, as both R. v. Seaboyer, supra, and R. v. Mills, supra, clearly indicate, the threshold requirement that triggers any analysis of the content of the right to make full answer and defence is that the information sought must be relevant to the inquiry. But the relevance of the evidence is precisely what is disputed when access to individual health records is sought for the purposes of defending against an aggregate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agree that the analysis of the manufacturers which focuses on evidence of insured individuals and the application of traditional rules regarding tort-based actions and conventional civil procedures may be fairly transferred to the statutory aggregate cause of action created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aggregate action is intended to provide for relief where the traditional, individually oriented tort action does not realistically meet the need of a large-scale loss-recovery action, where very substantial numbers of people have been exposed to toxic substances said to have resulted in adverse health effects through non-observable means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Fleming, "Probabilistic Causation in Tort Law" (1989), 68 Can. Bar. Rev. 661.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Fleming, "Probabilistic Causation in Tort Law: A Postcript" (1991), 70 Can. Bar. Rev.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legislature has accepted that the conduct of tobacco companies and the related effect of tobacco smoking on health has become a tort of a dimension which, to approach on an individual basis, is entirely uneconomic, an unreasonable strain on judicial resources, but may be fairly dealt with on an aggregate basis utilizing evidence based on statistical, epidemiological and sociological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basic tenet that causation within a population may be more accurately identified statistically than by means of attribution of individual causation in a multiplicity of conventional tort-based actions appears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use of statistical and epidemiological evidence is an essential aspect of an aggregate action. The question in issue becomes causation in the group rather than of any individual group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important to note the Act provides only for the admission of the evidence. The credibility and weight remain for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central focus of the argument of the manufacturers, that the Act is "unfair" and that the independence of the judge charged with deciding the facts becomes compromised, is that s. 13(6) severely restricts access to and use of particular evidence of individual group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argument of the manufacturers tends to mischaracterize the Act and fails to accord recognition of the main feature of an aggregate action. The group is not simply a collection of individual claimants such that proof is the product of the evidence supplied by each constituent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aggregated claims are at once a collection and a mixture in which individual identity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evidence, histories, and medical and health records of individuals within the population lose their individual relevance but assume a statistical relevance as part of the cohort of the larger group from which statistical conclusions are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most reliable and relevant evidence in an aggregated claim becomes statistical and epidemiological, and access to those forms of evidence is of import.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the individual records of members of the aggregate group have only statistical relevance the shielding of the identification of individuals prevents the action reverting to an individualized action permitting individual forms of discovery. The information in respect of the individuals subsumed in the aggregate group has statistical relevance; their personal identification does not. In this case, there is sufficient reason for names being protected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Recognizing however the statistical relevance and importance of the individual records, the Act provides the Court with the power to order a "meaningful sample" of the population and to control the detail required to be disclosed [Section 13(6)(d)].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"meaningful sample" is not defined in the Act and might therefore, in appropriate circumstances, approach the whole of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similar direct and aggregate action to that contemplated by the Act was upheld in State of Florida et al v. The American Tobacco Company et al (October 18, 1996) (District Court Case No. CL 95-1466 AH). The enabling statute was there held defective because it prohibited disclosure of the identification of Medicaid recipients without providing a mechanism that would permit the manufacturers to challenge improper payments made to persons as the result of fraud, misdiagnosis or unnecessary treatment; the resulting prohibition thus amounted to an irrebuttable presumption regarding such payments. The provisions were struck down on the basis of protection of "life, liberty and property" pursuant to due process under Florida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defect in the Florida statute however was later remedied by a mechanism for disclosure of records, subject to a restriction on the identification of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That concept appears analogous in effect to the controlled disclosure allowed in section 13(6)(d)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Act contains two rebuttable presumptions in regard to causation. When the government proves a breach of duty by a tobacco manufacturer it is presumed: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(1) and (4) ... that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population of insured persons who were exposed to a tobacco product, manufactured or promoted by the defendant manufacturer or the manufacturers related to the defendant manufacturer, would not have been exposed to the product but for the breach referred to in subsection (1)(a),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exposure described in paragraph (a) caused or contributed to disease in a portion of the population described in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first presumption is necessary to remove the need in an aggregate action to provide proof of individual causation. There is a rational connection between the facts that are required to prove a breach of duty and the fact of exposure the presumption mandates.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reversal of onus in respect of a causation issue is an accepted remedial procedure. As Sopinka J. wrote in Snell v. Farrell, </w:t>
      </w:r>
      <w:hyperlink r:id="rId7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at 299: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I were convinced that defendants who have a substantial connection to the injury were escaping liability because plaintiffs cannot prove causation under currently applied principles, I would not hesitate to adopt one of these alternatives.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Kripps v. Touche Ross &amp; Co. </w:t>
      </w:r>
      <w:hyperlink r:id="rId605"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 the court held that a plaintiff alleging a negligent misrepresentation need not prove their decision or action would not have been made but for the misrepresentation. This is where there may have been a number of reasons of which the misrepresentation was only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Another example where the general rule that a plaintiff must establish the reasonableness of a variation in proof of causation is found in Hollis v. Dow Corning Corp., </w:t>
      </w:r>
      <w:hyperlink r:id="rId606"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129 D.L.R. (4th) 609</w:t>
        </w:r>
      </w:hyperlink>
      <w:r>
        <w:rPr>
          <w:rFonts w:ascii="arial" w:eastAsia="arial" w:hAnsi="arial" w:cs="arial"/>
          <w:color w:val="000000"/>
          <w:sz w:val="20"/>
          <w:lang w:val="en-US" w:eastAsia="en-US" w:bidi="ar-SA"/>
        </w:rPr>
        <w:t>. The Supreme Court of Canada held that a patient who suffered injury because of a manufacturer's failure to warn her doctor about the medical risks of a product did not have to prove causation by showing the doctor would have communicated the warning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Section 131 of the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is an example of a statutory assumption of detrimental reliance once a misrepresentation is shown. The Court of Appeal in Sidhu Estate v. Bains </w:t>
      </w:r>
      <w:hyperlink r:id="rId607"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(C.A.) held that upon establishing a misrepresentation which might reasonably lead to a claimed loss the onus shifts to the defendant to prove the misrepresentation was not in fact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the Attorney-General's position that the constitutional challenge is premature as there is no proper factual basis to test whether the challenged "blocking" provisions of s. 13(6), after exercise of the Court's discretion as to a "meaningful sample", prevents access to any information relevant to a required factual decision. I agree that it would be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Court in R. v. Mills, at paragraph 105, supports the view that constitutional complaint should not precede utilization of procedures the legislation may provide to access disputed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not accept on present evidence that the inability to identify individual insured persons or to have unlimited access to the records of all insured persons unfairly prevents manufacturers from presenting evidence to rebut the presumption that their breach of duty caused persons to be exposed to tobacco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manufacturers may present evidence as outlined by the Attorney-General in argument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direct and particularistic evidence of health officials, medical professionals and smokers themselves regarding what causes persons to smoke. They may bring expert medical, behavioural and psychological evidence, based on studies and surveys to support their claims about smoking behaviour - for example, to show that a portion, or all, of their customers would have smoked and would have incurred disease in any event, even if the Manufacturers had not breached any duty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[Attorney-General Brief, p.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second presumption, namely that exposure to tobacco causes disease, provides that if the government is able to establish a breach of duty by a manufacturer, and that exposure to a tobacco product causes disease it should be presumed the exposure to the product caused or contributed to disease in a portion of the population who were exposed to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presumption provides that if exposure to a generic tobacco product causes or contributes to disease, it will be presumed that exposure to a specific type of that tobacco product also caused or contributed to disease in a portion of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presumption eliminates the necessity of proof on a brand by brand basis. The presumption appears neither illogical nor unfair. Section 13.1(4) provides that the manufacturer may offer evidence in rebuttal. It may be assumed a manufacturer would be most familiar with the effects of his own product and have access to the necessary evidence to demonstrate a brand differential. [Snell v. Farrell, supra, Sopinka J., at p. 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malpractice cases, the facts lie particularly within the knowledge of the defendant. In these circumstances, very little affirmative evidence on the part of the plaintiff will justify the drawing of an inference of causation in the absence of evidence to the contrary.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not accept that the impugned legislation here predetermines the result. The presumptions involved have a logical connection to the 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aggregate action, after resolution of issues of breach of duty, causation and disease, requires the government to introduce evidence as to cost of health care benefits in respect of those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Act requires the Court to determine the aggregate cost of health care benefits that have been provided after the date of breach and the defendants then become liable on the basis of proportionality in market share. [Section 13.1(3)].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An award is a matter of assessment by the Court. There is no award upon certification by the government as to the amount of the health care costs it has or will incur. The amount of any award is to be by assessment based upon the evidence. As in many tort actions the assessment would not be without difficulty or amenable to precise measurement. However, as Cory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believe, would be shirking its duty if it were to say that no damages should flow because of the difficulty of calculating and assessing such damages and that they are therefore too remote. An assessment of future loss of profits must, of necessity, be an estimate. ... The task will always be difficult but not insurmountable. It poses no greater obstacle to a court than the assessment of general damages in a serious personal injury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[Canlin v. Thiokol Fibres Canada Ltd. </w:t>
      </w:r>
      <w:hyperlink r:id="rId608" w:history="1">
        <w:r>
          <w:rPr>
            <w:rFonts w:ascii="arial" w:eastAsia="arial" w:hAnsi="arial" w:cs="arial"/>
            <w:i/>
            <w:color w:val="0077CC"/>
            <w:sz w:val="20"/>
            <w:u w:val="single"/>
            <w:shd w:val="clear" w:color="auto" w:fill="FFFFFF"/>
            <w:lang w:val="en-US" w:eastAsia="en-US" w:bidi="ar-SA"/>
          </w:rPr>
          <w:t>(1983), 40 O.R. (2d) 687</w:t>
        </w:r>
      </w:hyperlink>
      <w:r>
        <w:rPr>
          <w:rFonts w:ascii="arial" w:eastAsia="arial" w:hAnsi="arial" w:cs="arial"/>
          <w:color w:val="000000"/>
          <w:sz w:val="20"/>
          <w:lang w:val="en-US" w:eastAsia="en-US" w:bidi="ar-SA"/>
        </w:rPr>
        <w:t xml:space="preserve"> (C.A.) at 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Equally, the "market" share theory appears a logical and fair method in an aggregate action to ensure that a defendant manufacturer is held responsible only for that portion of injury that represents their product's contribution to the market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provisions of the Act preclude a combination of market share and joint and several liability, the two being inconsistent concepts. Joint and several liability is permitted only where it is established that all of the manufacturers either committed a wrong in concert [Section 13.2] or where they committed the same tobacco related wrong [Section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conclude the provisions of the Act permitting the government an aggregate cause of action for the recovery of the costs of health care benefits it has incurred is within the constitutional competence of the Province. The procedural and evidentiary components of the legislation are necessary features ancillary to the new cause of action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this time, adopting a broad view of the legislation, I do not find on the basis of the test suggested by Chief Justice Lamer in R. v. Valente (No. 2), that the independence of a trier of fact is compromised or interfered with. A reasonable person, informed as to the tenets of an aggregate action together with all the evidentiary and procedural provisions enacted in respect of the new cause of action, would not, viewing the matter realistically and practically, believe the trier of fact was unfairly kept from evidence required to adjudicate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the Act does not offend against the independence of the judiciary by interfering with the Court's fact-finding power and is not constitutionally invalid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manufacturers argue that the Act breaches the equality rights and principles enshrined within the rule of law. They argue that the Act offends against both equality between subjects and between subject and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also the manufacturers' position that if the Act is not compensatory in nature it is retroactive and penal, a designation rendering even legislation of a civil nature unconstitutional under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manufacturers complain the Act singles out tobacco manufacturers from all others and applies a different standard of product liability law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They argue that inequality arises because the effect of the legislation permits a defendant manufacturer to be found liable without having committed any actionable wrong against anyone and to be required to pay large sums of money to the government which may have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result, a retrospective penalty occurs because the Act targets a specific group of politically vulnerable manufacturers based on past acts related to the manufacture, sale and use of tobacco products that have passed beyond their control and are now associated with the payment of health care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Section 11(g) of the Charter deals specifically with retroactive criminal offences and s. 15 with aspects of equality rights under law. The manufacturers argue that protection to similar effect exists based on the rule of law. The manufacturers therefore do not rely directly on provisions of the Charter, rather they rely upon the rule of law as an integral aspect of the Constitution to invalidate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manufacturers argue that the rule of law, which is constitutionally entrenched, is a source of the prohibition on retroactive penal legislation and of equality rights. It is part of the foundation of the Charter and specifically referenced in its preamble.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rule of law is an unwritten component of the Canadian Constitution and without need for specific provision; it is taken to be "... a fundamental principle of the Canadian constitutional order." [Reference re Manitoba Act (1870) s. 23, </w:t>
      </w:r>
      <w:hyperlink r:id="rId609" w:history="1">
        <w:r>
          <w:rPr>
            <w:rFonts w:ascii="arial" w:eastAsia="arial" w:hAnsi="arial" w:cs="arial"/>
            <w:i/>
            <w:color w:val="0077CC"/>
            <w:sz w:val="20"/>
            <w:u w:val="single"/>
            <w:shd w:val="clear" w:color="auto" w:fill="FFFFFF"/>
            <w:lang w:val="en-US" w:eastAsia="en-US" w:bidi="ar-SA"/>
          </w:rPr>
          <w:t>[1985] 1 S.C.R. 721</w:t>
        </w:r>
      </w:hyperlink>
      <w:r>
        <w:rPr>
          <w:rFonts w:ascii="arial" w:eastAsia="arial" w:hAnsi="arial" w:cs="arial"/>
          <w:color w:val="000000"/>
          <w:sz w:val="20"/>
          <w:lang w:val="en-US" w:eastAsia="en-US" w:bidi="ar-SA"/>
        </w:rPr>
        <w:t xml:space="preserve"> at 724, </w:t>
      </w:r>
      <w:hyperlink r:id="rId609" w:history="1">
        <w:r>
          <w:rPr>
            <w:rFonts w:ascii="arial" w:eastAsia="arial" w:hAnsi="arial" w:cs="arial"/>
            <w:i/>
            <w:color w:val="0077CC"/>
            <w:sz w:val="20"/>
            <w:u w:val="single"/>
            <w:shd w:val="clear" w:color="auto" w:fill="FFFFFF"/>
            <w:lang w:val="en-US" w:eastAsia="en-US" w:bidi="ar-SA"/>
          </w:rPr>
          <w:t>(1985), 19 D.L.R. (4th) 1</w:t>
        </w:r>
      </w:hyperlink>
      <w:r>
        <w:rPr>
          <w:rFonts w:ascii="arial" w:eastAsia="arial" w:hAnsi="arial" w:cs="arial"/>
          <w:color w:val="000000"/>
          <w:sz w:val="20"/>
          <w:lang w:val="en-US" w:eastAsia="en-US" w:bidi="ar-SA"/>
        </w:rPr>
        <w:t>, W.W.R. 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That unwritten constitutional principles form part of the fabric of the Canadian Constitution is clear. As expressed by Chief Justice Lamer, the provisions of the preamble to the Constitution Act, 1867 provide "organizing principles" that may be used to "fill out gaps in the express terms of the constitutional scheme. [Reference Re: Public Sector Pay Reduction Act, at paras. 83 and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Section 52(2) of the Constitution Act, 1982 does not purport to provide an exhaustive list of instruments defining the ambit of the Canadian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Section 26 of the Charter of Rights and Freedoms expressly excludes the fact of express Charter rights "... denying the existence of any other rights or freedoms that exist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Reference re Secession of Quebec, supra, affirms that there are unwritten rules that are considered an integral part of our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 v. Beauregard recognized that judicial independence was passed to Canada as a constitutional principle by the language of the preamble to the Constitution Act,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Our system of government has evolved to a system of constitutional supremacy rather than just parliamentary supremacy [Reference re Secession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manufacturers' position is that retroactive legislation obviously violates the rule of law, on which the Constitution rests, as it changes the law in respect of past events making discovery of law unascertainable until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rule against Bills of Attainder is suggested by the manufacturers to represent one of the component parts of an implied bill of rights. The manufacturers equate any non-compensatory view of s. 13 of the Act as targeting tobacco manufacturers for punishment for acts that attracted no penalty at the suit of government at the time they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Bills of Attainder are expressly prohibited under the American Constitution Article 1, s. 9, CL. 3. Although there is no equivalent written Charter or constitutional prohibition in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surely be unthinkable today that Parliament could enact a Bill of Attainder or a Bill of Pains and Penalties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England and in Canada, such methods of Parliamentary trial and punishment have passed into desuetude. As I have said, it may be assumed that, even apart from the Charter, such a method of finding guilt and imposing punishment would be generally regarded as beyond the power of Parliament in a country like Canada which has "a Constitution similar in Principle to that of the United Kingdom"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Bowen, </w:t>
      </w:r>
      <w:hyperlink r:id="rId610" w:history="1">
        <w:r>
          <w:rPr>
            <w:rFonts w:ascii="arial" w:eastAsia="arial" w:hAnsi="arial" w:cs="arial"/>
            <w:i/>
            <w:color w:val="0077CC"/>
            <w:sz w:val="20"/>
            <w:u w:val="single"/>
            <w:shd w:val="clear" w:color="auto" w:fill="FFFFFF"/>
            <w:lang w:val="en-US" w:eastAsia="en-US" w:bidi="ar-SA"/>
          </w:rPr>
          <w:t>[1989] 2 W.W.R. 213</w:t>
        </w:r>
      </w:hyperlink>
      <w:r>
        <w:rPr>
          <w:rFonts w:ascii="arial" w:eastAsia="arial" w:hAnsi="arial" w:cs="arial"/>
          <w:color w:val="000000"/>
          <w:sz w:val="20"/>
          <w:lang w:val="en-US" w:eastAsia="en-US" w:bidi="ar-SA"/>
        </w:rPr>
        <w:t xml:space="preserve"> (Alta.Q.B.) at 259-60, aff'd at </w:t>
      </w:r>
      <w:hyperlink r:id="rId611" w:history="1">
        <w:r>
          <w:rPr>
            <w:rFonts w:ascii="arial" w:eastAsia="arial" w:hAnsi="arial" w:cs="arial"/>
            <w:i/>
            <w:color w:val="0077CC"/>
            <w:sz w:val="20"/>
            <w:u w:val="single"/>
            <w:shd w:val="clear" w:color="auto" w:fill="FFFFFF"/>
            <w:lang w:val="en-US" w:eastAsia="en-US" w:bidi="ar-SA"/>
          </w:rPr>
          <w:t>[1991] 1 W.W.R. 466</w:t>
        </w:r>
      </w:hyperlink>
      <w:r>
        <w:rPr>
          <w:rFonts w:ascii="arial" w:eastAsia="arial" w:hAnsi="arial" w:cs="arial"/>
          <w:color w:val="000000"/>
          <w:sz w:val="20"/>
          <w:lang w:val="en-US" w:eastAsia="en-US" w:bidi="ar-SA"/>
        </w:rPr>
        <w:t xml:space="preserve"> (Alta.C.A.); p. 32 Ex Juris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experience in American law has been that governments should not be permitted to manipulate the form of proceeding and Courts have recognized that criminal prohibition in the guise of a civil statute will not succeed. [Cummings v. Missouri, 71 U.S. 277 (1866); and United States of America v. Lovett, 328 U.S. 303 at 315-16 (1946)].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do not consider that any party has raised a serious issue as to the Act being interpreted as other than compensatory legislation intended to recoup health care costs incurred by the government. In my view, no reasonable interpretation of the Act would make it penal legislation. It imposes neither prohibitions nor penalties. [United States of America v. Ivey et al, </w:t>
      </w:r>
      <w:hyperlink r:id="rId612" w:history="1">
        <w:r>
          <w:rPr>
            <w:rFonts w:ascii="arial" w:eastAsia="arial" w:hAnsi="arial" w:cs="arial"/>
            <w:i/>
            <w:color w:val="0077CC"/>
            <w:sz w:val="20"/>
            <w:u w:val="single"/>
            <w:shd w:val="clear" w:color="auto" w:fill="FFFFFF"/>
            <w:lang w:val="en-US" w:eastAsia="en-US" w:bidi="ar-SA"/>
          </w:rPr>
          <w:t>(1995), 26 O.R. (3d) 533</w:t>
        </w:r>
      </w:hyperlink>
      <w:r>
        <w:rPr>
          <w:rFonts w:ascii="arial" w:eastAsia="arial" w:hAnsi="arial" w:cs="arial"/>
          <w:color w:val="000000"/>
          <w:sz w:val="20"/>
          <w:lang w:val="en-US" w:eastAsia="en-US" w:bidi="ar-SA"/>
        </w:rPr>
        <w:t xml:space="preserve"> at 544 (Ont.Ct.Gen.Div.), aff'd </w:t>
      </w:r>
      <w:hyperlink r:id="rId613" w:history="1">
        <w:r>
          <w:rPr>
            <w:rFonts w:ascii="arial" w:eastAsia="arial" w:hAnsi="arial" w:cs="arial"/>
            <w:i/>
            <w:color w:val="0077CC"/>
            <w:sz w:val="20"/>
            <w:u w:val="single"/>
            <w:shd w:val="clear" w:color="auto" w:fill="FFFFFF"/>
            <w:lang w:val="en-US" w:eastAsia="en-US" w:bidi="ar-SA"/>
          </w:rPr>
          <w:t>(1996) 139 D.L.R. (4th) 570</w:t>
        </w:r>
      </w:hyperlink>
      <w:r>
        <w:rPr>
          <w:rFonts w:ascii="arial" w:eastAsia="arial" w:hAnsi="arial" w:cs="arial"/>
          <w:color w:val="000000"/>
          <w:sz w:val="20"/>
          <w:lang w:val="en-US" w:eastAsia="en-US" w:bidi="ar-SA"/>
        </w:rPr>
        <w:t xml:space="preserve"> (Ont.C.A.)]: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the category "penal" laws was defined by the Privy Council in Huntington v. Attrill, [1893] A.C. 150 at p. 157, 20 O.A.R. App. 1, as (quoting Gray J. in Wisconsin v. Pelican Insurance Co., 127 U.S. 265):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all suits in favour of the State for the recovery of pecuniary penalties for any violation of statutes for the protection of its revenue or other municipal laws, and to all judgments for such penalties.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C.E.R.C.L.A. provisions imposing liability against the defendants cannot be classified as penal in nature. In United States v. Monsanto, 160 (4th Cir., 1988) at pp. 174-75, C.E.R.C.L.A. was characterized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C.E.R.C.L.A. does not exact punishment. Rather it creates a reimbursement obligation on any person judicially determined responsible for the costs of remedying hazardous conditions at a waste disposal facility. The restitution of cleanup costs was not intended to operate, nor does it operate in fact, as a criminal penalty or a punitive deterrent.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measure of recovery is directly tied to the cost of the required environmental clean-up. The court must be satisfied that the amounts it seeks to recover were actually expended in response to the environmental threat, and that those costs were incurred in the manner prescribed by C.E.R.C.L.A. and the National Recovery Plan. While the nature of liability imposed may be unexpected, it is restitutionary in nature and is not imposed with a view to punishment of the party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manufacturers urge that the Act offends against four basic tenets of the rule of law.</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presumed the legislature did not intend one law for one class and a different law for others.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presumed there is no departure from an existing system of law except by words of irresistible clearness.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presumed no vested rights are abolished, such as defenses or immunity to suit prospectively or retrospectively unless plainly expressed.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presumed there is no retrospectivity or retroactivity except to the extent made unavoidable by 1 or 2 or any reasonable construction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Act is clearly intended to apply only to the tobacco industry but it treats all within that industry equally. The intent is that there be departures from the existing product liability and tort law is patently manifest.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manufacturers argue that the Act should be interpreted according to the statutory language. Extra-statutory material such as the Minister's speeches in the Legislature or the views of the executive are of assistance only in understanding a problem calling for a legislative solution and are not to be considered in interpretation of the solution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gist of the Attorney-General's position is that the Act does not offend against any principle of the rule of law, and, in any event, the rule of law is not capable of being used to strike down legislation in the manner the manufacturers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manufacturers' view is that by any reasonable interpretation the Act singles out the tobacco industry for special treatment. They stress the Act creates a new wrong but fails to provide a customary fundamental protection requiring there be proof of damage to someone. It abolishes vested rights on limitation of claims for compensation and, in light of the Reply pleading of the Attorney-General in the government action, has removed or abolished all defences traditionally available to a person defending a damage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agree with the submissions on behalf of the Attorney-General that it is premature to rule in the abstract on the limitation provisions in the Act. I do not consider it a constitutional issue to be determined at this time. It should be decided in the progress of the action when clothed with factual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also make no determination as to the status of affirmative defences raised and pleaded in the action commenced. The Act does not appear to specifically abolish any particular defence although in respect of aggregate actions the nature of some defences may by necessary implication become inapplicable or change in form. I do not take either the fact, in the recovery action commenced, that the manufacturers have plead a particular defence, or that the Attorney-General has denied the existence of the defence, as a definitive interpretation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alleged the words of the Act have not conveyed with the "irresistible clearness" required the intention of the legislature to override the application of the principle of the rule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principle of the sovereignty of Parliament requires judicial obedience to the strict terms of the statute. In the process of applying a statute, however, uncertainties concerning its scope or effect in particular circumstances are bound to arise. The rule of law requires that these uncertainties be resolved, so far as possible, in a manner which would most conform to the reasonable understanding of the subject to whom the statute is primarily addressed. Implicit in this understanding is the expectation that Parliament will conform to the generally accepted notions of fairness and justice -- that punishment will not be authorized for acts which were not known to be unlawful when committed, that vested rights will not be destroyed without reasonable compensation, that the powers of officials are to be limited by proper respect for the liberty of the citizen. "If the words are not conclusive in themselves, the reasonableness or otherwise of the construction contended for has always been recognized as a matter fairly to be taken in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[T.R.S. Allan, "Legislative Supremacy and the Rule of Law: Democracy and Constitutionalism" (1985), 44 C.L.J. 111 at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manufacturers argue that when legislation creates a wrong without damage to an individual or the government, for example, a departure from the principles in Moran v. Pyle National (Canada) Ltd., </w:t>
      </w:r>
      <w:hyperlink r:id="rId614"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43 D.L.R. (3d) 239</w:t>
        </w:r>
      </w:hyperlink>
      <w:r>
        <w:rPr>
          <w:rFonts w:ascii="arial" w:eastAsia="arial" w:hAnsi="arial" w:cs="arial"/>
          <w:color w:val="000000"/>
          <w:sz w:val="20"/>
          <w:lang w:val="en-US" w:eastAsia="en-US" w:bidi="ar-SA"/>
        </w:rPr>
        <w:t>, it is necessarily arbitrary and penal.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manufacturers say the cumulative effect of the wide and encompassing breaches of the principle of the rule of law should therefore lead to invalidation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of some significance, as the Attorney-General has noted, that the cases upon which the manufacturers rely to demonstrate a constitutional entrenchment of the rule of law and its application to invalidate the legislation arose only in circumstances where the legislation was also found unconstitutional on the basis of specific provisions of the Charter or a specific written provision of the Constitution Act,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Examples include R. v. Valente; R. v. Lippe, supra; Reference Re: Public Sector Pay Reduction Act; R. v. Seaboyer, all these cases were decided on the basis of s. 11(d) of the Charter; R. v. Beauregard, was decided on the basis of s. 100 of the Constitution Act, 1867 and s. 1(b) of the Canadian Bill of Rights; MacMillan Bloedel v. Simpson, was decided on the basis of s. 96 of the Constitution Act,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ability to use the rule of law in sword-like fashion to strike down legislation was directly considered in Singh v. Canada (Attorney General), </w:t>
      </w:r>
      <w:hyperlink r:id="rId595" w:history="1">
        <w:r>
          <w:rPr>
            <w:rFonts w:ascii="arial" w:eastAsia="arial" w:hAnsi="arial" w:cs="arial"/>
            <w:i/>
            <w:color w:val="0077CC"/>
            <w:sz w:val="20"/>
            <w:u w:val="single"/>
            <w:shd w:val="clear" w:color="auto" w:fill="FFFFFF"/>
            <w:lang w:val="en-US" w:eastAsia="en-US" w:bidi="ar-SA"/>
          </w:rPr>
          <w:t>[1999] F.C.J. No. 1056</w:t>
        </w:r>
      </w:hyperlink>
      <w:r>
        <w:rPr>
          <w:rFonts w:ascii="arial" w:eastAsia="arial" w:hAnsi="arial" w:cs="arial"/>
          <w:color w:val="000000"/>
          <w:sz w:val="20"/>
          <w:lang w:val="en-US" w:eastAsia="en-US" w:bidi="ar-SA"/>
        </w:rPr>
        <w:t xml:space="preserve"> (T.D.). The issue in that case concerned provisions of the Canada Evidence Act, </w:t>
      </w:r>
      <w:hyperlink r:id="rId337"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 that prohibited the production of cabinet documents. There is factual similarity to the issue raised in this proceeding, specifically the provisions of s. 13(6) of the Act which deny access to the records and information on individual insured persons. The applicants in Singh v. Canada (Attorney General), supra, at para.18, relied upon the constitutional supremacy view expressed in Reference re Secession of Quebec: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argues that, given the supremacy of the Constitution, Section 39 should be declared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analysis, the following was at issue (at para.28):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applicants submit that the decision in the Quebec Human Rights case, ... is not determinative of this application since the Supreme Court of Canada "has now made it clear that Canada is a constitutional democracy". To support their position that the Constitution and not Parliament is now supreme, the applicants rely on the Quebec Secession case ... at p. 258: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constitutional principle bears considerable similarity to the rule of law, although they are not identical. The essence of constitutionalism in Canada is embodied in s. 52(1) of the Constitution Act, 1982, which provides that "[t]he Constitution of Canada is the supreme law of Canada, and any law that is inconsistent with the provisions of the Constitution is, to the extent of the inconsistency, of no force or effect." Simply put, the constitutionalism principle requires that all government action comply with the Constitution. The rule of law principle requires that all government action must comply with the law, including the Constitution. ... The Constitution binds all governments, both federal and provincial, including the executive branch (Operation Dismantle Inc. v. The Queen, </w:t>
      </w:r>
      <w:hyperlink r:id="rId187"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at p. 455). They may not transgress its provisions; indeed, their sole claim to exercise lawful authority rests in the powers allocated to them under the Constitution, and can come from no other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position argued, founded on the Reference re Secession of Quebec, is the essence of the manufacturers' argument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Justice McKeown held at para.39: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concluded that unwritten constitutional norms may be used to fill a gap in the express terms of the constitutional text or used as interpretive tools where a section of the Constitution is not clear. However, as noted by La Forest J., dissenting in Provincial Court Judges Reference, the principles of judicial review do not enable a Court to strike down legislation in the absence of an express provision of the Constitution which is contravened by the legislation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Mr. Justice Edwards in Babcock et al v. The Attorney General, </w:t>
      </w:r>
      <w:hyperlink r:id="rId615" w:history="1">
        <w:r>
          <w:rPr>
            <w:rFonts w:ascii="arial" w:eastAsia="arial" w:hAnsi="arial" w:cs="arial"/>
            <w:i/>
            <w:color w:val="0077CC"/>
            <w:sz w:val="20"/>
            <w:u w:val="single"/>
            <w:shd w:val="clear" w:color="auto" w:fill="FFFFFF"/>
            <w:lang w:val="en-US" w:eastAsia="en-US" w:bidi="ar-SA"/>
          </w:rPr>
          <w:t>[1999] B.C.J. No. 1777</w:t>
        </w:r>
      </w:hyperlink>
      <w:r>
        <w:rPr>
          <w:rFonts w:ascii="arial" w:eastAsia="arial" w:hAnsi="arial" w:cs="arial"/>
          <w:color w:val="000000"/>
          <w:sz w:val="20"/>
          <w:lang w:val="en-US" w:eastAsia="en-US" w:bidi="ar-SA"/>
        </w:rPr>
        <w:t>, (28 July 1999), Vancouver Registry No. C963189 (S.C.B.C.), followed Singh v. Canada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decision of McKeown J. in Singh v. Canada (Attorney General) was upheld in Westergard-Thorpe et al v. The Attorney General of Canada,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Justice of Appeal Wakeling writing for the Saskatchewan Court of Appeal in Bacon v. Saskatchewan Crop Insurance Corporation, </w:t>
      </w:r>
      <w:hyperlink r:id="rId616" w:history="1">
        <w:r>
          <w:rPr>
            <w:rFonts w:ascii="arial" w:eastAsia="arial" w:hAnsi="arial" w:cs="arial"/>
            <w:i/>
            <w:color w:val="0077CC"/>
            <w:sz w:val="20"/>
            <w:u w:val="single"/>
            <w:shd w:val="clear" w:color="auto" w:fill="FFFFFF"/>
            <w:lang w:val="en-US" w:eastAsia="en-US" w:bidi="ar-SA"/>
          </w:rPr>
          <w:t>[1999] S.J. No. 302</w:t>
        </w:r>
      </w:hyperlink>
      <w:r>
        <w:rPr>
          <w:rFonts w:ascii="arial" w:eastAsia="arial" w:hAnsi="arial" w:cs="arial"/>
          <w:color w:val="000000"/>
          <w:sz w:val="20"/>
          <w:lang w:val="en-US" w:eastAsia="en-US" w:bidi="ar-SA"/>
        </w:rPr>
        <w:t xml:space="preserve">, (Sask.C.A.), </w:t>
      </w:r>
      <w:hyperlink r:id="rId617" w:history="1">
        <w:r>
          <w:rPr>
            <w:rFonts w:ascii="arial" w:eastAsia="arial" w:hAnsi="arial" w:cs="arial"/>
            <w:i/>
            <w:color w:val="0077CC"/>
            <w:sz w:val="20"/>
            <w:u w:val="single"/>
            <w:shd w:val="clear" w:color="auto" w:fill="FFFFFF"/>
            <w:lang w:val="en-US" w:eastAsia="en-US" w:bidi="ar-SA"/>
          </w:rPr>
          <w:t>[1997] 9 W.W.R. 258</w:t>
        </w:r>
      </w:hyperlink>
      <w:r>
        <w:rPr>
          <w:rFonts w:ascii="arial" w:eastAsia="arial" w:hAnsi="arial" w:cs="arial"/>
          <w:color w:val="000000"/>
          <w:sz w:val="20"/>
          <w:lang w:val="en-US" w:eastAsia="en-US" w:bidi="ar-SA"/>
        </w:rPr>
        <w:t>, provides an insightful analysis of the "... one law for all" concept based on the rule of law providing the law be supreme over both the acts of government and private persons: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observation of the Supreme Court (para.78) that the rule of the law and the constitution are not in conflict is a compelling statement. It is a statement made in 1998 with full knowledge that on many occasions over the preceding years Parliament has passed and relied upon legislation restricting or eliminating contractual and property rights which would otherwise have been available. Since the Supreme Court does not find this historical background to constitute a conflict with the rule of law, it must of necessity indicate they accept that legislation constitutes an important source of the laws which rule us and the sole restriction on that right to legislate is contained in the relevant Constitution.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unable to accept that these justices of the Supreme Court, whilst providing an analysis of our federal system, were at the same time engaged in changing that system. That is particularly so when we are not talking of a subtle or marginal change, but one which would reduce the supremacy of Parliament by subjecting it to the scrutiny of superior court judges to be sure it did not offend the rule of law and if it did, to determine whether it was an arbitrary action. If the Supreme Court of Canada meant to embrace such a doctrine, I would expect it would see the need to say so very clearly in a case where that was the issue before them. This is particularly so when they are not only cognizant of the many cases in various jurisdictions acknowledging the supremacy of Parliament, but must also be aware of their own previous judgments which have endorsed that principle such as: PSAC v. Canada, </w:t>
      </w:r>
      <w:hyperlink r:id="rId618" w:history="1">
        <w:r>
          <w:rPr>
            <w:rFonts w:ascii="arial" w:eastAsia="arial" w:hAnsi="arial" w:cs="arial"/>
            <w:i/>
            <w:color w:val="0077CC"/>
            <w:sz w:val="20"/>
            <w:u w:val="single"/>
            <w:shd w:val="clear" w:color="auto" w:fill="FFFFFF"/>
            <w:lang w:val="en-US" w:eastAsia="en-US" w:bidi="ar-SA"/>
          </w:rPr>
          <w:t>[1987] 1 S.C.R. 424</w:t>
        </w:r>
      </w:hyperlink>
      <w:r>
        <w:rPr>
          <w:rFonts w:ascii="arial" w:eastAsia="arial" w:hAnsi="arial" w:cs="arial"/>
          <w:color w:val="000000"/>
          <w:sz w:val="20"/>
          <w:lang w:val="en-US" w:eastAsia="en-US" w:bidi="ar-SA"/>
        </w:rPr>
        <w:t xml:space="preserve">, Reference re Canada Assistance Plan, </w:t>
      </w:r>
      <w:r>
        <w:rPr>
          <w:rFonts w:ascii="arial" w:eastAsia="arial" w:hAnsi="arial" w:cs="arial"/>
          <w:i/>
          <w:color w:val="000000"/>
          <w:sz w:val="20"/>
          <w:lang w:val="en-US" w:eastAsia="en-US" w:bidi="ar-SA"/>
        </w:rPr>
        <w:t>[1991] 2 S.C.R. 525</w:t>
      </w:r>
      <w:r>
        <w:rPr>
          <w:rFonts w:ascii="arial" w:eastAsia="arial" w:hAnsi="arial" w:cs="arial"/>
          <w:color w:val="000000"/>
          <w:sz w:val="20"/>
          <w:lang w:val="en-US" w:eastAsia="en-US" w:bidi="ar-SA"/>
        </w:rPr>
        <w:t xml:space="preserve">, Attorney General for British Columbia v. Esquimalt &amp; Nanaimo Railway, </w:t>
      </w:r>
      <w:hyperlink r:id="rId619" w:history="1">
        <w:r>
          <w:rPr>
            <w:rFonts w:ascii="arial" w:eastAsia="arial" w:hAnsi="arial" w:cs="arial"/>
            <w:i/>
            <w:color w:val="0077CC"/>
            <w:sz w:val="20"/>
            <w:u w:val="single"/>
            <w:shd w:val="clear" w:color="auto" w:fill="FFFFFF"/>
            <w:lang w:val="en-US" w:eastAsia="en-US" w:bidi="ar-SA"/>
          </w:rPr>
          <w:t>[1950] A.C. 87</w:t>
        </w:r>
      </w:hyperlink>
      <w:r>
        <w:rPr>
          <w:rFonts w:ascii="arial" w:eastAsia="arial" w:hAnsi="arial" w:cs="arial"/>
          <w:color w:val="000000"/>
          <w:sz w:val="20"/>
          <w:lang w:val="en-US" w:eastAsia="en-US" w:bidi="ar-SA"/>
        </w:rPr>
        <w:t xml:space="preserve"> (P.C.). Furthermore, I am unable to accept that when the justices were laying a foundation for their decisions in the Secession case by reviewing the historical and legal development of federalism in this country, that they were also engaged in changing that foundation. If that were so, it would surely not be done in such a subtle manner as to be questionable whether it had happened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[Bacon v. Saskatchewan Crop Insurance Corporation, supra, at pp.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Bacon v. Saskatchewan Crop Insurance Corporation, the Court held that Reference re Secession of Quebec does not provide authority that allows the Courts on the basis of the preamble to the Constitution Act, 1867 to strike down legislation as offending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the manufacturers have not shown that the provisions of the Act offend against specific principles of the rule of law in constitutional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also accept the reasoning and the result in Singh v. Canada (Attorney General), and Bacon v. Saskatchewan Crop Insurance Corporation, and by Edwards J. in Babcock et al v. The Attorney General, supra, that in any event the rule of law of itself is not a basis for setting aside legislation as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EXTRA-TERRITORALITY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Analysis of the purpose and effect of the Act demonstrates its dominant characteristic or pith and substance. The purpose of the Act is the recovery by the Province of the tobacco related health care costs it has incurred from the tobacco industry nationally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effect of the Act is to impose a new form of liability on the mostly extra-territorial defendants founded on shareholdings and other types of property ownership, wherever those rights may be situate, for the acts or omissions attributable to some of them. This result follows regardless of whether the locus of the acts or omissions was within British Columbia, Canada, or elsewhere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purpose and effect of the Act at this stage is to be discerned from the history of the legislation and analysis of the Act's provisions, as assisted by what may be gleaned from the Statement of Claim and Reply to Defences in the government action commenced pursuant to the statutory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Sections 1(5) and 17.1(1)(a) impose a Group liability on the defendants. Foreign and federally incorporated defendant companies are divided into four major Groups: namely, Imperial Tobacco Limited, a division of Imasco Limited; Rothmans, Benson &amp; Hedges Inc.; British American Tobacco ("B.A.T."); and JTI-Macdonald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conduct of a member of a Group in any country with adverse consequences in that country or in any other country can result in liability to all the members of the Group if any one member of that Group has offered a tobacco product for sale in British Columbia. [Section 1(1), "tobacco related wrong"; Section 13.1 and Section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Group membership is determined by the comprehensive definition of "manufacturer" in s. 1(1) and ss. 1(2),(3), and (4), the relation and affiliation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Affiliation between companies is based on shareholdings that entitle election of a director, or have a market value equal to 50% of the total shares [Section 1(3)(a)]; a partnership, trust or joint venture having an entitlement to 50% of the profits or assets on dissolution [Section 1(3)(b)]; control by direct or indirect influence [Section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Section 1(1), manufacturers, by definition, include owners of tobacco trademarks or persons who generate 10% of their worldwide income from the manufacture or promotion of tobacco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effect of the Act is that the conduct of foreign manufacturers in foreign countries is to be judged by a British Columbia Court. [Section 13.1(1)(a)]. The result is that the cost of health care benefits is imposed on all members of the Group to which the foreign manufacturer belongs. [Section 13.1(3)].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If a Group member acquires a tobacco related part of the business of another manufacturer by any means, the Group is liable for any past wrongful conduct of the acquired business regardless of the contractual terms of acquisition or the law of the Province or country that governs the terms of the purchase contract. [Section 17.1(2)].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locus of the acquired business or of the wrongful conduct does not affect or modify the determination of liability. The vendor need not be a member of the Group to effect this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Each Group has one British Columbia resident corporation. An immediate effect of the Act therefore is to impose an artificial "real and substantial" connection to British Columbia on all Group members since the members of a Group must be considered "one manufacturer" for purposes of determining liability arising from a tobacco related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Four of the defendants in the government action commenced are federally incorporated and manufacture cigarettes sold in British Columbia. They are registered as extra-provincial companies under British Columbia law. The balance of the defendants are foreign companies, incorporated under foreign law, with registered offices or places of business in foreign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None of the companies were incorporated in British Columbia. The Statement of Claim describes the Groups as "four worldwide multinational tobacco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Section 17.1 and sections 1(2), (3) and (4) of the Act, which encompass what the Attorney-General terms the "theory of enterprise liability", were not part of the original Act. They were added by amendment in 1998. The Attorney-General argues an amendment to an Act could not have the effect of transforming its essential character. I disagree. The addition of the enterprise liability provisions given the wide meaning of manufacturer indicates a deliberate shift in the territorial reach and is designed to give the Act global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That is not an incidental effect of the legislation. It becomes a central feature and an integral part of the aim and focus of the amended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Minister's speech relating to the amendments lends substance to the view that the Act attacks national and international companies and makes them accountable for tobacco related health care benefit costs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important set of changes involves the corporate structure of the tobacco industry. The nature of these changes is to broaden the definition of what constitutes a tobacco "manufacturer", and to widen the linkages to related companies. The effect of these changes is to establish a more accurate and realistic description of what constitutes a tobacco manufacturer. Provisions have been added to ensure that various corporate entities which effectively own, control, are related to or have a substantial interest in the manufacture, promotion or sale of tobacco products, will be subject to this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legal entity, whether in the form of an affiliate, a joint venture, a trust, a partnership or some other arrangement which has a beneficial interest in a corporation which produced, promoted or sold tobacco products that may give rise to a claim under the legislation will not be able to avoid liability behind some kind of corporate veil.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[British Columbia, Debates of the Legislative Assembly, Vol. 12, No. 11 (July 29, 1988) at 10713].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is difficult to characterize such sophisticated and specifically crafted amendments to the Act as intending to produce only an incidental effect on the territorial reach of the legislation. The provisions demonstrate, as a dominant aspect, the targeting of extra-territorial entities, ensnaring a variety of legal personalities including shareholders, control persons, foreign purchasers and lessors, trademark holders, and substantial investors. These consequences are too purposeful and far-reaching to qualify as an incidental aspect of seeking recovery from manufacturers directly marketing or selling tobacco products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Attorney-General submits that the manufacturers ought not to "lump together a series of qualitatively different extra-provincial rights that are or might be adversely affected by the legislation and ask the Court to deal with all those rights concurrently". I am of the view that the cumulative effect of the provisions evinces a legislative intention to craft the Act in a form that ensures in a global basis that no action of the international tobacco industry or location of their assets would be beyond the reach of the Province's attempt to recover health care costs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legislative power of a Province is to be found under Section 92 of the Constitution Act, 1867, (U.K.), 30 &amp; 31 Vict., c. 3. The section contains words of clear territorial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federal parliament, in the Statute of Westminster 1931, (U.K.), 22 &amp; 23 Geo. 5, c. 4, reprinted in R.S.C. 1985, App. II, No. 27, gained extra-territorial legislative competence, but the Provinces did not. [Re Seabed &amp; Subsoil, Continental Shelf Offshore Nfld., </w:t>
      </w:r>
      <w:hyperlink r:id="rId620" w:history="1">
        <w:r>
          <w:rPr>
            <w:rFonts w:ascii="arial" w:eastAsia="arial" w:hAnsi="arial" w:cs="arial"/>
            <w:i/>
            <w:color w:val="0077CC"/>
            <w:sz w:val="20"/>
            <w:u w:val="single"/>
            <w:shd w:val="clear" w:color="auto" w:fill="FFFFFF"/>
            <w:lang w:val="en-US" w:eastAsia="en-US" w:bidi="ar-SA"/>
          </w:rPr>
          <w:t>[1984] 1 S.C.R. 86</w:t>
        </w:r>
      </w:hyperlink>
      <w:r>
        <w:rPr>
          <w:rFonts w:ascii="arial" w:eastAsia="arial" w:hAnsi="arial" w:cs="arial"/>
          <w:color w:val="000000"/>
          <w:sz w:val="20"/>
          <w:lang w:val="en-US" w:eastAsia="en-US" w:bidi="ar-SA"/>
        </w:rPr>
        <w:t xml:space="preserve"> at pp. 102-103, </w:t>
      </w:r>
      <w:hyperlink r:id="rId620" w:history="1">
        <w:r>
          <w:rPr>
            <w:rFonts w:ascii="arial" w:eastAsia="arial" w:hAnsi="arial" w:cs="arial"/>
            <w:i/>
            <w:color w:val="0077CC"/>
            <w:sz w:val="20"/>
            <w:u w:val="single"/>
            <w:shd w:val="clear" w:color="auto" w:fill="FFFFFF"/>
            <w:lang w:val="en-US" w:eastAsia="en-US" w:bidi="ar-SA"/>
          </w:rPr>
          <w:t>(1984), 5 D.L.R. (4th) 385</w:t>
        </w:r>
      </w:hyperlink>
      <w:r>
        <w:rPr>
          <w:rFonts w:ascii="arial" w:eastAsia="arial" w:hAnsi="arial" w:cs="arial"/>
          <w:color w:val="000000"/>
          <w:sz w:val="20"/>
          <w:lang w:val="en-US" w:eastAsia="en-US" w:bidi="ar-SA"/>
        </w:rPr>
        <w:t xml:space="preserve"> at pp. 400-401; Interprovincial Co-operatives Ltd. et al v. The Queen in the Right of Manitoba, </w:t>
      </w:r>
      <w:hyperlink r:id="rId621" w:history="1">
        <w:r>
          <w:rPr>
            <w:rFonts w:ascii="arial" w:eastAsia="arial" w:hAnsi="arial" w:cs="arial"/>
            <w:i/>
            <w:color w:val="0077CC"/>
            <w:sz w:val="20"/>
            <w:u w:val="single"/>
            <w:shd w:val="clear" w:color="auto" w:fill="FFFFFF"/>
            <w:lang w:val="en-US" w:eastAsia="en-US" w:bidi="ar-SA"/>
          </w:rPr>
          <w:t>[1976] 1 S.C.R. 477</w:t>
        </w:r>
      </w:hyperlink>
      <w:r>
        <w:rPr>
          <w:rFonts w:ascii="arial" w:eastAsia="arial" w:hAnsi="arial" w:cs="arial"/>
          <w:color w:val="000000"/>
          <w:sz w:val="20"/>
          <w:lang w:val="en-US" w:eastAsia="en-US" w:bidi="ar-SA"/>
        </w:rPr>
        <w:t xml:space="preserve"> at 512, </w:t>
      </w:r>
      <w:hyperlink r:id="rId621" w:history="1">
        <w:r>
          <w:rPr>
            <w:rFonts w:ascii="arial" w:eastAsia="arial" w:hAnsi="arial" w:cs="arial"/>
            <w:i/>
            <w:color w:val="0077CC"/>
            <w:sz w:val="20"/>
            <w:u w:val="single"/>
            <w:shd w:val="clear" w:color="auto" w:fill="FFFFFF"/>
            <w:lang w:val="en-US" w:eastAsia="en-US" w:bidi="ar-SA"/>
          </w:rPr>
          <w:t>(1975), 53 D.L.R. (3rd) 321</w:t>
        </w:r>
      </w:hyperlink>
      <w:r>
        <w:rPr>
          <w:rFonts w:ascii="arial" w:eastAsia="arial" w:hAnsi="arial" w:cs="arial"/>
          <w:color w:val="000000"/>
          <w:sz w:val="20"/>
          <w:lang w:val="en-US" w:eastAsia="en-US" w:bidi="ar-SA"/>
        </w:rPr>
        <w:t xml:space="preserve"> at p. 356; Reference re Offshore Mineral Rights of British Columbia, </w:t>
      </w:r>
      <w:hyperlink r:id="rId622" w:history="1">
        <w:r>
          <w:rPr>
            <w:rFonts w:ascii="arial" w:eastAsia="arial" w:hAnsi="arial" w:cs="arial"/>
            <w:i/>
            <w:color w:val="0077CC"/>
            <w:sz w:val="20"/>
            <w:u w:val="single"/>
            <w:shd w:val="clear" w:color="auto" w:fill="FFFFFF"/>
            <w:lang w:val="en-US" w:eastAsia="en-US" w:bidi="ar-SA"/>
          </w:rPr>
          <w:t>[1967] S.C.R. 792</w:t>
        </w:r>
      </w:hyperlink>
      <w:r>
        <w:rPr>
          <w:rFonts w:ascii="arial" w:eastAsia="arial" w:hAnsi="arial" w:cs="arial"/>
          <w:color w:val="000000"/>
          <w:sz w:val="20"/>
          <w:lang w:val="en-US" w:eastAsia="en-US" w:bidi="ar-SA"/>
        </w:rPr>
        <w:t>; See Edinger, E., "Territorial Limitations on Provincial Powers" (1982), 14 Ottawa L. Rev. 57 at pp. 60-61; Sullivan: Interpreting the Territorial Limitations on the Provinces (1985), Supreme Court L. Rev. 511 at pp. 525-527].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combined effect of Sections 1, 13, 13.1, 17 and 17.1 purport to affect the status, structure and corporate personality of foreign corporations and the rights of their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Act has the effect of abolishing the separate corporate personalities of companies incorporated under federal or foreign law with domiciles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A company's registered office establishes its domicile. [Gasque v. Inland Revenue Commissioners, [1940], 2 K.B. 80; Fraser &amp; Stewart, op. cit. at p. 144; National Trust Co. Ltd. v. Ebro Irrigation &amp; Power Co. Ltd., </w:t>
      </w:r>
      <w:hyperlink r:id="rId623" w:history="1">
        <w:r>
          <w:rPr>
            <w:rFonts w:ascii="arial" w:eastAsia="arial" w:hAnsi="arial" w:cs="arial"/>
            <w:i/>
            <w:color w:val="0077CC"/>
            <w:sz w:val="20"/>
            <w:u w:val="single"/>
            <w:shd w:val="clear" w:color="auto" w:fill="FFFFFF"/>
            <w:lang w:val="en-US" w:eastAsia="en-US" w:bidi="ar-SA"/>
          </w:rPr>
          <w:t>[1954] 3 D.L.R. 326</w:t>
        </w:r>
      </w:hyperlink>
      <w:r>
        <w:rPr>
          <w:rFonts w:ascii="arial" w:eastAsia="arial" w:hAnsi="arial" w:cs="arial"/>
          <w:color w:val="000000"/>
          <w:sz w:val="20"/>
          <w:lang w:val="en-US" w:eastAsia="en-US" w:bidi="ar-SA"/>
        </w:rPr>
        <w:t xml:space="preserve"> (Ont.H.C.); Voyage Co. Industries v. Craster, </w:t>
      </w:r>
      <w:hyperlink r:id="rId624" w:history="1">
        <w:r>
          <w:rPr>
            <w:rFonts w:ascii="arial" w:eastAsia="arial" w:hAnsi="arial" w:cs="arial"/>
            <w:i/>
            <w:color w:val="0077CC"/>
            <w:sz w:val="20"/>
            <w:u w:val="single"/>
            <w:shd w:val="clear" w:color="auto" w:fill="FFFFFF"/>
            <w:lang w:val="en-US" w:eastAsia="en-US" w:bidi="ar-SA"/>
          </w:rPr>
          <w:t>[1998] B.C.J. No. 1884</w:t>
        </w:r>
      </w:hyperlink>
      <w:r>
        <w:rPr>
          <w:rFonts w:ascii="arial" w:eastAsia="arial" w:hAnsi="arial" w:cs="arial"/>
          <w:color w:val="000000"/>
          <w:sz w:val="20"/>
          <w:lang w:val="en-US" w:eastAsia="en-US" w:bidi="ar-SA"/>
        </w:rPr>
        <w:t xml:space="preserve"> (Unreported)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 corporation's domicile determines the law respecting its creation and continuation (corporate personality), matters of internal management, share capital structure, and shareholder rights. [Castel, J.G., Canadian Conflict of Laws 4th ed., (Toronto: Butterworths, 1997) pp. 574-575; Voyage Co. Industries v. Craster, supra; National Trust Co. Ltd. v. Ebro Irrigation &amp; Power Co. Ltd., supra; Fraser &amp; Stewart, op. cit. p. 144; Palmer's Company Law (looseleaf ed.) Vol. I, (London: Sweet &amp; Maxwell, 1997) pp. 2105-2106]: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concerning the status of a foreign corporation, especially whether it possesses the attributes of legal personality, are, on the analogy of natural persons, governed by the law of the domicile of the corporation. This domicile is in the state or province of incorporation or organization and cannot be changed during the corporation's existence even if it carries on business elsewhere. Thus, the law of the state or province under which a corporation has been incorporated or organized determines whether it has come into existence, its corporate powers and capacity to enter into any legal transaction, the persons entitled to act on its behalf, including the extent of their liability for the corporation's debts, and the rights of the shareholders.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[Castel, supra, at p. 574-575].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It is a fundamental principle of company law that a corporation is a legal entity distinct from its shareholders. [Salomon v. Salomon &amp; Co. Ltd., </w:t>
      </w:r>
      <w:hyperlink r:id="rId552"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(H.C.); Palmer's Company Law 24th ed., Schmitthoff, C.M. Ed., (London: Stevens &amp; Sons, 1987) pp. 200-201; Fraser &amp; Stewart Company Law of Canada 6th ed., (Carswell, 1993) at p. 17; Canada Business Corporations Act, </w:t>
      </w:r>
      <w:hyperlink r:id="rId625" w:history="1">
        <w:r>
          <w:rPr>
            <w:rFonts w:ascii="arial" w:eastAsia="arial" w:hAnsi="arial" w:cs="arial"/>
            <w:i/>
            <w:color w:val="0077CC"/>
            <w:sz w:val="20"/>
            <w:u w:val="single"/>
            <w:shd w:val="clear" w:color="auto" w:fill="FFFFFF"/>
            <w:lang w:val="en-US" w:eastAsia="en-US" w:bidi="ar-SA"/>
          </w:rPr>
          <w:t>R.S.C. 1985, c. C-44, S. 15</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This distinction is operative in a parent and subsidiary relationship and applies to related corporations owned by a common shareholder. [Fraser &amp; Stewart, op. cit. at p. 21, Davies, P.L., Gower's Principles of Modern Company Law 6th ed. (London: Sweet &amp; Maxwell, 1997) at pp. 80, 159-163; BG Preeco I (Pacific Coast) Ltd. v. Bon Street Developments Ltd. </w:t>
      </w:r>
      <w:hyperlink r:id="rId626" w:history="1">
        <w:r>
          <w:rPr>
            <w:rFonts w:ascii="arial" w:eastAsia="arial" w:hAnsi="arial" w:cs="arial"/>
            <w:i/>
            <w:color w:val="0077CC"/>
            <w:sz w:val="20"/>
            <w:u w:val="single"/>
            <w:shd w:val="clear" w:color="auto" w:fill="FFFFFF"/>
            <w:lang w:val="en-US" w:eastAsia="en-US" w:bidi="ar-SA"/>
          </w:rPr>
          <w:t>(1989), 60 D.L.R. (4th) 30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 is a distinction in Canadian constitutional law between the power to incorporate and the power to regulate the activities of a company. The power to incorporate a company is the ability to bestow legal personality on an association of persons, regulate a corporate structure and define the rights of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 company once incorporated however will be responsible to the laws of jurisdictions in which it operates. A federally incorporated company is, for example, accountable under provincial security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provisions of the Act: Sections 1(1), 1(2), 1(3), 1(5), 13 and 17.1 attempt to alter or derogate from the rights of shareholders of federal and foreign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Act makes shareholders liable, where they hold a sufficient number of shares, for the conduct of the company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 company domiciled anywhere in the world that owns the majority of shares of any company, which by the terms of the Act is a member of a Group and obtains 10% of its revenue from tobacco, becomes a member of the Group and is liable for the conduct of the other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such a manner may a completely passive foreign investor be made liable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An example of the destruction of immunity from liability of a federally-incorporated company by the operation of the provisions of the Act is the claim the government makes in its action against the defendant Rothmans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government alleges in its Statement of Claim that Rothmans Inc. owns the majority of the shares of the defendant Rothmans, Benson &amp; Hedges Inc. It is alleged Rothmans Inc. sold the tobacco related part of its business in 1985 and this business is now that of Rothmans, Benson &amp; Hedges Inc. The effect of the provisions of the Act make Rothmans Inc., solely on proof of its shareholdings, liable for any tobacco related wrong on the part of Rothmans, Benson &amp; Hedges Inc. since it commenced business and will be assessed for recovery of health care benefit costs based on the market share of Rothmans, Benson &amp; Hedges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All the ex juris defendants appear, on the extremely limited evidence before the Court, to have been made parties because of the Act's extended definitions relating to manufacturers. Those definitions include the associated, related, and grouping of company provisions in the Act that make all related manufacturers one and each jointly and severally liable for the acts of any other in their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does not appear from the recovery action commenced by the government that any of these defendants are alleged to actually have manufactured or to have sold tobacco products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Several of the ex juris companies are not operating companies but are joined because of their shareholdings, derivation of income, control positions, by virtue of past acquisition, or because they are a trade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Act therefore attempts to alter and derogate from what are clearly domiciliary rights under the law of foreign jurisdictions, a legislative manoeuvre that is impermissible and against the rule in Churchill Falls (Labrador) Corp. Ltd. v. A.G. Newfoundland (Attorney General),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Act extends to and attaches legal consequences to the conduct of a defendant manufacturer outside of British Columbia. The definition of a tobacco related wrong envisages a breach of duty owed by a manufacturer to a person who has or might become exposed to a tobacco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manufacturer referenced is a Group and its members [Section 17.1(1)(a)]. The conduct of any member of the Group becomes the conduct of all, without territorial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Act defines both "persons" and "insured persons". Section 13.1(1)(a) refers to persons to whom a duty is owed. The definition of tobacco related wrong imposes the duty in respect of persons who have been exposed or might be exposed to a tobacco related wrong". There appears to be no territorial boundary to the use of "persons" and it could have global 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contrast, Section 13.1(1)(c) contains a territorial limitation, namely, "... the type of tobacco product [that] ... was offered for sale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wide and territorially unrestricted use of the word "persons" in Section 13.1(1)(a) is to be contrasted with the precisely defined term "insured persons", which by definition of "health care benefits" is territorially restricted to British Columbia, and was not used. Those who qualify as "insured persons" are British Columbia residents who qualify as beneficiaries under the Medicare Protection Act,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or the Hospital Insurance Act, </w:t>
      </w:r>
      <w:r>
        <w:rPr>
          <w:rFonts w:ascii="arial" w:eastAsia="arial" w:hAnsi="arial" w:cs="arial"/>
          <w:i/>
          <w:color w:val="000000"/>
          <w:sz w:val="20"/>
          <w:lang w:val="en-US" w:eastAsia="en-US" w:bidi="ar-SA"/>
        </w:rPr>
        <w:t>R.S.B.C. 1996, c. 204</w:t>
      </w:r>
      <w:r>
        <w:rPr>
          <w:rFonts w:ascii="arial" w:eastAsia="arial" w:hAnsi="arial" w:cs="arial"/>
          <w:color w:val="000000"/>
          <w:sz w:val="20"/>
          <w:lang w:val="en-US" w:eastAsia="en-US" w:bidi="ar-SA"/>
        </w:rPr>
        <w:t xml:space="preserve"> that comprise under the Provincial universal medicare system nearly the entire population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Act therefore provides that the duty on which liability is based is not necessarily a duty owed in British Columbia; the person affected may be domiciled outside British Columbia and the alleged breach may occur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Interprovincial Co-operatives Ltd. et al v. The Queen in the Right of Manitoba, supra, at 516 (per Pigeon J.) a Provincial statute conferring a statutory cause of action on government against parties in the Province, but applied to conduct outside the Province giving rise to liability, was held to be ultra vires: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respect of injury caused by acts performed outside its territory, I cannot accede to the view that this can be treated as a matter within its legislative authority when those acts are done in another province any more than when they are accomplished in another country. In my view, although the injurious acts cannot be justified by or under legislation adopted in the province or state where the plants are operated, by the same token, Manitoba is restricted to such remedies as are available at common law or under federal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Tolofson v. Jensen, </w:t>
      </w:r>
      <w:hyperlink r:id="rId627"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(1995), 120 D.L.R. (4th) 289</w:t>
        </w:r>
      </w:hyperlink>
      <w:r>
        <w:rPr>
          <w:rFonts w:ascii="arial" w:eastAsia="arial" w:hAnsi="arial" w:cs="arial"/>
          <w:color w:val="000000"/>
          <w:sz w:val="20"/>
          <w:lang w:val="en-US" w:eastAsia="en-US" w:bidi="ar-SA"/>
        </w:rPr>
        <w:t xml:space="preserve"> La Forest J. notes that the lex loci delecti rule relating to the jurisdiction of a claim in tort is based partly on constitutional considerations. The effect of the rule is that a Province cannot, by attaching new consequences to extra-territorial acts or omissions, impose its law on a tort which occurs beyond its borders.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 Province may not pass legislation that has the effect of imposing obligations outside the Province or has other extra-provincial consequences unless the effect is merely collateral or incidental to legislation otherwise within its power. [Churchill Falls (Labrador) Corp. Ltd. v. A.G. Newfoundland (Attorney General), </w:t>
      </w:r>
      <w:hyperlink r:id="rId628" w:history="1">
        <w:r>
          <w:rPr>
            <w:rFonts w:ascii="arial" w:eastAsia="arial" w:hAnsi="arial" w:cs="arial"/>
            <w:i/>
            <w:color w:val="0077CC"/>
            <w:sz w:val="20"/>
            <w:u w:val="single"/>
            <w:shd w:val="clear" w:color="auto" w:fill="FFFFFF"/>
            <w:lang w:val="en-US" w:eastAsia="en-US" w:bidi="ar-SA"/>
          </w:rPr>
          <w:t>[1984] 1 S.C.R. 297</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(1984), 8 D.L.R. (4th) 1</w:t>
        </w:r>
      </w:hyperlink>
      <w:r>
        <w:rPr>
          <w:rFonts w:ascii="arial" w:eastAsia="arial" w:hAnsi="arial" w:cs="arial"/>
          <w:color w:val="000000"/>
          <w:sz w:val="20"/>
          <w:lang w:val="en-US" w:eastAsia="en-US" w:bidi="ar-SA"/>
        </w:rPr>
        <w:t>; Hogg, Constitutional Law of Canada (looseleaf ed.) pp.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particular, section 17.1(2) purports to alter and affect the contractual terms of the acquisition of part of a tobacco related business by imposing upon the purchasers or lessee the assumption of liability for any wrongful conduct on the part of the vendor or lessor that would qualify as a tobacco related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Additionally, retroactive consequences arise pursuant to Sections 17.1(2) and 20(2) in any commercial transaction of this type. Where the transaction involves an extra-territorial purchaser or lessor, the legislation affects adversely the extra-territorial contractual rights of the parties and therefore offends the rule in Churchill Falls (Labrador) Corp. Ltd. v. A.G. Newfoundland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Act also attaches consequences to the ownership of a tobacco trademark or a right to the use of a trademark. Each of these rights is caught by the extended definition of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Trademark ownership is governed in Canada by the Trade Marks Act, 1985 c. T-13 and jurisdiction under section 91(2) of the Constitution Act, 1867 is with the Parliament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But the Act does not restrict the application of its provisions to trade mark use in British Columbia, and the legislation consequently has an extra-territorial effect, thus derogating from extra-provincial property rights and offending against the rule in Churchill Falls (Labrador) Corp. Ltd. v. A.G. Newfoundland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Act by its manifold effects imposes the law of British Columbia on the extra-territorial status, contracts, property, and conduct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Act overrides the substantive laws of extra-territorial Canadian or foreign jurisdictions in four major areas: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status and corporate personalities of corporate tobacco manufacturers with domiciles outside British Columbia;</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legal consequences of acts or omissions outside British Columbia, characterized as tobacco related wrongs;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contracts relating to the purchase, lease or acquisition by any means whatsoever of any part of a tobacco related business wherever situate and whatever the proper law of contract applicable;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shareholder's rights and liabilities regarding shares of federal or foreign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Supreme Court of Canada has held that a tortious act committed in another Province involving extra-Provincial parties makes the applicable law the substantive law of that Province and must be applied by the Courts of the Province where the action is tried: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attempt by one province to impose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activities that have taken place wholly in another province by residents of the latter or, for that matter, residents of a third province, would give rise to serious constitutional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[Tolofson v. Jensen, supra, at 1066]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because a rigid rule on the international level could give rise to injustice, in certain circumstances, I am not averse to retaining a discretion in the court to apply our own law to deal with such circumstances. I can, however, imagine few cases where this would be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[Tolofson v. Jensen, at 1054]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Act does not require a connection between "a tobacco related wrong" and the health care benefits claimed. The connection is artificial, a presumption, and contrary to Tolofson v.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rationale of the choice of law rule requires the Court to connect the alleged wrongful conduct to the place of its occurrence. The parties will be judged under the law governing them where they took the action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A "tobacco related wrong" includes a breach of "statutory duty". There are statutory duties imposed under British Columbia statutes like the Trade Practice Act, </w:t>
      </w:r>
      <w:hyperlink r:id="rId584"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These can lead to foreign corporations with no presence in British Columbia, conducting their affairs in conformity with their domestic law, being judged under Section 13.1(1)(a) according to standards of conduct under British Columbia statutes for acts or omissions that occur in their own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 provincial legislature has no power to impose its own laws on extra-territorial status, contracts, conduct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Choice of law rules are part of the Provinces' common law and subject to the same constitutional limits as are all legislative endeavors. [Hogg, op. cit. At pp. 13-23].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are four federally-incorporated defendants in the government action. Parliament has an exclusive legislative power to incorporate companies with other than provincial objects under the residual power of the peace, order and good government provisions of Section 91 of the Constitution Act,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Sections 1, 13, 13.1, 17, and 17.1, when they purport to govern the status, structure and corporate personality of a federally-incorporated company under the Canada Business Corporations Act are not only extra-territorial in effect they trench upon the exclusive jurisdiction of the Parliament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There is much force to the argument that a practical cumulative effect of these provisions of the Act is to "amalgamate" or "merge" defendant tobacco companies such that those "amalgamated" by the operation of the provisions of the Act incur liability for civil claims against others in the involuntary merger. That is a fundamental interference with a federal jurisdiction reserved under Part XV of the Canada Business Corporations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combined effect of Sections 1(2), (3), (4), (5) and 17.1(1)(a) of the Act ignores the separate identities of federally-incorporated companies for the purpose of establishing a tobacco related wrong committed by a related company and for the purpose of calculating amounts assessed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separate legal personality conferred under s. 15(1) of the Canada Business Corporations Act is removed and the corporation loses its legal status as distinct from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reach of the Act encompasses the conduct of the national and international tobacco industry worldwide to found liability for costs incurred by the government on behalf of tobacco users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provisions of the Act appear not so much designed to "pierce the corporate veil" as they are to strip away separate identities and treat them as if they had legally merged or amalgamated. The effect of provisions of the Act is not to look through the facade of a company shell; it is to deny the right to any separate corporate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manufacturers in these proceedings have shown a strong case that the Act in pith and substance, according to its purpose and effect, is extra-territorial and beyond the powers of the Province under the Constitution Act, 1867 and the Statute of Westminster, 1931.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have not found it necessary as a result of my finding to address the paramountcy argument which assume both valid, but conflicting, federal and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INVALIDITY, SEVERANCE OR READING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have found the dominant characteristic, or pith and substance of the Act, to be the pursuit nationally and internationally of the tobacco industry for the cost of health care benefits incurred by the government of B.C relating to residents of the Province who suffered from a tobacco related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extra-territorial reach of the Act places it beyond the constitutional competence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Attorney-General argues if the enterprise liability provisions of the Act give rise to constitutional concern, as I find they do, they may be easily severed or read down as appropriate and the balance of the Act would remain viable and conform to the original legislative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course suggested is that the Act could be read down as required so it applies only to tobacco related wrongs with the requisite real and substantial connection to British Columbia; a Moran v. Pyle, supra, type of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Attorney-General reasons that as the impugned provisions were added to an existing Act by amendment in 1998 they could be as easily removed. The basic intent of the legislature would then still be fulfilled relying on a Moran v. Pyle view of liability. This would treat the impugned provisions of the present Act as embellishments that did not change its essential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manufacturers urge that the Act is a carefully integrated legislative scheme, the central purpose of which is the ability to recover the very substantial costs of health care benefits related to tobacco disease from the national and international tobacco industry following upon a unique streamlined civil proceeding. The Act cannot be unraveled in piecemeal fashion and is rendered ultra vires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Reading down is a doctrine of constitutional remedy that may be employed as an interpretive technique to preserve the validity of statutory provisions. When alternative constructions exist the Court should select a construction that is consistent with the legislative intent and constitutionally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However, the reading down doctrine is not to be employed if the effect is to alter the essence of the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this respect, I agree with the following comment made by Carol Rogerson in her article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courts continue to describe reading down as a technique of interpretation rather than of invalidation, as a practical matter reading down is difficult to distinguish from a remedy which would operate to declare particular applications of a law unconstitutional. Reading down does require an initial determination by the court that particular applications of the statute would be unconstitutional.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process of interpreting a statutory provision that is susceptible of more than one meaning was traditionally governed by the basic precept that the Court's function is to discover the intention of the legislature. In a case in which the ordinary rules of construction yield two equally plausible meanings, policy considerations are a factor in resolving the conflict. In constitutional cases before the Charter this was reflected in the practice of interpreting statutes by applying a presumption that a legislative body does not intend to exceed its powers under the Constitution.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final analysis, a law that is invalid in so many of its applications will, as a result of wholesale reading down, bear little resemblance to the law that Parliament passed and a strong inference arises that it is invalid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[Osborne v. Canada (Treasury Board), </w:t>
      </w:r>
      <w:r>
        <w:rPr>
          <w:rFonts w:ascii="arial" w:eastAsia="arial" w:hAnsi="arial" w:cs="arial"/>
          <w:i/>
          <w:color w:val="000000"/>
          <w:sz w:val="20"/>
          <w:lang w:val="en-US" w:eastAsia="en-US" w:bidi="ar-SA"/>
        </w:rPr>
        <w:t>[1991] 2 S.C.R. 69</w:t>
      </w:r>
      <w:r>
        <w:rPr>
          <w:rFonts w:ascii="arial" w:eastAsia="arial" w:hAnsi="arial" w:cs="arial"/>
          <w:color w:val="000000"/>
          <w:sz w:val="20"/>
          <w:lang w:val="en-US" w:eastAsia="en-US" w:bidi="ar-SA"/>
        </w:rPr>
        <w:t>, Sopinka J., at pp. 103-105].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use of severance as a technique to preserve the constitutional validity of legislation is described by Hogg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Occasionally, however, it is possible to say that part only of a statute is invalid, and the balance of the statute would be valid if it stood alone. Of course, the balance does not stand alone; and the question arises whether the court should "sever" the bad part, thereby preserving the good part, or whether the court should declare the entire statute to be bad. The rule which the courts have developed is that severance is inappropriate when the remaining good part "is so inextricably bound up with the part declared invalid that what remains cannot independently survive"; in that event, it may be assumed that the legislative body would not have enacted the remaining part by itself. On the other hand, where the two parts can exist independently of each other, so that it is plausible to regard them as two laws with two different "matters", then severance is appropriate, because it may be assumed that the legislative body would have enacted one even if it had been advised that it could not enact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[Hogg, at 15-21, 15-22,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at 697, Chief Justice Lamer refers to a classic test for severance: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offending portion of a statute can be defined in a limited manner, it is consistent with legal principles to declare inoperative only that limited portion. In that way, as much of the legislative purpose as possible may be realized. However, there are some cases in which to sever the offending portion would actually be more intrusive to the legislative purpose than the alternate course of striking down provisions which are not themselves offensive but which are closely connected with those that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It is an essential feature of severance that in deleting some legislative provisions the Court must be satisfied the legislature: "... would have enacted what survives without enacting the part that is ultra vires at all." [Attorney-General for Alberta v. Attorney-General for Canada, </w:t>
      </w:r>
      <w:hyperlink r:id="rId629" w:history="1">
        <w:r>
          <w:rPr>
            <w:rFonts w:ascii="arial" w:eastAsia="arial" w:hAnsi="arial" w:cs="arial"/>
            <w:i/>
            <w:color w:val="0077CC"/>
            <w:sz w:val="20"/>
            <w:u w:val="single"/>
            <w:shd w:val="clear" w:color="auto" w:fill="FFFFFF"/>
            <w:lang w:val="en-US" w:eastAsia="en-US" w:bidi="ar-SA"/>
          </w:rPr>
          <w:t>[1947] A.C. 503</w:t>
        </w:r>
      </w:hyperlink>
      <w:r>
        <w:rPr>
          <w:rFonts w:ascii="arial" w:eastAsia="arial" w:hAnsi="arial" w:cs="arial"/>
          <w:color w:val="000000"/>
          <w:sz w:val="20"/>
          <w:lang w:val="en-US" w:eastAsia="en-US" w:bidi="ar-SA"/>
        </w:rPr>
        <w:t xml:space="preserve"> at 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impugned Act does not impose liability in the Moran v. Pyle context where a tobacco manufacturer breaches a duty that causes disease in a person in British Columbia resulting in a health care cost to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design of the Act imposes liability upon a foreign defendant not on the basis of wrongful conduct but on the basis of being deemed a member of a group in which another member commits a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constituent provisions of the theory of enterprise liability resulting in the Act's extra-territorial effect are inextricably bound up with the remaining features of the Act. I do not have confidence they may be read down or severed in a manner that would leave remaining an Act clearly identifiable with the original intent of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There are several provisions of the Act necessary to the consideration of a reading down or severance. They include the s. 1(1) definition of "manufacturer" with its several subsections; s. 1(2), (3) and (4), the "related" and "affiliate" provisions; s. 1(5), the definition of market share on a related company basis; s. 13, concerning whether it imposes a duty upon a person not in British Columbia; and 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am of the view that any attempt to craft change through severance or reading down would inevitably result in a form of legislative redrafting.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the result, the plaintiff manufacturers have shown entitlement on the basis of the extra-territorial reach of the Act to the declaration they seek. I find the Tobacco Damages and Health Care Costs Recovery Act to be inconsistent with the provisions of the Constitution of Canada as ultra vires the Legislative Assembly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It follows that action C985776, Her Majesty the Queen in Right of British Columbia v. Imperial Tobacco Limited et al, that is founded entirely upon a statutory cause of action under the invalidated Tobacco Damages and Health Care Costs Recovery Act,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Reasons for Judgment issued on February 21, 2000, Lyndon A.J. Barnes was inadvertently omitted from appearing as counsel for the plaintiff, Imperial Tobacco, a division of Imasco Limited, in action number C985780.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Kang v. Kang, [2002] B.C.J. No. 1769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 (On Costs)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4374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C.C.L.I. (3d)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575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Manjit Kaur Kang, plaintiff, and Shingara Singh Kang, deceased, Hardip Singh Ahluwalia, Clarica Life Insurance Company and Avtar Samra,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0"/>
      <w:bookmarkEnd w:id="188"/>
      <w:r>
        <w:rPr>
          <w:rFonts w:ascii="arial" w:eastAsia="arial" w:hAnsi="arial" w:cs="arial"/>
          <w:b/>
          <w:color w:val="000000"/>
          <w:sz w:val="20"/>
          <w:lang w:val="en-US" w:eastAsia="en-US" w:bidi="ar-SA"/>
        </w:rPr>
        <w:t>Practice — Costs — Discretion of court — Party and party costs — Successful party, exceptions, situation of unsuccessful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19"/>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unsuccessful plaintiff, Kang, for an order that each party bear their own costs. Kang brought an unsuccessful action against her late husband's estate, an insurance company, and her husband's sister, to recover life insurance proceeds paid to the sister, the named insured on the policy. Her counsel filed written materials on this application and the defendants did not respond. She argued that it would be unconscionable for a young widow with a child to bear the costs of the insurance company and a wealthy relative that arose from a family dispute, and asked the court to exercise its discretion in her favour.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0" w:name="Holdings of Court_16"/>
            <w:bookmarkEnd w:id="19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During the trial, all of Kang's claims were dismissed and her credibility was questioned. However, it could be inferred from the defendants' silence that they took the position that it was appropriate in the circumstances for each party to bear its own costs.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September 11, 2002. See </w:t>
            </w:r>
            <w:hyperlink r:id="rId637" w:history="1">
              <w:r>
                <w:rPr>
                  <w:rFonts w:ascii="arial" w:eastAsia="arial" w:hAnsi="arial" w:cs="arial"/>
                  <w:i/>
                  <w:color w:val="0077CC"/>
                  <w:sz w:val="18"/>
                  <w:u w:val="single"/>
                  <w:shd w:val="clear" w:color="auto" w:fill="FFFFFF"/>
                  <w:lang w:val="en-US" w:eastAsia="en-US" w:bidi="ar-SA"/>
                </w:rPr>
                <w:t>[2002] B.C.J. No. 2050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1" w:name="Counsel_30"/>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H. Christie, for the plaintiff. Kirsten D. Hume, for the defendants, Clarica Life Insurance Company and Hardip Singh Ahluwalia. Fiona Hunter, for the defendant, Avtar Samra.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30"/>
      <w:bookmarkEnd w:id="192"/>
      <w:r>
        <w:pict>
          <v:line id="_x0000_s1159" style="position:absolute;z-index:2517923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SCARTH J."/>
            <w:bookmarkEnd w:id="193"/>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reasons for judgment filed on October 25, 2001 the claims of the plaintiff as against all defendants were dismissed. Leave was given to counsel to speak to costs "if necessary". On July 5, 2002 Mr. Christie, on behalf of the plaintiff, filed a written submission on the issue of costs. I am told by the Trial Coordinator in Victoria that counsel for the defendants will not be making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my ruling with respect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will be convenient to provide a summary of the plaintiff's claims by quoting the first paragraph of the reasons for judgment filed on October 25,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In this action, the plaintiff Manjit Kaur Kang claims that she is entitled to the proceeds of a policy of insurance on the life of her late husband Shingara Singh Kang. The beneficiary named in the policy is the deceased insured's sister, the defendant Avtar Samra. Following Mr. Kang's death on November 26, 1998 the defendant insurer Clarica Life Insurance Company paid the proceeds of the policy amounting to $100,398.62, to Mrs. Samra, the named beneficiary. As against Mrs. Samra the plaintiff claims a resulting or constructive trust over the proceeds of the policy, and, in the alternative, that Mrs. Samra interfered with the contractual relations between the deceased insured and the insurer Clarica and is thereby liable in damages for causing a breach of contract. In the alternative, as against Clarica and its agent, the defendant Hardip Singh Ahluwalia, the plaintiff claims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further alternative, as against Clarica the plaintiff claims breach of contract, and, as against Mr. Ahluwalia, claims interference with the contractual relations between the deceased and Clarica.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penultimate paragraph of the reasons for judgment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 conclude there is no basis for the plaintiff's claims. The action must be dismissed as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57(9) of the Rules of Court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to follow event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Subrule (12) refers to motions and does not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Christie submits that the parties should bear their own costs in regard to this case. The plaintiff Mrs. Kang is a widow who is required to work very hard to support herself and the 7 year old son born to her and her late husband Shingara Singh Kang. She must do so without the help of the proceeds ($100,398.62) of the policy of life insurance on her late husband's life. Those were paid to his sister Avtar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Christie submits that "it seems unconscionable that a young widow [age 33] and single parent should be obliged to pay the costs of an insurance company and a wealthy relative who recovered life insurance proceeds on the widow's husband". The Court should, it is said, exercise its discretion in favour of ordering the parties to bear their own costs rather than imposing them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Court's discretion must of course be exercised on a principled basis. I have to bear in mind the fact that all of the claims were dismissed and that Mrs. Kang's credibility was found wanting in certain respects. Paragraph 46 of the reasons for judgment filed October 25, 2001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 prefer the evidence of Mr. Ahluwalia and Mrs. Samra over that of Mrs. Kang and her parents, and find that the versions of events given by Mr. Ahluwalia and Mrs. Samra are more in accordance with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Nonetheless, Mr. Christie relates the action to a "family dispute" and says that it would be unconscionable to damage one part of the family for the benefit of another. I infer from their silence that the defendants take the very fair position that it would not be inappropriate for the Court in the circumstances to direct the parties to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order will go that the parties bear their own costs of and incidental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K.S. v. J.P.H., [2004] B.C.J. No. 1414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19 - 21 and 23,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5, 2004.</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02 2149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1414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769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132 A.C.W.S. (3d) 54</w:t>
      </w:r>
    </w:p>
    <w:p>
      <w:pPr>
        <w:spacing w:before="120" w:line="260" w:lineRule="atLeast"/>
        <w:rPr>
          <w:lang w:val="en-US" w:eastAsia="en-US" w:bidi="ar-SA"/>
        </w:rPr>
      </w:pPr>
      <w:r>
        <w:rPr>
          <w:rFonts w:ascii="arial" w:eastAsia="arial" w:hAnsi="arial" w:cs="arial"/>
          <w:color w:val="000000"/>
          <w:sz w:val="20"/>
          <w:lang w:val="en-US" w:eastAsia="en-US" w:bidi="ar-SA"/>
        </w:rPr>
        <w:t>Between K.S., plaintiff, and J.P.H. and M.K.Y.,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1"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4" w:name="Keywords_21"/>
      <w:bookmarkEnd w:id="194"/>
      <w:r>
        <w:rPr>
          <w:rFonts w:ascii="arial" w:eastAsia="arial" w:hAnsi="arial" w:cs="arial"/>
          <w:b/>
          <w:color w:val="000000"/>
          <w:sz w:val="20"/>
          <w:lang w:val="en-US" w:eastAsia="en-US" w:bidi="ar-SA"/>
        </w:rPr>
        <w:t>Damages — Categories — For personal injury — Loss of earning capacity — Aggravated damages — Exemplary or punitive damages — Tort law — Trespass — To person — Sexual assault.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5" w:name="Case Summary_20"/>
            <w:bookmarkEnd w:id="19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KS for damages resulting from alleged sexual assault against her by her grandmother, MKY, and the grandmother's husband, JPH. The grandmother cared for KS from time to time after her parents separated. KS claimed that the abuse began when she was four years old and continued until she was 13 years old. The alleged acts included fondling while she bathed and at other times. She claimed MKY and JPH always said she was dirty, smelly and needed to bathe. KS also alleged that MKY and JPH exposed themselves to her, engaged in sexually inappropriate behaviour in her presence, and that JPH tried to rape her. </w:t>
            </w:r>
            <w:r>
              <w:rPr>
                <w:lang w:val="en-US" w:eastAsia="en-US" w:bidi="ar-SA"/>
              </w:rPr>
              <w:cr/>
            </w:r>
          </w:p>
          <w:p>
            <w:pPr>
              <w:spacing w:before="120" w:line="260" w:lineRule="atLeast"/>
              <w:ind w:left="240"/>
              <w:jc w:val="both"/>
              <w:rPr>
                <w:lang w:val="en-US" w:eastAsia="en-US" w:bidi="ar-SA"/>
              </w:rPr>
            </w:pPr>
            <w:bookmarkStart w:id="196" w:name="Holdings of Court_17"/>
            <w:bookmarkEnd w:id="196"/>
            <w:r>
              <w:rPr>
                <w:rFonts w:ascii="arial" w:eastAsia="arial" w:hAnsi="arial" w:cs="arial"/>
                <w:color w:val="000000"/>
                <w:sz w:val="20"/>
                <w:lang w:val="en-US" w:eastAsia="en-US" w:bidi="ar-SA"/>
              </w:rPr>
              <w:t>HELD: The issue was whether the abused occurred.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KS had the burden of proof on a balance of probabilities but due to the seriousness of the allegations, a high standard of probability applied. JPH was a school teacher for 29 years with no similar allegations from students or other grandchildren. However, there were discrepancies in MKY and JPH's evidence regarding the amount of time KS spent with them. They tried to minimize it to create a misleading impression of no opportunity for abuse. In addition, JPH discarded some pages from his journal after he was served, and initially denied its existence. KS was consistent and clear in her evidence. Her evidence was also corroborated by MKY and JPH when they testified that she was usually dirty and needed a bath when she arrived at their home. The psychologist indicated she had symptoms consistent with sexual abuse. Accordingly, the abuse occurred. It was frequent over a long period by people in a position of trust. The effects were serious and ongoing, and KS's low self-esteem affected her employment prospects. KS was entitled to general and aggravated damages of $140,000, payable by JPH and MKY jointly and severally. Considering the breach of fiduciary duty, other aggravating factors, and the lack of criminal convictions or an apology, punitive damages of $25,000 were also warranted against each of MKY and JPH. Finally, $30,000 for loss of past and future income was also warranted, payable jointly and severally. </w:t>
            </w:r>
            <w:r>
              <w:rPr>
                <w:lang w:val="en-US" w:eastAsia="en-US" w:bidi="ar-SA"/>
              </w:rPr>
              <w:cr/>
            </w:r>
          </w:p>
          <w:p>
            <w:pPr>
              <w:rPr>
                <w:lang w:val="en-US" w:eastAsia="en-US" w:bidi="ar-SA"/>
              </w:rPr>
            </w:pPr>
          </w:p>
        </w:tc>
      </w:tr>
    </w:tbl>
    <w:p>
      <w:pPr>
        <w:jc w:val="both"/>
        <w:rPr>
          <w:lang w:val="en-US" w:eastAsia="en-US" w:bidi="ar-SA"/>
        </w:rPr>
      </w:pPr>
      <w:bookmarkStart w:id="197" w:name="Counsel_31"/>
      <w:bookmarkEnd w:id="1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2"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M.T. Mulligan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J.E. Bethell</w:t>
      </w:r>
      <w:r>
        <w:rPr>
          <w:lang w:val="en-US" w:eastAsia="en-US" w:bidi="ar-SA"/>
        </w:rPr>
        <w:cr/>
      </w:r>
    </w:p>
    <w:p>
      <w:pPr>
        <w:spacing w:after="240"/>
        <w:rPr>
          <w:lang w:val="en-US" w:eastAsia="en-US" w:bidi="ar-SA"/>
        </w:rPr>
      </w:pPr>
      <w:bookmarkStart w:id="198" w:name="Judgment_31"/>
      <w:bookmarkEnd w:id="198"/>
      <w:r>
        <w:pict>
          <v:line id="_x0000_s1163" style="position:absolute;z-index:25179340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9" w:name="H.J. HOLMES J."/>
            <w:bookmarkEnd w:id="199"/>
            <w:r>
              <w:rPr>
                <w:rFonts w:ascii="arial" w:eastAsia="arial" w:hAnsi="arial" w:cs="arial"/>
                <w:b/>
                <w:color w:val="000000"/>
                <w:sz w:val="30"/>
                <w:lang w:val="en-US" w:eastAsia="en-US" w:bidi="ar-SA"/>
              </w:rPr>
              <w:t>H.J. HOLMES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K.S., says that she was sexually abused by both her grandmother's husband, J.P.H., and her grandmother, M.K.Y., when as a child she was from time to time left in their care. The defendants deny all the sexual conduct and related sexual comments she alleges. The case turns on the credibility of the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K.S. was born in June 1979, and is now 24 years of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Her parents separated when she was about 1 1/2 years old. After the separation, K.S. lived primarily with her mother, N.S. At first, she spent every weekend with her father, B.S.; later this changed to every other weekend. At that stage, N.S. lived in first Richmond and then Surrey, British Columbia, and B.S. lived in New Westminster,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From the somewhat scant evidence as to this period, it appears that after the separation each of K.S.'s parents struggled to cope with life in general and the needs of their child in particular. M.K.Y., B.S.'s mother, was called upon with some frequency to assist, and she often looked after K.S. in her apartment in Burnaby, sometimes during the day and sometimes overnight. Many, but not all, of these visits occurred during the course of the weekends which K.S. spent with her father, and sometimes her father would also stay at M.K.Y.'s apartment.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mid-1980s, J.P.H. lived with M.K.Y. in the apartment; before that he had his own home but often visited.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frequency of K.S.'s visits to the apartment was the subject of some controversy in the trial, and I will say more about it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K.S. in her evidence described sexual assaults, sexual behaviour, and related sexual and demeaning comments in her presence by J.P.H. and M.K.Y. that began when she was about four years of age and continued until when about thirteen she refused further contact. She testified that those forms of behaviour, which I will describe as the abuse, were part of ordinary life when she was alone with one or both of them at the Burnaby apartment.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 of the abuse centred around bathing. K.S. testified that the defendants told her repeatedly that she was dirty and smelled and needed to take a bath. She testified that she was never allowed privacy in the bathroom. J.P.H. would come in to the bathroom to use the toilet, and would tell K.S. to watch. When K.S. covered her private areas with a facecloth, he told her to remove it and not use it as a blanket. J.P.H. would also purport to wash K.S., but would actually fondle and rub her private areas, while telling her that she was filthy, foul, and that she smelled.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K.S. testified that M.K.Y. behaved similarly toward her in the bathroom.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K.S. testified that in the room in which K.S. slept, M.K.Y. often told her to remove her clothing, and would then rub lotions and cream on her. She would instruct K.S. to open her legs and would rub her genitals with cream and powders. K.S. testified that M.K.Y. also told K.S. to rub cream on M.K.Y. everywhere that M.K.Y. had rubbed cream on 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K.S. testified that J.P.H. held her on his lap a great deal of the time, away from other adults. He would hold her so that she could not move, and would lick her neck and face, rub his lips in those areas, and kiss her on her lips. At one time when she was about six years of age, he put his tongue deep in her mouth. On many occasions, he put his hands under her clothing and massaged her chest, her bottom, and her genitals. She testified that on those occasions, she often felt his hips moving in a thrusting fashion toward her back, and that she has come to realize that he had an erection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Along with the acts of overt sexual abuse, K.S. described other behaviour of M.K.Y. and J.P.H. indicating an inappropriately sexualized relationship with the child 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testified that frequently during the approximately nine-year period in question, J.P.H. and M.K.Y. walked around the apartment naked or dressed in little clothing. She testified that each of them masturbated in her presence. J.P.H. told her that smart girls knew how to do that for a man, and that she would need to learn. She testified that J.P.H. and M.K.Y. talked to each other sexually while she was in the room, and would engage in sexual activity or intercourse in or near her bedroom while she was still awake and could hear.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K.S. testified that M.K.Y. and J.P.H. showed movies or television programs of a sexual nature, and instructed her to watch. They did not do this, or other acts associated with sex, if her father was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K.S. testified that M.K.Y. took her shopping and bought her clothing inappropriate to her youth. Back at the apartment, M.K.Y. and J.P.H. poured drinks and instructed K.S. to change into the clothing in front of them, and to model the clothing, including by bending over. As K.S. approached puberty, M.K.Y. and J.P.H. commented on her growing breasts in a manner that made her very uncomfortable.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K.S. testified that her relationship with M.K.Y. and J.P.H. effectively ended after an incident of sexual contact that occurred when she was about thirteen years of age, and M.K.Y. and J.P.H. visited her father's home on Pender Island. She testified that both M.K.Y. and J.P.H. were drinking heavily. After M.K.Y. went to bed in another room, J.P.H. came into K.S.'s bedroom, where she was in bed trying to sleep. She testified that he got into her bed behind her, pulled down the back of her pants, and tried to put his penis between her legs from behind. K.S. was frightened, ran out of a sliding door from her bedroom to the outdoors, and did not return that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K.S. refused ever to see M.K.Y. and J.P.H. again after the Pender Island incident. She has not seen them since, except in two confrontations, one of which I will refer to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Each of J.P.H. and M.K.Y. in their evidence denied any sexual activity with or in the presence of K.S. and all of the inappropriate behaviour or emotionally abusive comments alleged. In particular, they both denied that J.P.H. ever bathed K.S., sat her on his lap, or got into her bed with her. They testified that she was not allowed to lock the bathroom door because of an incident when she accidentally locked herself in. They also denied any incident on Pender Island, and that K.S. had ever left the Pender Island house during the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common ground that when K.S. was about thirteen, her behaviour changed significantly. She ran away from home, lived in a drug house in Victoria, and became a heavy user of drugs. She dropped out of school in Grade 9. She shaved her head and pierced her body. K.S. testified, and it was not disputed, that she was subjected to physical abuse, and in turn was violent and abusive. She was also self-abusive, and cut her own hands until they bled for, as she described it, the feeling of emotional relief that followed. She stole her mother's car, and wrecked it. She was promiscuous, and became pregnant at the age of fifteen.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Fortunately, K.S.'s pregnancy seems to have triggered an inner strength. She moved to Kelowna with her mother, who had recently separated from her new partner. In one year, she completed Grades 10, 11, and 12, and graduated from high school with honours. An outreach worker greatly assisted K.S.'s efforts to give up alcohol and illicit drugs. However, she suffered from depression and panic attacks, which increased her challenges at school and as a new mother.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she was pregnant and living with her mother, K.S. had one of her recurrent nightmares and as a result told her mother some but not all of the details of the abuse by J.P.H. and M.K.Y. that she now alleges.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 for determination is whether or not the various forms of abuse occurred. If they did, the claims in assault and battery are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note that there was no suggestion in the trial that K.S. as a child was subjected to sexual abuse by someone other than J.P.H. and M.K.Y., and has deliberately or mistakenly attributed it to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note also that although other torts are pleaded, the case was presented and argued primarily as one of sexual assault (or assault and battery). The specific elements of the other torts pleaded were not addressed.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burden of proof on the plaintiff is heavy. Although the general civil standard of proof on a balance of probabilities applies, it requires proof to a high standard of probability because of the seriousness of the allegations against J.P.H. and M.K.Y.: M.B. v. British Columbia </w:t>
      </w:r>
      <w:hyperlink r:id="rId645"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xml:space="preserve">, rev'd on other grounds </w:t>
      </w:r>
      <w:hyperlink r:id="rId121"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xml:space="preserve">, at [paragraph] 25. An exacting analysis of the evidence is required: J.R.I.G. v. Tyhurst </w:t>
      </w:r>
      <w:hyperlink r:id="rId646" w:history="1">
        <w:r>
          <w:rPr>
            <w:rFonts w:ascii="arial" w:eastAsia="arial" w:hAnsi="arial" w:cs="arial"/>
            <w:i/>
            <w:color w:val="0077CC"/>
            <w:sz w:val="20"/>
            <w:u w:val="single"/>
            <w:shd w:val="clear" w:color="auto" w:fill="FFFFFF"/>
            <w:lang w:val="en-US" w:eastAsia="en-US" w:bidi="ar-SA"/>
          </w:rPr>
          <w:t>(2003), 13 B.C.L.R. (4th) 81</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2003 BCCA 224</w:t>
        </w:r>
      </w:hyperlink>
      <w:r>
        <w:rPr>
          <w:rFonts w:ascii="arial" w:eastAsia="arial" w:hAnsi="arial" w:cs="arial"/>
          <w:color w:val="000000"/>
          <w:sz w:val="20"/>
          <w:lang w:val="en-US" w:eastAsia="en-US" w:bidi="ar-SA"/>
        </w:rPr>
        <w:t xml:space="preserve">, application for leave to appeal dismissed, </w:t>
      </w:r>
      <w:hyperlink r:id="rId647" w:history="1">
        <w:r>
          <w:rPr>
            <w:rFonts w:ascii="arial" w:eastAsia="arial" w:hAnsi="arial" w:cs="arial"/>
            <w:i/>
            <w:color w:val="0077CC"/>
            <w:sz w:val="20"/>
            <w:u w:val="single"/>
            <w:shd w:val="clear" w:color="auto" w:fill="FFFFFF"/>
            <w:lang w:val="en-US" w:eastAsia="en-US" w:bidi="ar-SA"/>
          </w:rPr>
          <w:t>[2003] S.C.C.A. No. 279</w:t>
        </w:r>
      </w:hyperlink>
      <w:r>
        <w:rPr>
          <w:rFonts w:ascii="arial" w:eastAsia="arial" w:hAnsi="arial" w:cs="arial"/>
          <w:color w:val="000000"/>
          <w:sz w:val="20"/>
          <w:lang w:val="en-US" w:eastAsia="en-US" w:bidi="ar-SA"/>
        </w:rPr>
        <w:t>, at [paragraph] 60-61.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Bethell for J.P.H. and M.K.Y. points out that because K.S.'s allegations lack detail as to dates and times, or even particular events or celebrations, the defendants' denials are necessarily general and largely unsubstantiated. He compared the task of mounting a defence to punching a marshmallow, in that there is little the defendants can do except baldly deny the allegations. I assess the evidence in light of these observations.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note also that certain features of the evidence reduce the likelihood of K.S.'s allegations being true. These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J.P.H. was a teacher for about thirty years. He taught boys and girls in a range of public school grades. He testified -- and there was no evidence otherwise -- that never in his career was there a suggestion of inappropriate behaviour with any of his students.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M.K.Y. has other grandchildren. She testified -- and there was no evidence otherwise -- that none of the other grandchildren have ever suggested impropriety on her or J.P.H.'s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Until her dramatic change in behaviour at about age thirteen, K.S. appears to have done reasonably well at school. There was no evidence that any of her teachers were concerned about possible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K.S. was about four years of age, possible sexual abuse was investigated, including by a child psychologist, but the investigation led to no concerns about J.P.H. or M.K.Y.. K.S.'s mother had become concerned about possible sexual abuse by K.S.'s father. K.S. had engaged in some sexual behaviour inappropriate to her age; medical examinations showed some vaginal redness. Her father's access was denied for about six months, and he was referred to a psychiatrist. Ultimately, the concerns about her father were removed.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Bethell refers also to the fact that after this investigation, K.S. was appropriately instructed to distinguish "good touching" from "bad touching". Despite this, she at no time resisted any of the sexual activity she now alleges. Nor did she report it to any of the adults in her life, including her mother with whom she had a close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Bethell also submits that the sexual abuse of a child by both of two grandparents, then in their 50s and early 60s, is inherently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consider all of these features of the evidence in assessing K.S.'s allegations of frequent sexual abuse over an extended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Bethell submits that in view of the very general character of the allegations, and the consequent difficulty in refuting them, any minor discrepancies between J.P.H.'s and M.K.Y.'s evidence indicate a lack of concoction and therefore lend credibility to their denials.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unable to agree. The discrepancies between J.P.H.'s and M.K.Y.'s evidence are significant of themselves. More importantly, I find that they form part of a larger effort to deny or minimize aspects of J.P.H.'s and M.K.Y.'s relationship with K.S., which would be unnecessary to deny or minimize if K.S.'s allegations were untrue.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main area of discrepancy relates to the amount of time K.S. spent with J.P.H. and M.K.Y., particularly on overnight visits without her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J.P.H. testified that K.S. visited the Burnaby apartment on only three occasions during the nine- to ten-year period in question, and slept over on only two of those occasions. This evidence was considered and emphatic. I say this while also having regard to J.P.H.'s evident frailty and health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M.K.Y. testified to many more overnight and daytime visits. She was reluctant to quantify them, or the number of occasions on which K.S.'s visits coincided with J.P.H.'s presence. Mr. Bethell in submissions described the long cross-examination in this area as a "badgering" one. It was lengthy and aggressive; however, it served the purpose of exposing M.K.Y.'s repeated resistance to any effort to quantify these key events, and her repeated effort -- often in the face of logic -- to minimize J.P.H.'s contact with 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apparent from M.K.Y.'s body language and demeanour during her cross-examination that she feels that her extensive efforts to help her son and his estranged wife with K.S.'s care have been insufficiently acknowledged or appreciated. This, together with the other evidence, leads me to conclude that K.S. visited the Burnaby apartment frequently over the nine- to ten-year period, and not on merely three occasions as J.P.H. insists.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noted earlier, J.P.H. denied ever bathing K.S. or sitting her on his lap. Further, he denied ever hugging her, and added that he had no reason to do so because she was not his own grandchild.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clear from photographs and other evidence that J.P.H. did not treat K.S. during her visits with the disinterest that he now suggests. M.K.Y. described him as typically sitting side by side with K.S.. A photograph shows them sitting comfortably close together, engaged in a mutual activity such as reading a book. I find that in giving his evidence J.P.H. concertedly minimized the amount and intimacy of his association with K.S. as a 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reach a similar conclusion with respect to M.K.Y.. Her evidence as to her own association with K.S. as a child pushed in two directions: on the one hand she was unwilling to agree to any large quantification of the number of visits, while on the other hand she displayed resentment at what she evidently took as lack of due appreciation for her extensive care of K.S. over the years. As to J.P.H.'s association with K.S., M.K.Y. was unwilling to agree to any quantification or range at all. She continually reached for reasons that he may have been absent from the apartment. None of these reasons were specific to K.S.'s visits, and they appeared to be less relevant to the actual frequency of K.S.'s visits than to M.K.Y.'s desire to minimize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that J.P.H. and M.K.Y. tried to create the misleading impression in their evidence that there was little opportunity for the sexual abuse K.S. describes to have taken place, particularly as it involved J.P.H..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J.P.H. kept some form of journal intermittently over the years, from which he ripped and threw away pages shortly after receiving K.S.'s writ and statement of claim in these proceedings. Cross-examination of each of J.P.H. and M.K.Y. about the journal and the pages removed exposed serious problems with the reliability of their respective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examination for discovery in October 2003, J.P.H. denied ever having kept a diary, journal, or record of any kind. In cross-examination at trial, he agreed that he had kept spiral-bound volumes of journals and had removed pages, and he said without explanation that he had not spoken falsely at the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J.P.H.'s evidence as to why and how he removed pages was self-contradictory, often non-responsive, and hostile. Private writings often raise understandable sensitivity. However, J.P.H. appeared unreasonably reluctant to allow the court to base its conclusions on a full evidentiary picture.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M.K.Y.'s evidence about J.P.H.'s diary was fraught with internal inconsistency. She quibbled about its existence, name, and extent, and whether or not she knew its content. She did confirm that she saw pages in the garbage after J.P.H. received notification of K.S.'s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M.K.Y. either knew the pages in the garbage to contain material damaging to J.P.H.'s defence, or believed, from her own knowledge of the alleged abuse, that they may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K.S.'s evidence was consistent and clear. She was not impeached on cross-examination. Her lack of precision as to dates, times, and the exact sequence of events is consistent with her age at the time of the events and the lapse of time since. She described the events without the embellishment that could have been added had she chosen to falsely play them up to her advantage.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None of the sexual events about which she testified were easy for her to recount; her demeanour convincingly indicated particular discomfort and embarrassment when she spoke about having to touch M.K.Y. sexually.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Certain areas of K.S.'s evidence rang particularly true or found corroboration in other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example, as I have mentioned above, K.S. testified that during the course of the abuse, J.P.H. and M.K.Y. told her that she was filthy, needed a bath, and was lucky that they would touch her. J.P.H. and M.K.Y. each denied saying such things. However, M.K.Y. testified that every time K.S. arrived for a visit -- and she later modified this to when K.S. arrived from her mother's care -- she needed a bath because she was not kept clean. J.P.H., cross-examined about the confrontation when K.S. challenged him about having sexually abused her as a child, agreed that he told her that her personal hygiene had been so bad that he couldn't have touched her. M.K.Y.'s and J.P.H.'s assertions at trial that K.S. was dirty as a child lend strength to K.S.'s evidence that they repeatedly told her that at the time, and undermine their own denials of so doing.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K.S. at the age of sixteen went to the Burnaby apartment to confront J.P.H. and M.K.Y., she tape-recorded the confrontation. Her mother, N.S., testified that she listened to the tape recording afterwards. K.S.'s willingness to tape-record her confrontation indicates her own confidence at the time in the position she took in confronting J.P.H. and M.K.Y..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Psychologist Dr. Jan Klinka testified as an expert in the psychological impacts of sexual abuse. He testified that K.S.'s symptoms of insomnia, nightmares, depression, high anxiety, panic attacks, relationship difficulties, low self-esteem, and self-abuse are very much consistent with sexual abuse. Of these symptoms, self-mutilation by cutting is particularly associated with sexual abuse. Dr. Klinka testified that K.S.'s description of her own self-mutilation as "like letting air out of a balloon" and that "it felt like a release" indicated a typical reaction of a sexual abuse victim.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reasons given above, I am unable to accept J.P.H.'s and M.K.Y.'s denials, and I accept K.S.'s evidence in its entirety. I find that the abuse K.S. described in her evidence did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reaching these conclusions, I bear in mind that the necessary exacting analysis of the evidence concerning the allegations of conduct of a criminal nature requires, among other things, recognition that a person accused of morally blameworthy conduct may lie without thereby increasing the likelihood that the person alleging the conduct is truthful: J.R.I.G. v. Tyhurst, supra, at [paragraph] 81.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clear that both J.P.H. and M.K.Y. have difficulties with alcohol. J.P.H., to his credit, openly acknowledges a serious problem with alcoholism, for which he has had residential and other treatment and assistance. M.K.Y. acknowledges drinking alcohol on an almost daily basis. She insisted in her evidence that she never over-drank when responsible for K.S.'s care. I take from this evidence, and its necessary implication, support for K.S.'s evidence that drinking was a regular part of life for J.P.H. and M.K.Y.. I find that this may have contributed, by reducing inhibitions, to the inappropriate sexualized atmosphere in the apartment in which the sexual abuse of K.S. then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made the finding that the abuse occurred without relying on the following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 videotape recording of K.S. as a young child, she appears to express reluctance to leave her father and to go to M.K.Y.'s care. I do not find the videotape helpful, because of K.S.'s age and the fact that her parents were separated at the time. Her desire to be with or near her father, rather than with her grandmother, was in my view a natural and immediate reaction of a small child, and does not support the inference Mr. Mulligan suggests.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also do not rely on the evidence as to some comments regarding sexual activity that K.S. is said to have made as a child (some of which implicated J.P.H. and M.K.Y.), some sexually inappropriate behaviour toward other family members, and her episode of vaginal redness as a young child. The evidence indicated that K.S.'s behaviour and condition led to investigation of her father, who was later cleared of suspicion. He did not testify in the trial. This area of evidence was in large part vague; some of it was hearsay; no explanation was given for why the circumstances described did not lead to an investigation of J.P.H. or M.K.Y. at the time. I do not find the evidence to be of sufficient quality to assist my task at this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abuse K.S. described, and which I have found occurred, involved frequent sexual assaults by each of J.P.H. and M.K.Y., often accompanied by demeaning and denigrating remarks to her. The abuse continued for nine or ten years, from her early childhood to her early teen years, when she ran out of the house at night and refused to see J.P.H. or M.K.Y. again except to confront them. The final incident involved an assault by J.P.H. alone and could well have progressed to sexual intercourse had K.S. not fled. While the sexual assaults therefore did not involve acts which are usually considered to be at the most serious end of the spectrum, the abuse was frequent, while she was very young, over a long period of time, and by persons in a position of trust. While not treated as a full sexual partner, the child K.S. was treated as a sexualized object in an adult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abuse had serious effects, many of them ongoing. Commendably, K.S. managed to overcome the initial, and more visible, effects, namely her serious alcohol and drug abuse and tendency to self-mutilation. However, despite her best efforts and some medical and counselling assistance, she still suffers from depression, panic attacks, low self-esteem, sleep difficulties, and problems with intimate relationships.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about 2002, K.S. successfully completed college training in website development and electronic publishing. She did not find employment in that specific field, but instead worked in a related field by contract for a single corporate client, and earned $36,000 per year. That experience seems to have been a mixed success, and came to an end about a month before the trial. Some of the difficulties flowed from K.S.'s unavailability, which in turn flowed from her depression, sleeping difficulties, and consequently poor concentration.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K.S.'s earlier employment was intermittent and relatively unskilled, in part-time or short-term waitress or retail sales positions while she was attending school or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K.S. testified, and I accept, that her ability to find suitable employment is limited by her ongoing poor self-esteem, and her fear that, once employed, what she sees as her inherent limitations as well as her depression will interfere with her ability to perform effectively. Her depression and sleep difficulties have in the past caused her to miss up to two weeks' work at a time. However, K.S. impresses as a capable and personable young woman, who with time and assistance will manage to overcome the worst of the effects of the sexual abuse upon her as a child. Her innate intellectual ability and drive are evident from the fact that on her return to high school education, and while pregnant with her son, she completed several high school years in one and graduated with honours.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Mulligan provided a helpful review of the jurisprudence regarding the range of damages, which Mr. Bethell agreed is applicable to the conduct alleged, and which I find occurred. It is clear from the cases of S.Y. v. F.G.C. </w:t>
      </w:r>
      <w:hyperlink r:id="rId648"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[1997] 1 W.W.R. 229</w:t>
        </w:r>
      </w:hyperlink>
      <w:r>
        <w:rPr>
          <w:rFonts w:ascii="arial" w:eastAsia="arial" w:hAnsi="arial" w:cs="arial"/>
          <w:color w:val="000000"/>
          <w:sz w:val="20"/>
          <w:lang w:val="en-US" w:eastAsia="en-US" w:bidi="ar-SA"/>
        </w:rPr>
        <w:t xml:space="preserve"> (C.A.) and M.M. v. R.F. </w:t>
      </w:r>
      <w:hyperlink r:id="rId649"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[1997] B.C.J. No. 2914</w:t>
        </w:r>
      </w:hyperlink>
      <w:r>
        <w:rPr>
          <w:rFonts w:ascii="arial" w:eastAsia="arial" w:hAnsi="arial" w:cs="arial"/>
          <w:color w:val="000000"/>
          <w:sz w:val="20"/>
          <w:lang w:val="en-US" w:eastAsia="en-US" w:bidi="ar-SA"/>
        </w:rPr>
        <w:t xml:space="preserve"> (C.A.), that non-pecuniary and aggravated damages for long-term sexual abuse of a child generally range from $100,000 and $250,000. Mr. Mulligan submits that the appropriate award here would be $175,000.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have reviewed those cases and the trial decisions applying them: see L.B. v. W.M., </w:t>
      </w:r>
      <w:hyperlink r:id="rId650"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[2003] B.C.J. No. 433</w:t>
        </w:r>
      </w:hyperlink>
      <w:r>
        <w:rPr>
          <w:rFonts w:ascii="arial" w:eastAsia="arial" w:hAnsi="arial" w:cs="arial"/>
          <w:color w:val="000000"/>
          <w:sz w:val="20"/>
          <w:lang w:val="en-US" w:eastAsia="en-US" w:bidi="ar-SA"/>
        </w:rPr>
        <w:t xml:space="preserve">, E.P. v. J.E.S., </w:t>
      </w:r>
      <w:hyperlink r:id="rId651" w:history="1">
        <w:r>
          <w:rPr>
            <w:rFonts w:ascii="arial" w:eastAsia="arial" w:hAnsi="arial" w:cs="arial"/>
            <w:i/>
            <w:color w:val="0077CC"/>
            <w:sz w:val="20"/>
            <w:u w:val="single"/>
            <w:shd w:val="clear" w:color="auto" w:fill="FFFFFF"/>
            <w:lang w:val="en-US" w:eastAsia="en-US" w:bidi="ar-SA"/>
          </w:rPr>
          <w:t>2002 BCSC 588</w:t>
        </w:r>
      </w:hyperlink>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[2002] B.C.J. No. 997</w:t>
        </w:r>
      </w:hyperlink>
      <w:r>
        <w:rPr>
          <w:rFonts w:ascii="arial" w:eastAsia="arial" w:hAnsi="arial" w:cs="arial"/>
          <w:color w:val="000000"/>
          <w:sz w:val="20"/>
          <w:lang w:val="en-US" w:eastAsia="en-US" w:bidi="ar-SA"/>
        </w:rPr>
        <w:t xml:space="preserve">, K.A.T. v. J.H.B. </w:t>
      </w:r>
      <w:hyperlink r:id="rId652" w:history="1">
        <w:r>
          <w:rPr>
            <w:rFonts w:ascii="arial" w:eastAsia="arial" w:hAnsi="arial" w:cs="arial"/>
            <w:i/>
            <w:color w:val="0077CC"/>
            <w:sz w:val="20"/>
            <w:u w:val="single"/>
            <w:shd w:val="clear" w:color="auto" w:fill="FFFFFF"/>
            <w:lang w:val="en-US" w:eastAsia="en-US" w:bidi="ar-SA"/>
          </w:rPr>
          <w:t>(1998), 51 B.C.L.R. (3d) 259</w:t>
        </w:r>
      </w:hyperlink>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[1998] B.C.J. No. 1141</w:t>
        </w:r>
      </w:hyperlink>
      <w:r>
        <w:rPr>
          <w:rFonts w:ascii="arial" w:eastAsia="arial" w:hAnsi="arial" w:cs="arial"/>
          <w:color w:val="000000"/>
          <w:sz w:val="20"/>
          <w:lang w:val="en-US" w:eastAsia="en-US" w:bidi="ar-SA"/>
        </w:rPr>
        <w:t xml:space="preserve"> (S.C.), C.R. v. R.R., </w:t>
      </w:r>
      <w:hyperlink r:id="rId653" w:history="1">
        <w:r>
          <w:rPr>
            <w:rFonts w:ascii="arial" w:eastAsia="arial" w:hAnsi="arial" w:cs="arial"/>
            <w:i/>
            <w:color w:val="0077CC"/>
            <w:sz w:val="20"/>
            <w:u w:val="single"/>
            <w:shd w:val="clear" w:color="auto" w:fill="FFFFFF"/>
            <w:lang w:val="en-US" w:eastAsia="en-US" w:bidi="ar-SA"/>
          </w:rPr>
          <w:t>2002 BCSC 1275</w:t>
        </w:r>
      </w:hyperlink>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[2002] B.C.J. No. 1984</w:t>
        </w:r>
      </w:hyperlink>
      <w:r>
        <w:rPr>
          <w:rFonts w:ascii="arial" w:eastAsia="arial" w:hAnsi="arial" w:cs="arial"/>
          <w:color w:val="000000"/>
          <w:sz w:val="20"/>
          <w:lang w:val="en-US" w:eastAsia="en-US" w:bidi="ar-SA"/>
        </w:rPr>
        <w:t xml:space="preserve">, M.E.W. v. R.A., </w:t>
      </w:r>
      <w:hyperlink r:id="rId654" w:history="1">
        <w:r>
          <w:rPr>
            <w:rFonts w:ascii="arial" w:eastAsia="arial" w:hAnsi="arial" w:cs="arial"/>
            <w:i/>
            <w:color w:val="0077CC"/>
            <w:sz w:val="20"/>
            <w:u w:val="single"/>
            <w:shd w:val="clear" w:color="auto" w:fill="FFFFFF"/>
            <w:lang w:val="en-US" w:eastAsia="en-US" w:bidi="ar-SA"/>
          </w:rPr>
          <w:t>2001 BCSC 863</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[2001] B.C.J. No. 1232</w:t>
        </w:r>
      </w:hyperlink>
      <w:r>
        <w:rPr>
          <w:rFonts w:ascii="arial" w:eastAsia="arial" w:hAnsi="arial" w:cs="arial"/>
          <w:color w:val="000000"/>
          <w:sz w:val="20"/>
          <w:lang w:val="en-US" w:eastAsia="en-US" w:bidi="ar-SA"/>
        </w:rPr>
        <w:t xml:space="preserve">, A.B. v. T.S., </w:t>
      </w:r>
      <w:hyperlink r:id="rId655" w:history="1">
        <w:r>
          <w:rPr>
            <w:rFonts w:ascii="arial" w:eastAsia="arial" w:hAnsi="arial" w:cs="arial"/>
            <w:i/>
            <w:color w:val="0077CC"/>
            <w:sz w:val="20"/>
            <w:u w:val="single"/>
            <w:shd w:val="clear" w:color="auto" w:fill="FFFFFF"/>
            <w:lang w:val="en-US" w:eastAsia="en-US" w:bidi="ar-SA"/>
          </w:rPr>
          <w:t>2000 BCSC 976</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[2000] B.C.J. No. 1271</w:t>
        </w:r>
      </w:hyperlink>
      <w:r>
        <w:rPr>
          <w:rFonts w:ascii="arial" w:eastAsia="arial" w:hAnsi="arial" w:cs="arial"/>
          <w:color w:val="000000"/>
          <w:sz w:val="20"/>
          <w:lang w:val="en-US" w:eastAsia="en-US" w:bidi="ar-SA"/>
        </w:rPr>
        <w:t xml:space="preserve">, and T.S. v. J.W.P., </w:t>
      </w:r>
      <w:hyperlink r:id="rId656" w:history="1">
        <w:r>
          <w:rPr>
            <w:rFonts w:ascii="arial" w:eastAsia="arial" w:hAnsi="arial" w:cs="arial"/>
            <w:i/>
            <w:color w:val="0077CC"/>
            <w:sz w:val="20"/>
            <w:u w:val="single"/>
            <w:shd w:val="clear" w:color="auto" w:fill="FFFFFF"/>
            <w:lang w:val="en-US" w:eastAsia="en-US" w:bidi="ar-SA"/>
          </w:rPr>
          <w:t>[1999] B.C.J. No. 709</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conclude that the circumstances of the abuse of K.S. and its effects upon her support an award of general, including aggravated, damages of $140,000. The effects of the abuse upon K.S. are very similar to those suffered by the plaintiff in L.B. v. W.M., supra; however, the abuse on K.S. took place over a slightly longer period of time and tarnished most of her childhood years, and in my view therefore warrants somewhat greater compensation than the $125,000 award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Each of J.P.H. and M.K.Y. engaged in tortious conduct that materially contributed to the harm K.S. suffered, and is fully responsible for her damages: M.M. v. R.F., supra, per Donald J.A. at [paragraph] 67. I have considered the helpful guidance of Smith J.A. in T.W.N.A. v. Canada (Ministry of Indian Affairs) </w:t>
      </w:r>
      <w:hyperlink r:id="rId657"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[paragraph] 14-37 which distinguishes causation, as an element of the tort founding liability, and the assessment of damages, by which the plaintiff is to be placed in his or her original position, absent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relation to causation, a defendant is fully liable for the plaintiff's damages flowing from the defendant's wrongful conduct. In relation to the assessment of damages, the plaintiff is not entitled to be placed in a position better than his or her original one, and matters such as a pre-existing condition may be taken into account in reducing the overall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M.K.Y. and J.P.H. committed some of the abusive acts together, and some of them separately from each other. I do not find that each of M.K.Y. and J.P.H. was specifically aware of every abusive act committed by the other. However, I do find that each was aware in general terms that the other engaged in conduct that was sexually abusive of K.S., and that the various abusive acts arose from the inappropriately sexualized environment I have described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those circumstances, there is no basis for apportioning the damages payable by each of J.P.H. and M.K.Y., and they will each be liable for the full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any event, to the extent that the sexual abuse inflicted by J.P.H. was more egregious than that inflicted by M.K.Y., M.K.Y. is liable as a fiduciary for his abuse. M.K.Y. was the family member entrusted with K.S.'s care from time to time, often for lengthy periods and over an extensive portion of K.S.'s childhood. I am satisfied that the relationship involved power and discretion on one side, and dependency and vulnerability on the other, and fell to be characterized as a fiduciary relationship: Frame v. Smith, </w:t>
      </w:r>
      <w:hyperlink r:id="rId65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 xml:space="preserve"> at [paragraph] 60, and K.L.B. v. British Columbia </w:t>
      </w:r>
      <w:hyperlink r:id="rId659"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aff'd </w:t>
      </w:r>
      <w:hyperlink r:id="rId660"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(per Mackenzie J.A. at [paragraph] 19). I do not find that J.P.H. stood in a fiduciary relationship to 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M.K.Y.'s knowing turning of a blind eye to J.P.H.'s abuse breached her fiduciary duty to K.S.: K.L.B. v. British Columbia, supra, per McLachlin C.J. at [paragraph] 49.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abuse has the aggravating features I described earlier, and requires censure through an award of punitive damages. There have been no criminal conviction, no apology for the harm inflicted on K.S., and indeed little inquiry as to her welfare. Punitive damages will be set at $25,000 in respect of each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K.S. advances claims for loss of both past and future income. Mr. Mulligan acknowledges that her future is difficult to predict. More problematic is that the evidence concerning her past and present financial circumstances was less than ample.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I am satisfied from the evidence that K.S.'s ability to earn an income has been and will continue to be limited over the short- to medium-term by the ongoing effects of the abuse. There will be an award for combined past and future income loss in the amount of $30,000, reflecting an average loss of $5,000 per year since her graduation in 2002 at the age of 21 from the college programme, and continuing for four more years to come.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abuse K.S. alleges occurred, and that J.P.H. and M.K.Y. are responsible for her damages in the following amounts: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332"/>
        <w:gridCol w:w="156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w:t>
            </w:r>
          </w:p>
        </w:tc>
        <w:tc>
          <w:tcPr>
            <w:tcW w:w="522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damages, including</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aggravated damages (joint and several</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responsibility)</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$140,000</w:t>
            </w:r>
          </w:p>
        </w:tc>
        <w:tc>
          <w:tcPr>
            <w:tcW w:w="215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542"/>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b)</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and future loss of capacity to earn</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(joint and several responsibility)</w:t>
            </w:r>
          </w:p>
        </w:tc>
        <w:tc>
          <w:tcPr>
            <w:tcW w:w="133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$30,000</w:t>
            </w:r>
          </w:p>
        </w:tc>
        <w:tc>
          <w:tcPr>
            <w:tcW w:w="215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019"/>
        <w:gridCol w:w="1882"/>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w:t>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Punitive damages (each defendant)</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$25,000</w:t>
            </w:r>
          </w:p>
        </w:tc>
        <w:tc>
          <w:tcPr>
            <w:tcW w:w="215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H.J. HOLMES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LLS America, LLC (Trustee of) v. Bjarnason, [2016] B.C.J. No. 1036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September 3, 4 and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S154492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P. Kriegman, solely in his capacity as court-appointed Chapter 11 Trustee for LLS America, LLC, Plaintiff, and Rory Bjarnason and Cathy Bjarnason,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2"/>
      <w:bookmarkEnd w:id="200"/>
      <w:r>
        <w:rPr>
          <w:rFonts w:ascii="arial" w:eastAsia="arial" w:hAnsi="arial" w:cs="arial"/>
          <w:b/>
          <w:color w:val="000000"/>
          <w:sz w:val="20"/>
          <w:lang w:val="en-US" w:eastAsia="en-US" w:bidi="ar-SA"/>
        </w:rPr>
        <w:t>Conflict of laws — Foreign judgments — Foreign judgments — Recognition of judgments of foreign state or territory — Application by defendants to set aside registration of Washington District Court judgment dismissed — Judgment arose from U.S. proceedings involving Ponzi scheme, and permitted plaintiff trustee in bankruptcy to recover $228,900 from defendants — Defendants attorned to jurisdiction of Washington court and had opportunity to be heard — Defendants chose to stop communicating with counsel and did not appear at trial — Appropriate for Washington Court to exercise jurisdiction, and defendants' allegations of fraud were baseless — No pending appeal, and not repugnant to Canadian legal system for all amounts paid through scheme to be recovered subject to good faith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1"/>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set aside the registration of the Washington District Court judgment. The plaintiff had registered the judgment to recover $228,900 from the defendants. The Washington judgment arose from extensive U.S. proceedings involving a multi-million dollar Ponzi scheme. The plaintiff was the trustee in bankruptcy of the company that facilitated the scheme using the appearance of a payday loan company. The plaintiff filed an adversary complaint in the bankruptcy proceedings, claiming the defendants had received fraudulent transfers from the bankrupt, and sought to recover the funds for the benefit of the estate. The defendants' motion to dismiss the adversary proceeding was dismissed and they then attorned the jurisdiction of the bankruptcy court, and district court to which the proceeding was transferred. The defendants' pleadings admitted receiving funds, but claimed they were lenders, and denied the transfers were fraudulent. Numerous steps were taken in the proceeding, but then the defendants stopped communicating with counsel and did not personally attend trial, participate or call evidence. The court thus concluded the defendants had not met their burden of establishing they acted in good faith, and the plaintiff was entitled to recover all transfers. The defendants argued the transfers occurred in Canada, so the Washington court should not have taken jurisdiction, and their counsel was representing the investor group and contact with them ceased. The defendants' former counsel deposed the defendants ceased all communications after mediation, despite counsel's repeated attempts to contact them. The defendants did not set out how the solicitor-client relationship was terminated, any steps taken to find other counsel or take charge of the file, or to contact the court.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18"/>
            <w:bookmarkEnd w:id="20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did not initially attorn to the jurisdiction of the Washington court, but did subsequently by filing an answer admitting jurisdiction, responding to interrogatories, examining the court-appointed examiner and filing exhibits and witness list. The firm that had been acting for the defendants and other investors for over two years had been involved in many steps, and the defendants were not entitled to simply become elusive. There was no evidence the defendants' attornment was anything but voluntary and they were represented at the time. The defendants had the opportunity to be heard and show they took in good faith for reasonable value, but did not do so. Assertions the defendants now made in the affidavit, about discrepancies and errors in the examiner's reports could have been made at trial. It was not uncommon for counsel to act for more than one person, and the defendants did not deny receiving documents and interrogatories, which showed the defendants were engaged in litigation. No evidence the firm did not discharge its duties properly and professionally, and if the defendants had complaints, that was a matter for another proceeding. The defendants' attornment conferred jurisdiction on the Washington court. The bankrupt's and related company's significant activities took place in Washington state and gave rise to the Ponzi scheme, so it made sense for the court to exercise jurisdiction. The defendants appeared in District Court by taking steps to defend the adversary claim. The defendants' claim the judgment was obtained by fraud was baseless. They could not rely on their own failings to contact counsel or the court or find new counsel, and if they had not ceased to drive their case, they could have presented evidence at trial. There was no pending appeal and the time for appeal had passed. It was not repugnant to the Canadian legal system that the gains of innocent persons in a Ponzi scheme be returned for the benefit of all those harmed, and that all amounts be clawed back subject to the good faith defence. The defendants had the opportunity to be heard but were not due to their own actions. None of the provisions of s. 29(6) prohibited registration of the judgment. The defendants' attempt to raise the substantive consolidation argument for the first time at this late stage, which was contrary to their previous position, unfair to the plaintiff and an impermissible attempt to re-litigate.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6"/>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Bankruptcy Code (Chapter 11), s. 544, s. 548 Rs. 550, s. 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Enforcement Act, R.S.B.C. 196, c. 78, s. 29(6)(a), s. 29(6)(b), s. 29(6)(c), s. 29(6)(d), s. 29(6)(e), s. 29(6) (f), s. 29(6)(g)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Revised Code of Washington, Ch. 19.40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32"/>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(Respondent): J.P. Sullivan, S.T.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(Applicants): D.K. Fitzpatrick.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2"/>
      <w:bookmarkEnd w:id="205"/>
      <w:r>
        <w:pict>
          <v:line id="_x0000_s1168"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G.S. FUNT J."/>
            <w:bookmarkEnd w:id="206"/>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Under the relevant legislation the plaintiff has registered, without notice, a judgment dated January 15, 2015 of the United States District Court for the Eastern District of Washington ("District Court") to recover from the defendants, jointly and severally, $228,900 CAD, plus interest and costs (the "Washington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matter at bar, the defendants have applied to set aside the registration of the Washington Judgment and to obtain ancillary relief, including a hearing in British Columbia, concerning the funds they say they advanced to certain Canadian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Washington Judgment arises from extensive U.S. legal proceedings involving a multi-million dollar Ponzi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attorned to the jurisdiction of the District Court and had the opportunity, which they did not take, to show that the funds that they advanced were advanced in good faith (based on the test of a reasonable person in the defendants' position). If they had satisfied the District Court that the funds were advanced in good faith, the Washington Judgment would not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relevant statutory provision is s. 29(6) of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registration must not be made if the court to which the application for registration is made is satisfied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court acted either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jurisdiction under the conflict of laws rules of the court to which application is made,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authority, under the law in force in the state where the judgment was made, to adjudicate concerning the cause of action or subject matter that resulted in the judgment or concerning the person of the judgment debtor,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debtor, being a person who was neither carrying on business nor ordinarily resident in the state of the original court, did not voluntarily appear or otherwise submit during the proceedings to the jurisdiction of that court,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debtor, being the defendant in the proceedings, was not duly served with the process of the original court and did not appear, even though he or she was ordinarily resident or was carrying on business in the state of that court or had agreed to submit to the jurisdiction of that court,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obtained by fraud,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appeal is pending or the time in which an appeal may be taken has not expired,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for a cause of action that for reasons of public policy or for some similar reason would not have been entertained by the registering court, or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debtor would have a good defence if an action were brought on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AFFIDAVITS AND THE RULE IN </w:t>
      </w:r>
      <w:r>
        <w:rPr>
          <w:rFonts w:ascii="arial" w:eastAsia="arial" w:hAnsi="arial" w:cs="arial"/>
          <w:b/>
          <w:i/>
          <w:color w:val="000000"/>
          <w:sz w:val="20"/>
          <w:lang w:val="en-US" w:eastAsia="en-US" w:bidi="ar-SA"/>
        </w:rPr>
        <w:t>BLATCH V. ARCHER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application and the plaintiff's response were supported by affidavits. In considering the sworn statements, the rule in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1 Cowp. 63, 98 E.R. 969 at 970 has particular application. In </w:t>
      </w:r>
      <w:r>
        <w:rPr>
          <w:rFonts w:ascii="arial" w:eastAsia="arial" w:hAnsi="arial" w:cs="arial"/>
          <w:i/>
          <w:color w:val="000000"/>
          <w:sz w:val="20"/>
          <w:lang w:val="en-US" w:eastAsia="en-US" w:bidi="ar-SA"/>
        </w:rPr>
        <w:t>Blatch</w:t>
      </w:r>
      <w:r>
        <w:rPr>
          <w:rFonts w:ascii="arial" w:eastAsia="arial" w:hAnsi="arial" w:cs="arial"/>
          <w:color w:val="000000"/>
          <w:sz w:val="20"/>
          <w:lang w:val="en-US" w:eastAsia="en-US" w:bidi="ar-SA"/>
        </w:rPr>
        <w:t>, Lord Mansfield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certainly a maxim that all evidence is to be weighed according to the proof which it was in the power of one side to have produced, and in the power of the other to have contradicted.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FACTUAL BACKGROUND</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is the trustee of the estate of LLS America, LLC ("LLS"). He was court-appointed under Chapter 11 of the U.S. </w:t>
      </w:r>
      <w:r>
        <w:rPr>
          <w:rFonts w:ascii="arial" w:eastAsia="arial" w:hAnsi="arial" w:cs="arial"/>
          <w:i/>
          <w:color w:val="000000"/>
          <w:sz w:val="20"/>
          <w:lang w:val="en-US" w:eastAsia="en-US" w:bidi="ar-SA"/>
        </w:rPr>
        <w:t>Bankruptcy Code</w:t>
      </w:r>
      <w:r>
        <w:rPr>
          <w:rFonts w:ascii="arial" w:eastAsia="arial" w:hAnsi="arial" w:cs="arial"/>
          <w:color w:val="000000"/>
          <w:sz w:val="20"/>
          <w:lang w:val="en-US" w:eastAsia="en-US" w:bidi="ar-SA"/>
        </w:rPr>
        <w:t xml:space="preserve"> ("Chapter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are a married couple living in Abbotsford, British Columbia. Mr. Bjarnason is a civil engineer who is a manager of a pressure wash company. Ms. Bjarnason is a homemaker with a high school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found by the District Court, LLS represented a Ponzi scheme constructed by a Ms. Doris Nelson (formerly Foster). LLS operated using the appearance of a payday loan business, Little Loan Shoppe.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21, 2009, LLS filed a voluntary petition under Chapter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Richard L. Mount, counsel with Witherspoon Kelley (attorneys in the State of Washington for the plaintiff), in his first affidavit (May 26, 2015), summarizes the key legal proceedings: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16, 2011, the Plaintiff filed an Adversary Complaint for Avoidance of Transfers and Other Relief (the "Complaint") in the Bankruptcy Proceedings, claiming under Sections 544, 548, 550 and 551 of the U.S. </w:t>
      </w:r>
      <w:r>
        <w:rPr>
          <w:rFonts w:ascii="arial" w:eastAsia="arial" w:hAnsi="arial" w:cs="arial"/>
          <w:i/>
          <w:color w:val="000000"/>
          <w:sz w:val="20"/>
          <w:lang w:val="en-US" w:eastAsia="en-US" w:bidi="ar-SA"/>
        </w:rPr>
        <w:t>Bankruptcy Code</w:t>
      </w:r>
      <w:r>
        <w:rPr>
          <w:rFonts w:ascii="arial" w:eastAsia="arial" w:hAnsi="arial" w:cs="arial"/>
          <w:color w:val="000000"/>
          <w:sz w:val="20"/>
          <w:lang w:val="en-US" w:eastAsia="en-US" w:bidi="ar-SA"/>
        </w:rPr>
        <w:t xml:space="preserve"> and Chapter 19.40 of the </w:t>
      </w:r>
      <w:r>
        <w:rPr>
          <w:rFonts w:ascii="arial" w:eastAsia="arial" w:hAnsi="arial" w:cs="arial"/>
          <w:i/>
          <w:color w:val="000000"/>
          <w:sz w:val="20"/>
          <w:lang w:val="en-US" w:eastAsia="en-US" w:bidi="ar-SA"/>
        </w:rPr>
        <w:t>Revised Code of Washington</w:t>
      </w:r>
      <w:r>
        <w:rPr>
          <w:rFonts w:ascii="arial" w:eastAsia="arial" w:hAnsi="arial" w:cs="arial"/>
          <w:color w:val="000000"/>
          <w:sz w:val="20"/>
          <w:lang w:val="en-US" w:eastAsia="en-US" w:bidi="ar-SA"/>
        </w:rPr>
        <w:t xml:space="preserve"> that the Defendants received fraudulent transfers from the bankrupt, LLS, or related companies, thus commencing an adversary proceeding (the "Adversary Proceeding"). By means of this Adversary Proceeding, the Plaintiff sought to recover funds from the Defendants for the bankrupt estate.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Complaint was filed in the Bankruptcy Court under Adversary Proceeding No. 11- 80153-PCW. The Bankruptcy Court is a division of the U.S. District Court and is, as such, part of the U.S. Federal Court system. U.S. District Courts have original but not exclusive jurisdiction over all civil proceedings arising under title 11, being the U.S. </w:t>
      </w:r>
      <w:r>
        <w:rPr>
          <w:rFonts w:ascii="arial" w:eastAsia="arial" w:hAnsi="arial" w:cs="arial"/>
          <w:i/>
          <w:color w:val="000000"/>
          <w:sz w:val="20"/>
          <w:lang w:val="en-US" w:eastAsia="en-US" w:bidi="ar-SA"/>
        </w:rPr>
        <w:t>Bankruptcy Code.</w:t>
      </w:r>
      <w:r>
        <w:rPr>
          <w:rFonts w:ascii="arial" w:eastAsia="arial" w:hAnsi="arial" w:cs="arial"/>
          <w:color w:val="000000"/>
          <w:sz w:val="20"/>
          <w:lang w:val="en-US" w:eastAsia="en-US" w:bidi="ar-SA"/>
        </w:rPr>
        <w:t xml:space="preserve"> The U.S. District Courts may refer matters arising under or relating to title 11 to their bankruptcy division, the Bankruptcy Courts. In the adversary matters relating to LLS, the U.S. District Court for the Eastern District of Washington (the "District Court") referred pre-trial matters to the Bankruptcy Court. After the pre-trial matters, proceedings were then withdrawn and transferred to the District Court for the purposes of trial and final judgment. In this case, in keeping with applicable U.S. law, the Adversary Proceeding was commenced in the Bankruptcy Court and then transferred to the District Court for trial and final judgment. The District Court judgment thus bears the main Bankruptcy Case number, the Bankruptcy Court Adversary Proceeding number, and the District Court Case number, even though it was a single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state that they "invested $168,000 and we recovered $177,600 for a total gain of $9,600 based on the deposit slips and the repayments which we received." They also state that there is "an additional $88,400 of withdrawals" from their bank account for which they assert "a material portion ... went to LLS as additional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advances bore high rates of interest (as high as 60% per annum) and were, with respect to some early advances, secured by promissory notes.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second affidavit (August 7, 2015), Mr. Bjarnason states that the defendants retained a Washington State law firm, Foster Pepper PLLC, as a result of an August 1, 2011 letter from the U.S. Department of Justice to Ms. Bjarnason. In this letter, the Department of Justice stated that Ms. Bjarnason may have been a victim of a crime. Mr. Bjarnason also states that he consulted with a group referred to as the "Investor Agency". He says "I did not know about the adversary claim when I retained Foster Pepper who told me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Investor Agency, Mr. Bjarnason in his first affidavit (July 8, 2015) states: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Under that arrangement, the instructions as to the tactical approaches to the lawsuit were not made by me, but were made by the Investor Agency. For the most part, the steps taken on behalf of the group were similar if not uniform.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13, 2011, Mr. Dillon E. Jackson of Foster Pepper filed a notice of appearance in the United States Bankruptcy Court for the Eastern District of Washington at Spokane. The notice of appearance reads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CLERK OF THE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TO:</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Parties of Record.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AND EACH OF YOU WILL PLEASE TAKE NOTICE THAT Defendants CATHY and RORY BJARNASON, hereby appear in the above-entitled cause, without waiving objection to improper service, venue or jurisdiction, and request that all further papers and pleadings herein, except original process be served upon the undersigned attorneys at the address above stated.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Motion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December 15, 2011, the defendants filed a motion to dismiss the adversary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22, 2012, the Bankruptcy Court heard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19, 2012, the motion to dismiss was denied. The Bankruptcy Court, in its Memorandum Decision, described the grounds for dismissal: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grounds for dismissal in the subject motion are: (1) ineffective service of process; (2) improper extraterritorial application of United States bankruptcy law; and (3) failure to state the alleged fraud with particularity as required by Fed. R. Civ. P. (9)(b).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9, 2013, the order denying the motion was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23, 2013, the defendants sought leave to appeal the order denying their motion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8, 2013, the leave application was denied. The defendants took no further steps with respect to their motion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steps leading to trial, the defendants attorned to the jurisdiction of the District Court (and the Bankruptcy Court).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Key Proceedings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December 30, 2011, the defendants moved to have the adversary complaint heard, in the main, by the District Court rather than the Bankruptcy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their filed written argument in District Court, the defendants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reference is not withdrawn as to the six causes of action that are the subject of this Motion, the parties face the prospect of trying the cases twice. The potential for double litigation exposes the Plaintiff and Moving Parties to additional costs and delays. Delay will prejudice all the parties and will delay the conclusion of the Main Case. Moving Parties believe the best interests of the parties will be served by withdrawal of the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recent Supreme Court decision in </w:t>
      </w:r>
      <w:r>
        <w:rPr>
          <w:rFonts w:ascii="arial" w:eastAsia="arial" w:hAnsi="arial" w:cs="arial"/>
          <w:i/>
          <w:color w:val="000000"/>
          <w:sz w:val="20"/>
          <w:lang w:val="en-US" w:eastAsia="en-US" w:bidi="ar-SA"/>
        </w:rPr>
        <w:t>Stern</w:t>
      </w:r>
      <w:r>
        <w:rPr>
          <w:rFonts w:ascii="arial" w:eastAsia="arial" w:hAnsi="arial" w:cs="arial"/>
          <w:color w:val="000000"/>
          <w:sz w:val="20"/>
          <w:lang w:val="en-US" w:eastAsia="en-US" w:bidi="ar-SA"/>
        </w:rPr>
        <w:t>, it appears that only the district court may issue final judgments with respect to six out of the seven causes of action in this adversary proceeding. Due to the significant cost and delay to the parties if these matters were litigated twice, there is cause to withdraw the reference so the parties can proceed to obtain a final judgment from this Court as soon and as efficiently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25, 2012, the District Court allowed the defendants' motion in part. Mr. Sullivan, counsel at bar for the plaintiff, in written submissions, summarizes the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motion to withdraw was granted in part. The court withdrew the causes of action requested to the District Court for the purposes of trial and final judgment, but referred the matters back to the Bankruptcy Court for all matters prior to trial, including discovery. The District Court held that it would review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any final judgment on a dispositive motion, and such a judgment would only be entered by the District Court after considering the Bankruptcy Court's proposed findings of fact and conclusions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two common issues, Mr. Mount in his first affidavit (May 26, 2015) summarizes a December 3, 2012 motion brought by the plaintiff:</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moved in the Bankruptcy Court for an order of partial summary judgment on the issues of whether LLS was: (a) operated as a Ponzi scheme; and (b) insolvent since its inception. All of the pending adversary actions, including this Adversary Action, were consolidated under Bankruptcy Court Case No. 11-80299-PCW and District Court Case No. 11-CV-357-RMP for purposes of the summary judgment motion. Mr. Jackson of Foster Pepper on behalf of all his clients, including the Defendants, opposed the Plaintiffs motion on the issues of Ponzi scheme and insolvency. The Defendants filed a response to the Plaintiffs summary judgment motion opposing a finding of a Ponzi scheme and insolvency. In support of the response, Foster Pepper filed, on behalf of a variety of defendants including the Defendants, declarations from lay and expert witnesses. The Defendants moved in the Bankruptcy Court for a continuance (adjournment) of the original summary judgment hearing so that the Defendants and the other defendants represented by Foster Pepper could conduct discovery on the issue of whether LLS was operated as a Ponzi scheme and insolvent since its inception. The Bankruptcy Court ultimately continued (adjourned) the hearing on the Plaintiffs motion from January 22, 2013 to June 13, 2013, to allow for additional discovery by all defendants, including the Defendants.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LLS was found by the Bankruptcy Court to be a Ponzi scheme. The Ponzi scheme finding was adopted by the District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Bankruptcy Court found that LLS was insolvent since its inception and this finding was also adopted by the District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described above, the adversary complaint was filed July 16, 2011. Paragraph 2 of the adversary complaint reads: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[Bankruptcy] Court has subject matter jurisdiction pursuant to 28 U.S.C. s. 1334(b) and alternatively under 28 U.S.C. s. 157(c). This matter is a core proceeding under 28 U.S.C. s. 157(b)(2)(H) and (O).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5, 2012, approximately two weeks after the defendants' motion to dismiss was denied, the defendants filed an answer to the adversary complaint. With respect to paragraph 2 of the adversary complaint, the defendants pleaded:</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admit [the Bankruptcy Court] has subject matter jurisdiction pursuant to the Order Granting Joinder and Withdraw of Reference and Referring Back to Bankruptcy Court for Further Proceedings (the "Order") issued by the United States District Court. (E.D. Wash. Case No. 12-cv-11-RMP, Docket No. 15). Defendants admit this matter is a core proceeding under 28 U.S.C. s. 157(b)(2)(H) and (O). Defendants deny the remaining allegations of Paragraph 2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26, 2012, the defendants filed an amended answer. The amendments did not alter paragraph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amended answer, the defendants also pleaded (as they had in their original answer):</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admit that they were transferees of transfers made by LLS America and/or LLS America Companies, but deny that said transfers were fraudulent. Plaintiff's allegation that the Defendants were so-called "lenders" to LLS American and/or LLS America Companies is vague and ambiguous, and Defendants therefore deny that allegation.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admit lending money to LLS America and/or the LLS America Companies. Defendants admit receiving payments from LLS America and/or the LLS America Companies. Plaintiffs allegation about "the 'loan' or investment arrangement described herein" is vague and ambiguous, and Defendants therefore deny that allegation.</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admit being paid amounts by LLS America and/or the LLS America Companies on account of loans previously made by Defendants to LLS America and/or the LLS America Companies.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admit receiving from LLS America and/or LLS America Companies transfers. Defendants otherwise lack knowledge or information sufficient to form a belief as to the truth of the allegations in Paragraph 16 of the Complaint and therefore deny them. [The plaintiff had stated that the defendants received transfers of not less than approximately $206,500 CAD].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deny the allegations in Paragraph 17 of the Complaint [a Ponzi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amended answer, as one of their affirmative defences, the defendants pleaded (as they had in their original answer):</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Complaint, and each cause of action or purported cause of action contained therein, is barred because Defendants took in good faith and for a reasonably equivalent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had asked for a jury trial. On May 7, 2013, the defendants agreed to withdraw their demand for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served two sets of interrogatories and requests for production of documents on the defendants. With respect to the first set, the defendants responded in April and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July 12, 2013, the defendants declared (personally and in writing) that their answers to the second set of interrogatories and production of documents were true and correct (On July 12, 2013, they also provided a second supplement to the first set of interrogatories). Mr. Coady, counsel for Foster Pepper certified that, to the best of his firm's knowledge, information, and belief, formed after reasonable inquiry, the answers were complete and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interrogatories dealt with matters such as the source of the defendants' funds, discussions with Ms. D. Nelson regarding the defendants' investment, and details of the defendants'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second set of interrogatories, the plaintiff defined "debtor" as follows: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"Debtor" means LLS AMERICA, LLC; D &amp; D and ASSOCIATES, LLC; TEAM SPIRIT AMERICA, LLC; LLS CANADA, LLC; LITTLE LOAN SHOPPE AMERICA, LLC; LITTLE LOAN SHOPPE, LTD; 639504BC, LTD; LITTLE LOAN SHOPPE CANADA, LLC; 0738106BC, LTD; 0738116BC, LTD; 0738126BC, LTD; 360 NORTHWEST NETWORKS, LLC and LLS NORTH AMERICA, LLC, and also means </w:t>
      </w:r>
      <w:r>
        <w:rPr>
          <w:rFonts w:ascii="arial" w:eastAsia="arial" w:hAnsi="arial" w:cs="arial"/>
          <w:color w:val="000000"/>
          <w:sz w:val="20"/>
          <w:u w:val="single"/>
          <w:lang w:val="en-US" w:eastAsia="en-US" w:bidi="ar-SA"/>
        </w:rPr>
        <w:t>any one or more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foregoing definition served to include various Canadian entities. The defendants say that the two promissory notes issued to them were from Canadian entities (Little Loan Shoppe Ltd. and 639504 B.C. Ltd.) and all advances were to Canadian entities. The defendants have uncashed cheques from 738116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Little Loan Shoppe Ltd., 639504 B.C. Ltd. and 738116 B.C. Ltd. were dissolved for failing to file returns with the Registrar of Companies on January 2, 2006, August 6, 2007, and May 16, 2011,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way of general objections in the second set of interrogatories, the defendants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RORY AND CATHY BJARNASON ("Respondent"), objects to each of Plaintiff Bruce Kriegman's Second Set of Interrogatories and Requests for Production ("Plaintiffs Second Discovery Requests"), and to the definitions and instructions thereto, to the extent those interrogatories, requests for production, definitions and instructions: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vague, ambiguous, undefined or argumentative terms;</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call for the production of documents or information constituting, reflecting or disclosing any information protected by any immunity or privilege, including but not limited to attorney work product, attorney-client communications, and/or services performed in anticipation of litigation or the rendering of legal advice;</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call for the production of documents or information constituting, reflecting or disclosing any confidential personal or business information;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require the production or description of documents in the possession, custody and control of persons other than Respondent;</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require production or description of documents which the Plaintiff or his attorneys or agents already have in their possession and any documents not within Respondent's exclusive control and to which the Plaintiff, his attorneys, or his agents have equal or superior access;</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require Respondent to provide any information or produce documents not relevant nor reasonably calculated to lead to the discovery of admissible evidence;</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require a description of documents that are being produced by the Respondent;</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require the Respondent to provide answers or documents on behalf of or in conjunction with any other party; and</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impose any burden upon the Respondent not required by the applicable provisions of the Federal Rules of Civil Procedure, Local Rules, and/or Court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Respondent objects to the Definitions set forth in Plaintiff's Second Discovery Requests to the extent they are overly broad, unduly burdensome, and impose a burden on Respondent that is greater than what is required by the Federal Rules of Civil Procedure, Respondent also objects to each definition to the extent it is vague or ambiguous, and thus likely to lead to a confusing, misleading, inaccurate, or incomplete answer or response. Specifically, Respondent objects to the following definitions</w:t>
      </w:r>
      <w:r>
        <w:rPr>
          <w:rFonts w:ascii="arial" w:eastAsia="arial" w:hAnsi="arial" w:cs="arial"/>
          <w:color w:val="000000"/>
          <w:sz w:val="20"/>
          <w:lang w:val="en-US" w:eastAsia="en-US" w:bidi="ar-SA"/>
        </w:rPr>
        <w:t>:</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to the extent Plaintiff's definition purports to define a document differently than the definition provided by the Federal Rules of Civil Procedure, or purports to require production of electronically stored information that Respondent is not required by applicable civil rules to search and/ or produce.</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 to the extent Plaintiff's definition is vague, ambiguous and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these objections or responses shall waive any attorney-client privilege, work product protection, right, privacy, confidentiality, or any other applicable privilege doctrine, or protection. Any information or document inadvertently produced that contains such privileged, protected, or confidential information shall not be deemed a waiver of any such privilege, protection, or confidentiality.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Respondent reserves the right to challenge the competency, relevance, materiality, and admissibility of any information or documents Respondent produces in response to these interrogatories.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Respondent's objections and responses to these interrogatories are based on current information and knowledge. Discovery in this matter is ongoing. Respondent reserves Respondent's right to supplement Respondent's responses in accordance with the Federal Rules of Bankruptcy Procedure and the Federal Rules of Civil Procedure. Respondent further reserves Respondent's right to present evidence at trial that may be responsive to these interrogatories and requests but that is not currently known to Respondent or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set forth its General Objections, Respondent provides the following responses and documents subject to and without waiver of the foregoing general objections, however Respondent reserves the right to reasonably supplement these Objections and Responses as more information becomes available. By providing a response indicating that responsive documents have been produced or are being made available, Respondent does not concede the relevance of such documents and does not admit that such documents are admissible in this action for any purpose. To the extent Respondent either does not understand or objects to the scope of certain of Plaintiff's Second Discovery Requests, or if Plaintiff disagrees with any of Respondent's general or specific objections, Respondent is prepared to engage in good faith discussions with Plaintiff to clarify or narrow the scope of such requests.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do not object specifically to the definition of debtor, which includes Little Loan Shoppe Ltd., 639504 B.C. Ltd., and 0738116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Of particular note, Interrogatory No. 19 and the answer provided read: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INTERROGATORY NO. 19:</w:t>
      </w:r>
      <w:r>
        <w:rPr>
          <w:rFonts w:ascii="arial" w:eastAsia="arial" w:hAnsi="arial" w:cs="arial"/>
          <w:color w:val="000000"/>
          <w:sz w:val="20"/>
          <w:lang w:val="en-US" w:eastAsia="en-US" w:bidi="ar-SA"/>
        </w:rPr>
        <w:t xml:space="preserve"> If the source of money used for any of your investments with the Debtor was from a Third-Party Investor, please identify the name of each Third-Party Investor, the date(s) of each Third-Party Investment, the amount of each Third-Party Investment, and the promised rate of return for each Third-Party Investment.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[waiving] any objections, Respondent answers that none of the funds used for their loans to the Debtor were from a Third-Party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were given the opportunity to cross-examine, and did in fact cross-examine, the court-appointed examiner, Mr. Charles B. Hall. As described by Mr. Mount in his first affidavit (May 26, 2015):</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24, 2014, the Defendants objected to the Plaintiff's motion for an omnibus hearing for the testimony of the Court appointed examiner, Charles B. Hall. The purpose of the omnibus hearing was to provide a mechanism for which Mr. Hall would testify one time and such testimony would apply to all non-jury LLS adversary proceedings pending before the District Court. All non-jury defendants were given an opportunity to cross-examine Mr. Hall at the omnibus hearing. Mr. Jackson [lawyer with Foster Pepper] on behalf of his clients, including the Defendants, cross-examined Mr. Hall. The District Court entered an order granting the Trustee's motion for omnibus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May 23, 2014, the defendants filed an exhibit and witness list in anticipation of trial. This document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anticipate calling the following witnesses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Rory Bjarnason</w:t>
      </w:r>
      <w:r>
        <w:rPr>
          <w:rFonts w:ascii="arial" w:eastAsia="arial" w:hAnsi="arial" w:cs="arial"/>
          <w:color w:val="000000"/>
          <w:sz w:val="20"/>
          <w:lang w:val="en-US" w:eastAsia="en-US" w:bidi="ar-SA"/>
        </w:rPr>
        <w:t xml:space="preserve"> will testify as to his financial transactions with the Debtor. In addition, he will testify as to his knowledge of the Debtor's operations and his experiences with the Debtor. Mr. Bjarnason may also testify as to his knowledge of the financial transactions of CLB Holdings.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Cathy Bjarnason</w:t>
      </w:r>
      <w:r>
        <w:rPr>
          <w:rFonts w:ascii="arial" w:eastAsia="arial" w:hAnsi="arial" w:cs="arial"/>
          <w:color w:val="000000"/>
          <w:sz w:val="20"/>
          <w:lang w:val="en-US" w:eastAsia="en-US" w:bidi="ar-SA"/>
        </w:rPr>
        <w:t xml:space="preserve"> will testify as to her financial transactions with the Debtor. In addition, she will testify as to [her] knowledge of the Debtor's operations and her experiences with the Debtor. Cathy, as owner of CLB Holdings, will also testify as to its financial transactions with the Debtor. [The plaintiff had also filed an adversary complaint against CLB Holdings which was also represented by Foster Pepper.]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May 29, 2014, there was a judicial mediation. The mediation did not resolve matters. Mr. Bjarnason attended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or about June 12, 2014, Foster Pepper applied to be removed as counsel for the defendants. On June 18, 2014, the District Court denied Foster Pepper's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its order denying Foster Pepper's motion to withdraw, the District Court directed the District Court clerk to provide a copy to the defendants at 35627 Terra Vista Place, Abbotsford, B.C., V3B 2Y2. This is the address declared in their interrogatories as their residential address (other than the District Court misstating the postal code as V3B 2Y2 rather than V3G 2Y2).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trial was originally scheduled for June 23, 2014. As a result of the District Court's own scheduling issues, the trial did not proceed until September 2, 2014. The judgment that the plaintiff has registered in British Columbia is a result of the September 2, 2014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Chief Judge of the District Court was the presiding judge. The Chief Judge in her January 13, 2015 Amended Findings of Fact and Conclusions of law notes that Foster Pepper "explained that it attended trial to comply with the Court's orders but it lacked authority to represent Defendants. [Foster Pepper] stated that it knew of no contact from Defendants". The related civil minutes for the trial read (in part): "The Court will also note that no contact has been made by the defendants and that no defendants are present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Chief Judge in her January 13, 2015 Amended Findings of Fact and Conclusions of Law also states (in part):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OF LAW</w:t>
      </w:r>
      <w:r>
        <w:rPr>
          <w:rFonts w:ascii="arial" w:eastAsia="arial" w:hAnsi="arial" w:cs="arial"/>
          <w:sz w:val="20"/>
          <w:lang w:val="en-US" w:eastAsia="en-US" w:bidi="ar-SA"/>
        </w:rPr>
        <w:cr/>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has jurisdiction of this proceeding pursuant to 28 U.S.C. s. 1334 and 28 U.S.C. s. 157(d).</w:t>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has jurisdiction over Defendants.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was timely commenced.</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least one unsecured creditor existed who triggered the strong arm power of 11 U.S.C. s. 544(b)(1) because the creditor did not and should not reasonably have discovered the fraudulent nature of Debtor's Ponzi scheme transfers within one year before the bankruptcy petition was filed.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2:11-cv-00362-RMP, ECF No. 197.</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Washington State law governing fraudulent transfers applies.</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statutes relating to fraudulent transfers, 11 U.S.C. s. 548 and RCW 19.40,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payments received from Debtor are recoverable from each Defendant by the Trustee, subject to the defense of good faith pursuant to 11 U.S.C. s. 548(c) and RCW 19.40.081(a).</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Transfers made in furtherance of a Ponzi scheme constitute actual fraud under the Bankruptcy Code and Washington's version of the Uniform Fraudulent Transfer Act (UFTA).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Bankr. Adv. Proc. No. 11-80299-FPC, ECF No. 378 at 21-25. "Where causes of action are brought under UFTA against Ponzi scheme investors, the general rule is that to the extent innocent investors have received payments in excess of the amounts of principal that they originally invested, those payments are avoidable as fraudulent transfers ..." </w:t>
      </w:r>
      <w:r>
        <w:rPr>
          <w:rFonts w:ascii="arial" w:eastAsia="arial" w:hAnsi="arial" w:cs="arial"/>
          <w:i/>
          <w:color w:val="000000"/>
          <w:sz w:val="20"/>
          <w:lang w:val="en-US" w:eastAsia="en-US" w:bidi="ar-SA"/>
        </w:rPr>
        <w:t>Donell v. Kowell,</w:t>
      </w:r>
      <w:r>
        <w:rPr>
          <w:rFonts w:ascii="arial" w:eastAsia="arial" w:hAnsi="arial" w:cs="arial"/>
          <w:color w:val="000000"/>
          <w:sz w:val="20"/>
          <w:lang w:val="en-US" w:eastAsia="en-US" w:bidi="ar-SA"/>
        </w:rPr>
        <w:t xml:space="preserve"> 533 F.3d 762, 770 (9th Cir. 2008).</w:t>
      </w:r>
    </w:p>
    <w:p>
      <w:pPr>
        <w:numPr>
          <w:numId w:val="5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transferee of a fraudulent transfer may keep funds that it took for reasonably equivalent value and in good faith.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11 U.S.C. s. 548(c); RCW 19.40.081(a). As recipients of transfers that constitute actual fraud, the burden of proof in establishing the affirmative defense of good faith is on Defendants. </w:t>
      </w:r>
      <w:r>
        <w:rPr>
          <w:rFonts w:ascii="arial" w:eastAsia="arial" w:hAnsi="arial" w:cs="arial"/>
          <w:i/>
          <w:color w:val="000000"/>
          <w:sz w:val="20"/>
          <w:lang w:val="en-US" w:eastAsia="en-US" w:bidi="ar-SA"/>
        </w:rPr>
        <w:t>In re Agric. Research and Tech. Grp., Inc.,</w:t>
      </w:r>
      <w:r>
        <w:rPr>
          <w:rFonts w:ascii="arial" w:eastAsia="arial" w:hAnsi="arial" w:cs="arial"/>
          <w:color w:val="000000"/>
          <w:sz w:val="20"/>
          <w:lang w:val="en-US" w:eastAsia="en-US" w:bidi="ar-SA"/>
        </w:rPr>
        <w:t xml:space="preserve"> 916 F.2d 528, 535 (9th Cir. 1990); 5 COLLIER ON BANKRUPTCY para 548.09[2][c] at 548-98.2 (16th ed. 2011).</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"good faith" is not defined precisely in case law, at least one court has noted that the absence of good faith is shown by a transferee who knows that a debtor is operating a Ponzi scheme. </w:t>
      </w:r>
      <w:r>
        <w:rPr>
          <w:rFonts w:ascii="arial" w:eastAsia="arial" w:hAnsi="arial" w:cs="arial"/>
          <w:i/>
          <w:color w:val="000000"/>
          <w:sz w:val="20"/>
          <w:lang w:val="en-US" w:eastAsia="en-US" w:bidi="ar-SA"/>
        </w:rPr>
        <w:t>See In re Agric. Research,</w:t>
      </w:r>
      <w:r>
        <w:rPr>
          <w:rFonts w:ascii="arial" w:eastAsia="arial" w:hAnsi="arial" w:cs="arial"/>
          <w:color w:val="000000"/>
          <w:sz w:val="20"/>
          <w:lang w:val="en-US" w:eastAsia="en-US" w:bidi="ar-SA"/>
        </w:rPr>
        <w:t xml:space="preserve"> 916 F.2d at 535 (citing </w:t>
      </w:r>
      <w:r>
        <w:rPr>
          <w:rFonts w:ascii="arial" w:eastAsia="arial" w:hAnsi="arial" w:cs="arial"/>
          <w:i/>
          <w:color w:val="000000"/>
          <w:sz w:val="20"/>
          <w:lang w:val="en-US" w:eastAsia="en-US" w:bidi="ar-SA"/>
        </w:rPr>
        <w:t>In re Indep. Clearing House,</w:t>
      </w:r>
      <w:r>
        <w:rPr>
          <w:rFonts w:ascii="arial" w:eastAsia="arial" w:hAnsi="arial" w:cs="arial"/>
          <w:color w:val="000000"/>
          <w:sz w:val="20"/>
          <w:lang w:val="en-US" w:eastAsia="en-US" w:bidi="ar-SA"/>
        </w:rPr>
        <w:t xml:space="preserve"> 77 B.R. 843, 861 (D. Utah 1987)). The Ninth Circuit has quoted favorably an explanation in an early case that a transferee's "knowledge or actual notice of circumstances sufficient to put him, as a prudent man, upon inquiry as to whether his brother intended to delay or defraud his creditors . . . should be deemed to have notice ... as would invalidate the sale as to him."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535 (quoting </w:t>
      </w:r>
      <w:r>
        <w:rPr>
          <w:rFonts w:ascii="arial" w:eastAsia="arial" w:hAnsi="arial" w:cs="arial"/>
          <w:i/>
          <w:color w:val="000000"/>
          <w:sz w:val="20"/>
          <w:lang w:val="en-US" w:eastAsia="en-US" w:bidi="ar-SA"/>
        </w:rPr>
        <w:t>Shauer v. Alterton,</w:t>
      </w:r>
      <w:r>
        <w:rPr>
          <w:rFonts w:ascii="arial" w:eastAsia="arial" w:hAnsi="arial" w:cs="arial"/>
          <w:color w:val="000000"/>
          <w:sz w:val="20"/>
          <w:lang w:val="en-US" w:eastAsia="en-US" w:bidi="ar-SA"/>
        </w:rPr>
        <w:t xml:space="preserve"> 151 U.S. 607, 621 (1894)).</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courts measure good faith by an objective standard, looking to what a transferee "'knew or should have known' in questions of good faith, rather than examining what the transferee actually knew from a subjective standpoint."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536.</w:t>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Bankruptcy Code, Washington's UFTA, as well as relevant case law, the Court does not contemplate a recipient's intent when deciding whether to avoid fraudulent transfers. 5 COLLIER ON BANKRUPTCY para 548.04[2] at 548-63;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Hanson,</w:t>
      </w:r>
      <w:r>
        <w:rPr>
          <w:rFonts w:ascii="arial" w:eastAsia="arial" w:hAnsi="arial" w:cs="arial"/>
          <w:color w:val="000000"/>
          <w:sz w:val="20"/>
          <w:lang w:val="en-US" w:eastAsia="en-US" w:bidi="ar-SA"/>
        </w:rPr>
        <w:t xml:space="preserve"> 168 Wn.2d 738, 749 (2010). Accordingly, a transfer that constitutes actual fraud is avoided in its entirety unless the transferee establishes that a reasonable person in the transferee's position would not and should not have known of the fraud, not simply whether he or she </w:t>
      </w:r>
      <w:r>
        <w:rPr>
          <w:rFonts w:ascii="arial" w:eastAsia="arial" w:hAnsi="arial" w:cs="arial"/>
          <w:i/>
          <w:color w:val="000000"/>
          <w:sz w:val="20"/>
          <w:lang w:val="en-US" w:eastAsia="en-US" w:bidi="ar-SA"/>
        </w:rPr>
        <w:t>actually</w:t>
      </w:r>
      <w:r>
        <w:rPr>
          <w:rFonts w:ascii="arial" w:eastAsia="arial" w:hAnsi="arial" w:cs="arial"/>
          <w:color w:val="000000"/>
          <w:sz w:val="20"/>
          <w:lang w:val="en-US" w:eastAsia="en-US" w:bidi="ar-SA"/>
        </w:rPr>
        <w:t xml:space="preserve"> acted in good faith.</w:t>
      </w:r>
    </w:p>
    <w:p>
      <w:pPr>
        <w:numPr>
          <w:numId w:val="5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Transfers made by Debtor in furtherance of its Ponzi scheme are transfers made with actual intent to hinder, delay and/or defraud creditors under both state law, RCW Ch. 19.40, and federal law, 11 U.S.C. s. 548(a)(1).</w:t>
      </w:r>
    </w:p>
    <w:p>
      <w:pPr>
        <w:numPr>
          <w:numId w:val="5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discussed above, Defendants terminated or stopped communicating with their counsel and did not personally attend trial, participate at trial, or offer any evidence. Thus, Defendants have not met their burden of establishing that they acted in good faith.</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RCW 19.40.041(a)(1), RCW 19.40.091(a) and the "strong arm powers" that 11 U.S.C. s. 544(b)(1) grants to bankruptcy trustees, all of Debtor's transfers to Defendants, regardless of the date of transfer, are hereby set aside and avoided.</w:t>
      </w:r>
    </w:p>
    <w:p>
      <w:pPr>
        <w:numPr>
          <w:numId w:val="6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is entitled to claw back and recover all transfers to Defendants.</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Bjarnason's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first affidavit (July 8, 2015), Mr. Bjarnason says that all business activities related to the defendants occurred in Canada. He says that he "take[s], and took, the position throughout that the U.S. court should not have exercised any jurisdiction over [him] because all of the transactions which are in issue with us occurred in Canada." He refers to the defendants' December 21, 2011 joint declaration filed in the Bankruptcy Court. The declaration reads (in part):</w:t>
      </w:r>
      <w:r>
        <w:rPr>
          <w:rFonts w:ascii="arial" w:eastAsia="arial" w:hAnsi="arial" w:cs="arial"/>
          <w:sz w:val="20"/>
          <w:lang w:val="en-US" w:eastAsia="en-US" w:bidi="ar-SA"/>
        </w:rPr>
        <w:cr/>
      </w:r>
    </w:p>
    <w:p>
      <w:pPr>
        <w:numPr>
          <w:numId w:val="6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reside in the province of British Columbia, Canada.</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citizens of Canada.</w:t>
      </w:r>
    </w:p>
    <w:p>
      <w:pPr>
        <w:numPr>
          <w:numId w:val="6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not been personally served with a summons and complaint in the above-captioned adversary proceeding.</w:t>
      </w:r>
    </w:p>
    <w:p>
      <w:pPr>
        <w:numPr>
          <w:numId w:val="6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do not operate a business in the United States.</w:t>
      </w:r>
    </w:p>
    <w:p>
      <w:pPr>
        <w:numPr>
          <w:numId w:val="6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did not solicit any business in the United States.</w:t>
      </w:r>
    </w:p>
    <w:p>
      <w:pPr>
        <w:numPr>
          <w:numId w:val="6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rarely travel to the United States.</w:t>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do not have regular interactions with the United States.</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in Canada when the debtors solicited our investments.</w:t>
      </w:r>
    </w:p>
    <w:p>
      <w:pPr>
        <w:numPr>
          <w:numId w:val="7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in Canada when we executed any and all documents in connection with our investments.</w:t>
      </w:r>
    </w:p>
    <w:p>
      <w:pPr>
        <w:numPr>
          <w:numId w:val="72"/>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sent funds for investment to Canadian entities.</w:t>
      </w:r>
    </w:p>
    <w:p>
      <w:pPr>
        <w:numPr>
          <w:numId w:val="73"/>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promissory notes issued to us when we made our investments were from Canadian entities.</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we engaged in any negotiation in connection with our investments, that negotiation occurred in Canada.</w:t>
      </w:r>
    </w:p>
    <w:p>
      <w:pPr>
        <w:numPr>
          <w:numId w:val="7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to us on account of our investments were only made in Canadian currency from Canadian entities.</w:t>
      </w:r>
    </w:p>
    <w:p>
      <w:pPr>
        <w:numPr>
          <w:numId w:val="7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did not file a proof of claim in the main bankruptcy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first affidavit, Mr. Bjarnason also says that the defendants were not aware of any U.S. operations until after their last advance. One of the exhibits to his affidavit shows an $8,000 July 25, 2005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second affidavit (July 16, 2015), Mr. Mount attaches copies of various cheques, starting in June 2003, to one or both of the defendants from 639504 B.C. Ltd. showing a Spokane, Washington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second affidavit (August 7, 2015), Mr. Bjarnason states that:</w:t>
      </w:r>
      <w:r>
        <w:rPr>
          <w:rFonts w:ascii="arial" w:eastAsia="arial" w:hAnsi="arial" w:cs="arial"/>
          <w:sz w:val="20"/>
          <w:lang w:val="en-US" w:eastAsia="en-US" w:bidi="ar-SA"/>
        </w:rPr>
        <w:cr/>
      </w:r>
    </w:p>
    <w:p>
      <w:pPr>
        <w:numPr>
          <w:numId w:val="7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focus on the cheque addresses; I would only look at the numbers for dollar amounts. 639504 B.C. Ltd says 'B.C.' in it. In retrospect, [t]he Spokane address street is named Mission which is the name of the town where I met Dee Foster here in B.C. I only ever met her in B.C. and received Canadian bank (CIBC, Bank of Montreal and Royal Bank of Canada) cheques. Over the years, we received cheques from a number of accounts at TD Canada Trust, CIBC and BMO. I knew Little Loan Shoppe was expanding and would not have thought to verify an address from Spokane. I would not assume she moved out of country and came up here visiting to meet with me. I met her no more than 3-5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second affidavit, Mr. Bjarnason also states:</w:t>
      </w:r>
      <w:r>
        <w:rPr>
          <w:rFonts w:ascii="arial" w:eastAsia="arial" w:hAnsi="arial" w:cs="arial"/>
          <w:sz w:val="20"/>
          <w:lang w:val="en-US" w:eastAsia="en-US" w:bidi="ar-SA"/>
        </w:rPr>
        <w:cr/>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made no phone calls or communications to Washington. No email was identified as coming from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third affidavit (August 20, 2015), Mr. Mount attaches a May 29, 2008 email exchange between Ms. D. Nelson and Mr. Bjarnason in which Ms. Nelson refers, among other matters, to the fact that "our office" would be closed on U.S. federal holidays. Mr. Bjarnason's response discloses no indication that he was unaware that business was being conducted in the U.S. As part of the email exchange, Mr. Bjarnason writes "Let us know the latest investment opportunities you have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Bjarnason in his first affidavit (July 8, 2015) states:</w:t>
      </w:r>
      <w:r>
        <w:rPr>
          <w:rFonts w:ascii="arial" w:eastAsia="arial" w:hAnsi="arial" w:cs="arial"/>
          <w:sz w:val="20"/>
          <w:lang w:val="en-US" w:eastAsia="en-US" w:bidi="ar-SA"/>
        </w:rPr>
        <w:cr/>
      </w:r>
    </w:p>
    <w:p>
      <w:pPr>
        <w:numPr>
          <w:numId w:val="8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When I last spoke to Adam Coady [a lawyer with Foster Pepper], Foster Pepper intended to mediate on behalf of a large number of Canadian lenders. The mediation was scheduled but did not proceed. Shortly after that, all contact with Foster Pepper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Mount in his second affidavit (July 16, 2015) states that the mediator was the Judge Brian D. Lynch of the U.S. Bankruptcy Court. As noted, the mediation was held on May 29, 2014. Mr. Mount attaches to his affidavit a June 9, 2014 letter from Judge Lynch to Judge Peterson of the District Court and copied to Mr. Mount's firm reporting on several mediations. Judge Lynch writes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Bjarnasons on behalf of themselves and the entity owned by Ms. Bjarnason, CLB Holdings, participated in the mediation and were represented by counsel. The parties were unable to settle their dispute, but are continuing to have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Bjarnason in his second affidavit (August 7, 2015) acknowledges that the mediation did occur:</w:t>
      </w:r>
      <w:r>
        <w:rPr>
          <w:rFonts w:ascii="arial" w:eastAsia="arial" w:hAnsi="arial" w:cs="arial"/>
          <w:sz w:val="20"/>
          <w:lang w:val="en-US" w:eastAsia="en-US" w:bidi="ar-SA"/>
        </w:rPr>
        <w:cr/>
      </w:r>
    </w:p>
    <w:p>
      <w:pPr>
        <w:numPr>
          <w:numId w:val="8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mediation decisions were not made by me as [Mr. Mount] states. The reason I believe the mediation did not proceed is because I did not understand my offer to have been presented. First, the lawyer was late to it and then when they called me, they had already met with the other lawyer, then when I next talked to him he had already left the mediation without my approval and nothing done. They decided what to do without my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support of Foster Pepper's June 12, 2014 motion to be removed as counsel for the defendants, Mr. Chris Osborn, an attorney with Foster Pepper, declared:</w:t>
      </w:r>
      <w:r>
        <w:rPr>
          <w:rFonts w:ascii="arial" w:eastAsia="arial" w:hAnsi="arial" w:cs="arial"/>
          <w:sz w:val="20"/>
          <w:lang w:val="en-US" w:eastAsia="en-US" w:bidi="ar-SA"/>
        </w:rPr>
        <w:cr/>
      </w:r>
    </w:p>
    <w:p>
      <w:pPr>
        <w:numPr>
          <w:numId w:val="8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the Defendants' mediation on May 29, 2014, Defendants ceased all communications with Foster Pepper. Despite Foster Pepper's repeated attempts to contact Defendants, which has included multiple emails, multiple voice mails, and multiple live messages with fellow workers from me and additional communications from my colleague, Adam Coady -- Defendants have refused to communicate with Foster Pepper since May 30, 2014.</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trial is set for June 23, 2014. I have informed Defendants of their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on June 18, 2014, the District Court denied Foster Pepper's motion to be removed as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defendants' relationship with Foster Pepper after the May 29, 2014 mediation, Mr. Bjarnason in his first affidavit (July 8, 2015) swears:</w:t>
      </w:r>
      <w:r>
        <w:rPr>
          <w:rFonts w:ascii="arial" w:eastAsia="arial" w:hAnsi="arial" w:cs="arial"/>
          <w:sz w:val="20"/>
          <w:lang w:val="en-US" w:eastAsia="en-US" w:bidi="ar-SA"/>
        </w:rPr>
        <w:cr/>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relationship with Foster Pepper was terminated because other investors in the Investor Agency were terminating Foster Pepper.</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Practically speaking, I did not know that Foster Pepper was "on record" for me or the consequences of that. The trial had been postponed numerous times. I did not know that Foster Pepper was required to stay on the record. I had ceased receiving emails from Foster Pepper and I got nothing on paper by email or courier.</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not aware that the trial was going forward without our participation on September 2, 2014 and were never so advised by either Foster Pepper or Mr. Mount. When I last spoke to Adam Coady, Foster Pepper intended to mediate on behalf of a large number of Canadian lenders. The mediation was scheduled but did not proceed. Shortly after that, all contact with Foster Pepper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Bjarnason in his second affidavit (August 7, 2015) swears: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 did not receive nor did my wife receive, the Notice of Trial for June 23, 2014 from Mr. Osborn.</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 did not receive notice of the September 2, 2014 trial date from Foster Pepper, from Osborn, Jackson or Coady.</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[District Court] is correct that there was no communication between me and Foster Pepper after May 30, 2014. That was the basis on which Foster Pepper tried to quit. ...The evidence in paragraph 41 states that Foster Pepper advised me of a September trial is clearly wrong [Mr. Mount in his second affidavit says that he spoke with Mr. Jackson of Foster Pepper shortly before the September 2, 2014 trial and Mr. Jackson told him that the defendants had been told of the trial date] because the September trial date was set </w:t>
      </w:r>
      <w:r>
        <w:rPr>
          <w:rFonts w:ascii="arial" w:eastAsia="arial" w:hAnsi="arial" w:cs="arial"/>
          <w:color w:val="000000"/>
          <w:sz w:val="20"/>
          <w:u w:val="single"/>
          <w:lang w:val="en-US" w:eastAsia="en-US" w:bidi="ar-SA"/>
        </w:rPr>
        <w:t>after I had ceased to be in contact with Foster Pepper</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Mount in his third affidavit (August 20, 2015) notes that a copy of a "Trial Dashboard" created by his firm on May 27, 2014 and which was sent to Foster Pepper on that same date is attached to Mr. Bjarnason's first affidavit (July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second affidavit (August 7, 2015), Mr. Bjarnason states: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 reasonable person and I would not and should not have known that the LLS business was fraudulent or a Ponzi scheme by reason of my own experience with Dee Foster as set out above and my observation of a legitimate storefront payday loan business. Also, objectively speaking, I cannot be seen to have more perception into the business affairs of Little Loan Shoppe than: (i) the investigation by the BC Securities Commission and Manitoba Securities Commission who conducted investigation over a number of years and (ii) the report of the Examiner, Mr. Hall, who did not identify a Ponzi scheme in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affidavits, Mr. Bjarnason does not set forth how, or the date, he terminated his relationship with Foster Pepper. He also does not set forth the steps he took, if any, to ensure that other counsel or he had carriage of the defence. He also does not set forth his communications with the Investor Agency or the steps he took, if any, to contact the District Court (or the Bankruptcy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affidavits, Mr. Bjarnason makes various assertions, for example that the examiner in his first report did not find a Ponzi scheme. He also comments on that which he views as errors and discrepancies in the examiner's various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ANALYSIS</w:t>
      </w:r>
      <w:r>
        <w:rPr>
          <w:rFonts w:ascii="arial" w:eastAsia="arial" w:hAnsi="arial" w:cs="arial"/>
          <w:sz w:val="20"/>
          <w:lang w:val="en-US" w:eastAsia="en-US" w:bidi="ar-SA"/>
        </w:rPr>
        <w:cr/>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will first address some general aspects and then review the particular requirements of s. 29(6) of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the case at bar, the Court is asked to recognize and enforce a foreign judgment. In this regard, in </w:t>
      </w:r>
      <w:r>
        <w:rPr>
          <w:rFonts w:ascii="arial" w:eastAsia="arial" w:hAnsi="arial" w:cs="arial"/>
          <w:i/>
          <w:color w:val="000000"/>
          <w:sz w:val="20"/>
          <w:lang w:val="en-US" w:eastAsia="en-US" w:bidi="ar-SA"/>
        </w:rPr>
        <w:t>Chevron Corp. v. Yaiguaje</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2015 SCC 42</w:t>
        </w:r>
      </w:hyperlink>
      <w:r>
        <w:rPr>
          <w:rFonts w:ascii="arial" w:eastAsia="arial" w:hAnsi="arial" w:cs="arial"/>
          <w:color w:val="000000"/>
          <w:sz w:val="20"/>
          <w:lang w:val="en-US" w:eastAsia="en-US" w:bidi="ar-SA"/>
        </w:rPr>
        <w:t>, the Supreme Court of Canada observed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First, the crucial difference between an action at first instance and an action for recognition and enforcement is that, in the latter case, the only purpose of the action is to allow a pre-existing obligation to be fulfilled. Second, the notion of comity, which has consistently underlain actions for recognition and enforcement, militates in favour of generous enforcement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law recognizes that the purpose of an action to recognize and enforce a foreign judgment is to allow a pre-existing obligation to be fulfilled; that is, to ensure that a debt already owed by the defendant is paid.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this review of the Court's statements on comity shows, the need to acknowledge and show respect for the legal acts of other states has consistently remained one of the principle's core components. Comity, in this regard, militates in favour of recognition and enforcement. Legitimate judicial acts should be respected and enforced, not sidetracked or ignored.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recognition and enforcement proceedings, order and fairness are protected by ensuring that a real and substantial connection existed between the foreign court and the underlying dispute. If such a connection did not exist, or if the defendant was not present in </w:t>
      </w:r>
      <w:r>
        <w:rPr>
          <w:rFonts w:ascii="arial" w:eastAsia="arial" w:hAnsi="arial" w:cs="arial"/>
          <w:color w:val="000000"/>
          <w:sz w:val="20"/>
          <w:u w:val="single"/>
          <w:lang w:val="en-US" w:eastAsia="en-US" w:bidi="ar-SA"/>
        </w:rPr>
        <w:t>or did not attorn to the foreign jurisdiction</w:t>
      </w:r>
      <w:r>
        <w:rPr>
          <w:rFonts w:ascii="arial" w:eastAsia="arial" w:hAnsi="arial" w:cs="arial"/>
          <w:color w:val="000000"/>
          <w:sz w:val="20"/>
          <w:lang w:val="en-US" w:eastAsia="en-US" w:bidi="ar-SA"/>
        </w:rPr>
        <w:t>, the resulting judgment will not be recognized and enforced in Canada. The judgment debtor is free to make this argument in the recognition and enforcement proceedings, and indeed will have already had the opportunity to contest the jurisdiction of the foreign court in the foreign proceedings.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case at bar, although the defendants did not initially attorn, they subsequently did by, along with other steps, filing an answer admitting jurisdiction, responding to interrogatories, cross-examining the court-appointed examiner, and filing an exhibit and witness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common law is litigant-driven. It is the litigants who bring matters to court. It is the litigants who frame the case through pleadings and decide what evidence should be placed before the court. It is the litigants who select and retain counsel. Counsel are agents for their clients: </w:t>
      </w:r>
      <w:r>
        <w:rPr>
          <w:rFonts w:ascii="arial" w:eastAsia="arial" w:hAnsi="arial" w:cs="arial"/>
          <w:i/>
          <w:color w:val="000000"/>
          <w:sz w:val="20"/>
          <w:lang w:val="en-US" w:eastAsia="en-US" w:bidi="ar-SA"/>
        </w:rPr>
        <w:t>Martin v. Busenius</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1999 ABQB 100</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Hartslief v. Terra Nova Royalty</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2013 BCCA 417</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Mr. Bjarnason in his second affidavit (August 7, 2015) swears that "there was no communication between me and Foster Pepper after May 30, 2014". In his first affidavit (July 8, 2015), he states:</w:t>
      </w:r>
      <w:r>
        <w:rPr>
          <w:rFonts w:ascii="arial" w:eastAsia="arial" w:hAnsi="arial" w:cs="arial"/>
          <w:sz w:val="20"/>
          <w:lang w:val="en-US" w:eastAsia="en-US" w:bidi="ar-SA"/>
        </w:rPr>
        <w:cr/>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relationship with Foster Pepper was terminated because other investors with the Investor Agency were terminating Foster Pepper.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May 30, 2014, Foster Pepper had been acting for the defendants for over two years. By May 30, 2014, various motions had been made, pleadings filed, responses to interrogatories given, an exhibit and witness list provided, and a judicial mediation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agree with Mr. Sullivan that an "Ostrich Defence" is not available to the defendants. As stated above, Mr. Bjarnason in his affidavits does not set forth how or the date he terminated the retainer with Foster Pepper. He also does not set forth the steps, if any, he took to ensure that other counsel or he had carriage of the defence. He does not set forth his communications with the Investor Agency or the steps he took, if any, to contact the District Court (or the Bankruptcy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law serves neither the indolent nor the elusive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Despite the defendants' assertion that they took the position throughout that the District Court (and Bankruptcy Court) should not have exercised jurisdiction over them because, they say, all transactions occurred in Canada, they did attorn to the District Court (and Bankruptcy Court). There was no evidence that the attornment was other than voluntary. They were represented by Foster Pepper at the time the steps leading to attornment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had the opportunity to be heard and to show, as they had pleaded, that they "took in good faith and for a reasonably equivalent value". The defendants could have raised the further assertions Mr. Bjarnason sets forth in his affidavits. For example, the assertions relating to errors or discrepancies in the examiner's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current application before this Court is an attempt to re-litigate matters. As Chief Justice Finch, writing for our Court of Appeal, in </w:t>
      </w:r>
      <w:r>
        <w:rPr>
          <w:rFonts w:ascii="arial" w:eastAsia="arial" w:hAnsi="arial" w:cs="arial"/>
          <w:i/>
          <w:color w:val="000000"/>
          <w:sz w:val="20"/>
          <w:lang w:val="en-US" w:eastAsia="en-US" w:bidi="ar-SA"/>
        </w:rPr>
        <w:t>Lang v. Lapp</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BCCA 517</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It would not conform to principles of international comity to permit the defendants to re-litigate issues of fact or law which could have been addressed in the foreign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written submissions, the defendants traduce Foster Pepper by suggesting that they were not properly represented by Foster Pepper because the defendants were part of a group. The defendants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applicants [the defendants] did not receive the initial summons but participated in an investor agency which in turn sought advice from Foster Pepper. Foster Pepper filed a Notice of Appearance preserving the applicants right to object to improper service, venue and jurisdiction. In so doing Foster Pepper filed for a large group of lenders without independent instructions from these applicants. The applicants did not attend any hearing in the United States. They say they were not aware of the content of the documents filed in their name. (Rory #1 p. 11) [Mr. Bjarnason's first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Paragraph 11 of Mr. Bjarnason's first affidavit (July 8, 2015)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participated in a group called the Investor Agency which retained Foster Pepper. Under that arrangement, the instructions as to the tactical approaches to the lawsuit were not made by me, but were made by the Investor Agency. For the most part, the steps taken on behalf of the group were similar if not uniform. Neither I nor my wife received documents filed by Foster Pepper before they were filed including, without limitation, those attached as Exhibits "C", "E", "J", "K" and "L" to the Mount Affidavit. Accordingly, I did not know or approve the wording or content of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exhibits attached to Mr. Mount's first affidavit to which Mr. Bjarnason refers are:</w:t>
      </w:r>
      <w:r>
        <w:rPr>
          <w:rFonts w:ascii="arial" w:eastAsia="arial" w:hAnsi="arial" w:cs="arial"/>
          <w:sz w:val="20"/>
          <w:lang w:val="en-US" w:eastAsia="en-US" w:bidi="ar-SA"/>
        </w:rPr>
        <w:cr/>
      </w:r>
    </w:p>
    <w:p>
      <w:pPr>
        <w:numPr>
          <w:numId w:val="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C - Notice of Appearance;</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E - Defendants' Motion for Withdrawal of Reference and Memorandum in Support and Notice of Objection Deadline;</w:t>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J - Defendants' Answer, Affirmative Defences to Adversary Complaint for Avoidance of Transfers and Demand for Jury Trial;</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K - Defendants' Amended Answer, Affirmative Defences to Adversary Complaints for Avoidance of Transfers and Demand for Jury Trial;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L - Defendants Rory Bjarnason's, Cathy Bjarnason's and CLB Holdings' Exhibit and Witness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Bjarnason does not say that he did not receive the documents. He says the defendants did not receive the documents "before they were filed". As noted, each of the defendants declared personally and in writing that he or she responded to the plaintiff's interrogatories (with a concomitant certification by Foster Pepper). These interrogatories show that the defendants were engaged and partaking in the litigation process with respect to their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not uncommon for counsel to act for more than one person. In the case at bar, Foster Pepper is not a party and has not otherwise had the opportunity to defend itself with respect to the defendants' assertions. The Court is not satisfied that Foster Pepper did not discharge its duties properly and professionally.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defendants' assertions, if they are to be pursued, should be the subject of separate proceedings. Justice Veit of the Alberta Court of Queen's Bench in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states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Lawyers are agents for their clients. When lawyers speak, they speak on behalf of their clients. When they agree, they agree on behalf of their clients. The justice system would fall apart if these basic principles did not apply. These standards are not Draconian: a client can sue a lawyer who abuses the agency 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2003 SCC 72</w:t>
        </w:r>
      </w:hyperlink>
      <w:r>
        <w:rPr>
          <w:rFonts w:ascii="arial" w:eastAsia="arial" w:hAnsi="arial" w:cs="arial"/>
          <w:color w:val="000000"/>
          <w:sz w:val="20"/>
          <w:lang w:val="en-US" w:eastAsia="en-US" w:bidi="ar-SA"/>
        </w:rPr>
        <w:t>, Justice Major writing for the majority states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their failure to move to set aside or appeal the Florida judgment was due to their reliance upon negligent legal advice,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a bar to the enforcement of the respondents' judgment.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Section 29(6) of the </w:t>
      </w:r>
      <w:r>
        <w:rPr>
          <w:rFonts w:ascii="arial" w:eastAsia="arial" w:hAnsi="arial" w:cs="arial"/>
          <w:b/>
          <w:i/>
          <w:color w:val="000000"/>
          <w:sz w:val="20"/>
          <w:lang w:val="en-US" w:eastAsia="en-US" w:bidi="ar-SA"/>
        </w:rPr>
        <w:t>Court Order Enforcement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will now address the specific provisions of s. 29(6) of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s. 29(6)(a)(i), the defendants in Part 3 Legal Basis of their Notice of Application state:</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District Court improperly took jurisdiction when there was no "real or substantial connection" between the applicants or the Canadian corporations which deal with the applicants. The test requires a significant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the case at bar, the defendants attorned to the jurisdiction of the District Court. The fact that the defendants attorned to the jurisdiction of the District Court satisfies the s. 26(6)(a)(i) requirement that the original court (the District Court) acted with jurisdiction under the conflict of law rules of this Court: </w:t>
      </w:r>
      <w:r>
        <w:rPr>
          <w:rFonts w:ascii="arial" w:eastAsia="arial" w:hAnsi="arial" w:cs="arial"/>
          <w:i/>
          <w:color w:val="000000"/>
          <w:sz w:val="20"/>
          <w:lang w:val="en-US" w:eastAsia="en-US" w:bidi="ar-SA"/>
        </w:rPr>
        <w:t>Chevron Corp</w:t>
      </w:r>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Kriegman v. Wilson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2016 BCCA 122</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Justice Griffin in </w:t>
      </w:r>
      <w:r>
        <w:rPr>
          <w:rFonts w:ascii="arial" w:eastAsia="arial" w:hAnsi="arial" w:cs="arial"/>
          <w:i/>
          <w:color w:val="000000"/>
          <w:sz w:val="20"/>
          <w:lang w:val="en-US" w:eastAsia="en-US" w:bidi="ar-SA"/>
        </w:rPr>
        <w:t>Litecubes, L.L.C. v. Northern Light Products Inc</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2009 BCSC 181</w:t>
        </w:r>
      </w:hyperlink>
      <w:r>
        <w:rPr>
          <w:rFonts w:ascii="arial" w:eastAsia="arial" w:hAnsi="arial" w:cs="arial"/>
          <w:color w:val="000000"/>
          <w:sz w:val="20"/>
          <w:lang w:val="en-US" w:eastAsia="en-US" w:bidi="ar-SA"/>
        </w:rPr>
        <w:t xml:space="preserve"> explains the conceptual foundation: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Conceptually it makes sense to treat attornment as a separate ground for jurisdiction and for recognition of a foreign court's judgment because a defendant can submit to a court without there being any connection whatsoever between the court and the subject matter of the action or the defendant. By submitting to the court's jurisdiction, the party is asking the court to issue a judgment in the action in its favour. Not to recognize attornment as a stand alone ground for recognition of a foreign judgment would encourage result-shopping and abuse of process. It would mean that a litigant could actively defend a case in one court as a test to see how it does, and if it does not like the result, it could then contest that court's jurisdiction when a separate proceeding is brought to enforce the judgment. Permitting this conduct would be contrary to principles of justice and comity. This is the reason that attornment is a basis for recognition of the foreign court's jurisdiction, and not any connection between the foreign court and the subject matter of the proceeding or the defendant.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Bankruptcy Court in a related case </w:t>
      </w:r>
      <w:r>
        <w:rPr>
          <w:rFonts w:ascii="arial" w:eastAsia="arial" w:hAnsi="arial" w:cs="arial"/>
          <w:i/>
          <w:color w:val="000000"/>
          <w:sz w:val="20"/>
          <w:lang w:val="en-US" w:eastAsia="en-US" w:bidi="ar-SA"/>
        </w:rPr>
        <w:t>LLS America, LLC v. Paul Cooper et al</w:t>
      </w:r>
      <w:r>
        <w:rPr>
          <w:rFonts w:ascii="arial" w:eastAsia="arial" w:hAnsi="arial" w:cs="arial"/>
          <w:color w:val="000000"/>
          <w:sz w:val="20"/>
          <w:lang w:val="en-US" w:eastAsia="en-US" w:bidi="ar-SA"/>
        </w:rPr>
        <w:t>., Adv. No. 11-80093-PCW 11 (July 2, 2012) sets forth the relevant test under the law in force in Washington State: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allege sufficient facts to demonstrate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showing that the personal jurisdiction exists. </w:t>
      </w:r>
      <w:r>
        <w:rPr>
          <w:rFonts w:ascii="arial" w:eastAsia="arial" w:hAnsi="arial" w:cs="arial"/>
          <w:i/>
          <w:color w:val="000000"/>
          <w:sz w:val="20"/>
          <w:lang w:val="en-US" w:eastAsia="en-US" w:bidi="ar-SA"/>
        </w:rPr>
        <w:t>Marine Midland Bank, N.A.,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664 F.2d 899,904 (2nd Cir. 1981). Personal jurisdiction exists if the defendant had minimum contacts with the forum. </w:t>
      </w:r>
      <w:r>
        <w:rPr>
          <w:rFonts w:ascii="arial" w:eastAsia="arial" w:hAnsi="arial" w:cs="arial"/>
          <w:i/>
          <w:color w:val="000000"/>
          <w:sz w:val="20"/>
          <w:lang w:val="en-US" w:eastAsia="en-US" w:bidi="ar-SA"/>
        </w:rPr>
        <w:t>Int'I Shoe Co. v. State of Wash., Office of Unemployment Compensation and Placement,</w:t>
      </w:r>
      <w:r>
        <w:rPr>
          <w:rFonts w:ascii="arial" w:eastAsia="arial" w:hAnsi="arial" w:cs="arial"/>
          <w:color w:val="000000"/>
          <w:sz w:val="20"/>
          <w:lang w:val="en-US" w:eastAsia="en-US" w:bidi="ar-SA"/>
        </w:rPr>
        <w:t xml:space="preserve"> 326 U.S. 310 (1945); </w:t>
      </w:r>
      <w:r>
        <w:rPr>
          <w:rFonts w:ascii="arial" w:eastAsia="arial" w:hAnsi="arial" w:cs="arial"/>
          <w:i/>
          <w:color w:val="000000"/>
          <w:sz w:val="20"/>
          <w:lang w:val="en-US" w:eastAsia="en-US" w:bidi="ar-SA"/>
        </w:rPr>
        <w:t>Burger King Corp. v. Rudzewicz,</w:t>
      </w:r>
      <w:r>
        <w:rPr>
          <w:rFonts w:ascii="arial" w:eastAsia="arial" w:hAnsi="arial" w:cs="arial"/>
          <w:color w:val="000000"/>
          <w:sz w:val="20"/>
          <w:lang w:val="en-US" w:eastAsia="en-US" w:bidi="ar-SA"/>
        </w:rPr>
        <w:t xml:space="preserve"> 471 U.S. 462 (1985); and </w:t>
      </w:r>
      <w:r>
        <w:rPr>
          <w:rFonts w:ascii="arial" w:eastAsia="arial" w:hAnsi="arial" w:cs="arial"/>
          <w:i/>
          <w:color w:val="000000"/>
          <w:sz w:val="20"/>
          <w:lang w:val="en-US" w:eastAsia="en-US" w:bidi="ar-SA"/>
        </w:rPr>
        <w:t>Farmers Ins. Exch. v. Portage La Prairie Mut. Ins. Co.,</w:t>
      </w:r>
      <w:r>
        <w:rPr>
          <w:rFonts w:ascii="arial" w:eastAsia="arial" w:hAnsi="arial" w:cs="arial"/>
          <w:color w:val="000000"/>
          <w:sz w:val="20"/>
          <w:lang w:val="en-US" w:eastAsia="en-US" w:bidi="ar-SA"/>
        </w:rPr>
        <w:t xml:space="preserve"> 907 F.2d 911 (9th Cir. 1990). The Ninth Circuit has adopted a three-prong test to evaluate the nature and quality of the defendant's contacts with the forum.</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performed some act or engaged in some transaction within the forum or availed himself of the privilege of conducting activities in the forum, thus invoking the benefits of the forum's laws.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at issue must arise from, or result from, the activity related to the forum.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forum's exercise of jurisdiction must be reasonable.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Data Disc, Inc. v. Systems Technology Associates, Inc.,</w:t>
      </w:r>
      <w:r>
        <w:rPr>
          <w:rFonts w:ascii="arial" w:eastAsia="arial" w:hAnsi="arial" w:cs="arial"/>
          <w:color w:val="000000"/>
          <w:sz w:val="20"/>
          <w:lang w:val="en-US" w:eastAsia="en-US" w:bidi="ar-SA"/>
        </w:rPr>
        <w:t xml:space="preserve"> 557 F.2d 1280 (9th Cir. 1977).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jurisdiction arises from the actual course of dealing between the parties. The defendants' conduct related to the activity being conducted must be examined. Personal visits to the forum, telephone, e-mail and other communications sent to the forum and documents negotiated, signed or recorded in the forum are examples of the types of activity which may reach the level of the required minimum contacts. </w:t>
      </w:r>
      <w:r>
        <w:rPr>
          <w:rFonts w:ascii="arial" w:eastAsia="arial" w:hAnsi="arial" w:cs="arial"/>
          <w:i/>
          <w:color w:val="000000"/>
          <w:sz w:val="20"/>
          <w:lang w:val="en-US" w:eastAsia="en-US" w:bidi="ar-SA"/>
        </w:rPr>
        <w:t>Sher v. Johnson</w:t>
      </w:r>
      <w:r>
        <w:rPr>
          <w:rFonts w:ascii="arial" w:eastAsia="arial" w:hAnsi="arial" w:cs="arial"/>
          <w:color w:val="000000"/>
          <w:sz w:val="20"/>
          <w:lang w:val="en-US" w:eastAsia="en-US" w:bidi="ar-SA"/>
        </w:rPr>
        <w:t>, 911 F.2d 1357 (9th Cir.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did not present evidence with respect to the U.S.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respect to the second and third prongs, these would appear to be readily satisfied. LLS America, LLC and related entities' significant activities in Washington State gave rise to the Ponzi scheme. A court's exercise of jurisdiction over activities relating to a Ponzi scheme would seem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respect to the first prong, the affidavit materials show that many cheques sent to the defendants had U.S. addresses. Mr. Bjarnason also had email contact with Ms. Foster in the United States. The defendants in their answer to the plaintiff's interrogatories admitted "lending money to LLS America and/or the LLS America Companies" and "being paid amounts by LLS America and/or for the LLS America Companies". The defendants also attorned.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were also represented by Foster Pepper, U.S. counsel. There is no basis for me to find that the relevant law and evidence was not presented and considered. As noted, the defendants filed a motion (December 15, 2011) to dismiss the adversary complaints. As described by the Bankruptcy Court in its November 19, 2012 Memorandum Decision, one of the grounds that the defendants put forward for dismissal was the "improper extraterritorial application of United States bankruptcy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Finally, in their December 5, 2012 answer to the adversary complaint, the defendants admit subject matter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result, the registration of the plaintiff's judgment is not prohibited by s. 29(6)(a).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did "voluntarily appear or otherwise submit" by attorning to the jurisdiction of the District Court (and Bankruptcy Court). After their jurisdictional challenge was dismissed, the defendants took steps to defend on the merits. As noted, there was no evidence that the steps taken were other than voluntary. Accordingly, the registration of the plaintiff's judgment is not prohibited by this provision.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defendants did "appear". They went before the District Court (and the Bankruptcy Court) by taking steps to defend against the adversary complaint. The facts of this case are readily distinguishable from </w:t>
      </w:r>
      <w:r>
        <w:rPr>
          <w:rFonts w:ascii="arial" w:eastAsia="arial" w:hAnsi="arial" w:cs="arial"/>
          <w:i/>
          <w:color w:val="000000"/>
          <w:sz w:val="20"/>
          <w:lang w:val="en-US" w:eastAsia="en-US" w:bidi="ar-SA"/>
        </w:rPr>
        <w:t>LLS America, LLC (Trustee of) v. Grande</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2013 BCSC 1745</w:t>
        </w:r>
      </w:hyperlink>
      <w:r>
        <w:rPr>
          <w:rFonts w:ascii="arial" w:eastAsia="arial" w:hAnsi="arial" w:cs="arial"/>
          <w:color w:val="000000"/>
          <w:sz w:val="20"/>
          <w:lang w:val="en-US" w:eastAsia="en-US" w:bidi="ar-SA"/>
        </w:rPr>
        <w:t xml:space="preserve"> where the defendants were not duly served and did not appear. The registration of the plaintiff's judgment is not prohibited by this provision.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says that the District Court judgment was obtained by fraud. In their written submissions, the basis of the defendants' assertion was what they say was the "tenuous connection" between the defendants and the District Court. Further, they relied on paragraphs 33 to 35 of Part 3: Legal Basis of their Notice of Application, which read:</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were entitled to generous notice of the time and consequences of a trial. They got no notice of trial at all.</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fraudulent to conduct a trial in the U.S. with counsel forced to attend who failed to adduce evidence.</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defendants submit, fraud where neither counsel advised the defendants of the trial date and it continued without leading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say that matters were not disclosed to the District Court, including:</w:t>
      </w:r>
      <w:r>
        <w:rPr>
          <w:rFonts w:ascii="arial" w:eastAsia="arial" w:hAnsi="arial" w:cs="arial"/>
          <w:sz w:val="20"/>
          <w:lang w:val="en-US" w:eastAsia="en-US" w:bidi="ar-SA"/>
        </w:rPr>
        <w:cr/>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amounts paid to the defendants were not from U.S. bank accounts;</w:t>
      </w:r>
    </w:p>
    <w:p>
      <w:pPr>
        <w:numPr>
          <w:numId w:val="10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examiner did not include payments to and from 639504 B.C. Ltd.'s bank account; and</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paid by 639504 B.C. Ltd. were outside the scope of the relevant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assertions of fraud against U.S. counsel and the Chief Judge of the District Court are baseless.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Quite understandably, Mr. Mount takes exception to the defendants' assertions. In his second affidavit (July 16, 2015), he states (in part):</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called to the Bar of Washington State in 1986. I have practiced as litigation counsel in Washington State on a full-time basis ever since. In my time prior to joining Witherspoon Kelley, I served as Deputy Prosecuting Attorney for Spokane County, and I currently serve as the Conflicts City Prosecutor for the City of Cheney, Washington. During my years of practice, I have never been disciplined for misconduct, and I have never before faced an allegation of fraud. I am very troubled by this allegation.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fraud allegation is groundless. I participated in what I considered, and still consider, to be a proper trial before the U.S. District Court.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the fraud allegation appears to be the assertion that "neither counsel advised the defendants of the trial date..." (Notice of Application, para. 35). However, opposing counsel, Foster Pepper, were fully aware of the September 2, 2014 trial date and indeed Mr. Jackson of Foster Pepper appeared at the trial telephonically. I recall speaking with Mr. Jackson shortly before the trial, and him telling me that Rory and Cathy Bjarnason had been notified of the trial date.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is that Foster Pepper was counsel for the Defendants at all times. Although at one point Foster Pepper brought a motion to cease acting, as noted above, that motion was denied. It is indicated at paragraph 34 of the Notice of Application that this denial of the motion was fraud as well. However, the denial of that motion was the court's decision, not mine nor Mr. Kriegman's. Regardless, because Foster Pepper continued to be counsel for the Defendants in the Adversary Proceeding, under our ethical rules it would have been improper for me to communicate directly with the Defendants, and I accordingly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Chief Judge is not in a position to defend herself or her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hearing, counsel for the defendants tamed somewhat the fraud assertion by saying that there was not any intentional professional misconduct by counsel in Washington State. He described that "it appears that what happened is that by virtue of the circumstances that came down, the Court was obliged to hear the case, Foster Pepper was obliged to attend, and no case was advanced, no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Defendants' counsel argued that the assertion of fraud was within the meaning of s. 29(6)(d) which, in his view, was akin to a lack of natural justice (for example, lack of notice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Foster Pepper representing them, the defendants were active in the litigation for over two years. Around May 30, 2014, they say that all contact with Foster Pepper ceased. Mr. Bjarnason says that he "had ceased to be in contact with Foster Pepper". As noted, the defendants provide no evidence of the steps they took, if any, to ensure that other counsel or they had carriage of the defence. Similarly, the steps taken, if any, to contact the District Court (or the Bankruptcy Court) are not described. Under a litigant-driven system, litigants cannot rely on their own failings to base the serious allegation of fraud or to allege they were denied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If the defendants had not ceased to drive their case, they could have presented their arguments and evidence at trial in Washington State. In particular, they each could have given evidence by taking the stand to set forth that the advances made were made in good faith congruent with that of a reasonable person in their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With respect to fraud going to the merits, "failing to defend an action, by itself, prohibits the defendant from claiming that any of the evidence adduced or steps taken in a foreign proceedings is evidence of fraud": </w:t>
      </w:r>
      <w:r>
        <w:rPr>
          <w:rFonts w:ascii="arial" w:eastAsia="arial" w:hAnsi="arial" w:cs="arial"/>
          <w:i/>
          <w:color w:val="000000"/>
          <w:sz w:val="20"/>
          <w:lang w:val="en-US" w:eastAsia="en-US" w:bidi="ar-SA"/>
        </w:rPr>
        <w:t>Lang</w:t>
      </w:r>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Beals</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With respect to fraud going to jurisdiction, the defendants attorned to the jurisdiction of the District Court (and Bankruptcy Court). As Justice Major, writing for the majority in </w:t>
      </w:r>
      <w:r>
        <w:rPr>
          <w:rFonts w:ascii="arial" w:eastAsia="arial" w:hAnsi="arial" w:cs="arial"/>
          <w:i/>
          <w:color w:val="000000"/>
          <w:sz w:val="20"/>
          <w:lang w:val="en-US" w:eastAsia="en-US" w:bidi="ar-SA"/>
        </w:rPr>
        <w:t>Beals</w:t>
      </w:r>
      <w:r>
        <w:rPr>
          <w:rFonts w:ascii="arial" w:eastAsia="arial" w:hAnsi="arial" w:cs="arial"/>
          <w:color w:val="000000"/>
          <w:sz w:val="20"/>
          <w:lang w:val="en-US" w:eastAsia="en-US" w:bidi="ar-SA"/>
        </w:rPr>
        <w:t>, states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Although such a connection [real and substantial] is an important factor, parties to an action continue to be free to select or accept the jurisdiction in which their dispute is to be resolved by attorning or agreeing to the jurisdiction of a foreign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After attorning, the defendants' failure to drive their case does not invalidate the attornment: </w:t>
      </w:r>
      <w:r>
        <w:rPr>
          <w:rFonts w:ascii="arial" w:eastAsia="arial" w:hAnsi="arial" w:cs="arial"/>
          <w:i/>
          <w:color w:val="000000"/>
          <w:sz w:val="20"/>
          <w:lang w:val="en-US" w:eastAsia="en-US" w:bidi="ar-SA"/>
        </w:rPr>
        <w:t>Beals</w:t>
      </w:r>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registration of the plaintiff's judgment is not prohibited on the basis of this provision.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pending appeal and the time for making an appeal has passed. Accordingly, registration of the judgment is not prohibited by s. 29(6)(e).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Beals</w:t>
      </w:r>
      <w:r>
        <w:rPr>
          <w:rFonts w:ascii="arial" w:eastAsia="arial" w:hAnsi="arial" w:cs="arial"/>
          <w:color w:val="000000"/>
          <w:sz w:val="20"/>
          <w:lang w:val="en-US" w:eastAsia="en-US" w:bidi="ar-SA"/>
        </w:rPr>
        <w:t>, the Supreme Court of Canada stated that defences to the registration of a foreign judgment should be construed narrowly. One such defence is that of public policy: see paras. 40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set forth above in the District Court's Conclusions of Law, the Court states that a "transferee of a fraudulent transfer may keep funds that it took for reasonably equivalent value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had framed their case as one where they had advanced funds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state that their total gain was $9,600 but also state that that there was "an additional $88,400 of withdrawals from their bank account" beyond the $168,000 they say they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It is not repugnant law "contrary to the fundamental morality of the Canadian legal system" that the gains an innocent person enjoys from a Ponzi scheme are returned so that all harmed may share the purported "gains" or 'winnings" generated by the Ponzi scheme: see </w:t>
      </w:r>
      <w:r>
        <w:rPr>
          <w:rFonts w:ascii="arial" w:eastAsia="arial" w:hAnsi="arial" w:cs="arial"/>
          <w:i/>
          <w:color w:val="000000"/>
          <w:sz w:val="20"/>
          <w:lang w:val="en-US" w:eastAsia="en-US" w:bidi="ar-SA"/>
        </w:rPr>
        <w:t>Beals</w:t>
      </w:r>
      <w:r>
        <w:rPr>
          <w:rFonts w:ascii="arial" w:eastAsia="arial" w:hAnsi="arial" w:cs="arial"/>
          <w:color w:val="000000"/>
          <w:sz w:val="20"/>
          <w:lang w:val="en-US" w:eastAsia="en-US" w:bidi="ar-SA"/>
        </w:rPr>
        <w:t>, at paras. 71, 72 and 75. Similarly, it is not repugnant law for all amounts (including the $168,000) to be clawed-back and recovered subject to the good faith defence described by the District Court in its Conclusions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registration of the plaintiff's judgment is not prohibited by s. 29(6)(f).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29(6)(g)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argue that they were deprived of the principles of natural justice because of the manner in which the trial was conducted. They say that they had real defences which were not placed before the District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noted, after May 30, 2014, there is no evidence that the defendants took any responsibility for their litigation. They now say that they did not have an opportunity to be heard and list arguments that they say should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failure to drive their case after May 30, 2014 cannot be visited on Foster Pepper, the District Court, or the plaintiff in the form of re-ligitating matters at this stage. In short, the defendants had the opportunity to be heard, which by their actions they did not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registration of the plaintiff's judgment is not prohibited by s. 29(6)(g).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sum, none of the provisions of s. 29(6) of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prohibit registration.</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Substantive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defendants did not raise an argument regarding substantive consolidation until the hearing. It is not set forth in their Notice of Application. The plaintiff objected to the defendants' raising this new argument at such a late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September 8, 2011, the Bankruptcy Court ordered the substantive consolidation of LLS America, LLC which served to include, among others in the proceedings, 639504 B.C. Ltd., 738116 B.C. Ltd. and Little Loan Shoppe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say that the effect of a substantive consolidation is to pool the assets of all of the consolidated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say that the U.S. courts did not have jurisdiction to make the consolidation order. The defendants also say that 639504 B.C. Ltd., 738116 B.C. Ltd., and Little Loan Shoppe Ltd. were struck for failure to file prior to the consolidation order. They also say that their involvement in the litigation was after the consolidation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direct answer is that the defendants have attorned to the jurisdiction of the District Court (and the Bankruptcy Court). The defendants also framed their case through pleadings and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framed case was that they had advanced sums in good faith and made only a modest return (or possibly a negative return). They had the opportunity to present evidence and to make this argument but, as noted, failed to drive the litigation after May 30, 2014 in order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Comity would not be served by revisiting the U.S. proceedings of which the substantive consolidation is part. As noted, the Bankruptcy Court in its November 19, 2012 Memorandum Decision, dismissing the defendants' motion to dismiss the adversary complaint, described one of the grounds as the "improper extraterritorial application of United States bankruptcy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Raising the substantive consolidation argument at this late stage is contrary to the defendants' previous position, is unfair to the plaintiff, and should be seen as an attempt to re-litigate. The defendants' substantive consolidation argument was not properly raised and I will not give it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application to set aside the registration of the Washington Judgment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If the parties wish to speak to costs, they may contact Supreme Court Scheduling within 90 days of the release of these Reasons to arrange a 9 a.m. one-hour chambers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Mullins v. Levy, [2010] B.C.J. No. 1977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C982449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1977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193 A.C.W.S. (3d) 378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Norman Mullins, Plaintiff, and Dr. John Mark Levy, Dr. Joelle Materi, Dr. Rua Roxanne Mercier, Dr. Soma Ganesan, Vancouver Hospital &amp; Health Sciences Centre, Western Pacific Security Group Ltd., Geoff Brown, Donna Wright, Robert Coleman, Raymond Weipprecht and Cyrus Farivar,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3"/>
      <w:bookmarkEnd w:id="207"/>
      <w:r>
        <w:rPr>
          <w:rFonts w:ascii="arial" w:eastAsia="arial" w:hAnsi="arial" w:cs="arial"/>
          <w:b/>
          <w:color w:val="000000"/>
          <w:sz w:val="20"/>
          <w:lang w:val="en-US" w:eastAsia="en-US" w:bidi="ar-SA"/>
        </w:rPr>
        <w:t>Civil litigation — Civil procedure — Costs — Assessment or fixing of costs — Appeal or review — Application by the plaintiff for review of an assessment of costs that awarded the defendants trial costs of $97,755 dismissed — Court of Appeal awarded the defendants costs — Assessing nil costs would overrule the Court of Appeal — Neither the Registrar, who assessed the costs, or the Supreme Court Judge, who reviewed the assessment, had jurisdiction to assess nil costs — If they had such jurisdiction awarding no costs would be an error of law.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2"/>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Mullins for a review of an assessment of a Supreme Court of British Columbia Registrar that awarded the defendants trial costs of $97,755. Mullins submitted that the defendants were entitled to no costs. In 1998 Mullins sued the defendants for false arrest, false imprisonment, assault and breach of his rights under the Canadian Charter of Rights and Freedoms. After 34 days of trial, heard over the course of two years, Mullins was awarded $15,000 in damages. Mullins and the defendants both appealed. The Court of Appeal dismissed Mullins' appeal and allowed the defendants' cross appeal. The action was dismissed against all of the defendants. The Court also awarded the defendants costs, which were to be assessed.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19"/>
            <w:bookmarkEnd w:id="20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accede to Mullins' argument and to assess costs at nil would amount to overruling the Court of Appeal and would be at odds with the Court's decision. A Supreme Court Judge on a review of the Registrar's assessment of costs had no jurisdiction to grant an order that would negate the order of the Court of Appeal which awarded costs. The Registrar had no jurisdiction to negate the Court of Appeal's order by assessing costs at nil. If the Judge or the Registrar had jurisdiction to negate the Court of Appeal's order, by awarding no costs, such a decision would be an error of 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7"/>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 Rule 57(1), Rule 57(2), Rule 57(3), Rule 57(4), Rule 57(33)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of Appeal Rules, </w:t>
      </w:r>
      <w:r>
        <w:rPr>
          <w:rFonts w:ascii="arial" w:eastAsia="arial" w:hAnsi="arial" w:cs="arial"/>
          <w:i/>
          <w:color w:val="000000"/>
          <w:sz w:val="20"/>
          <w:lang w:val="en-US" w:eastAsia="en-US" w:bidi="ar-SA"/>
        </w:rPr>
        <w:t>B.C. Reg. 297/2001, Rule 63</w:t>
      </w:r>
      <w:r>
        <w:rPr>
          <w:rFonts w:ascii="arial" w:eastAsia="arial" w:hAnsi="arial" w:cs="arial"/>
          <w:color w:val="000000"/>
          <w:sz w:val="20"/>
          <w:lang w:val="en-US" w:eastAsia="en-US" w:bidi="ar-SA"/>
        </w:rPr>
        <w:t>, Rule 63(1), Rule 63(2), Rule 63(3)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3"/>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N.D. Mullins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D.W.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3"/>
      <w:bookmarkEnd w:id="212"/>
      <w:r>
        <w:pict>
          <v:line id="_x0000_s1173"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M.A. MAISONVILLE J."/>
            <w:bookmarkEnd w:id="213"/>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review from an assessment of a Registrar of the Supreme Court of British Columbia (assessed on November 24, 2009) entered on December 8, 2009 for costs in favour of the defendants in this action in the amount of $97,755.47 pursuant to Rule 57(33) of the B.C.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It is argued by the plaintiff that the costs should have been assessed at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questions in this review are as follows: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Supreme Court Judge on a review of the Registrar of the Supreme Court's assessment of costs have jurisdiction to grant an order that would negate an order of the Court of Appeal which awarded costs in the action?</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Registrar of the Supreme Court have jurisdiction to negate an order of the Court of Appeal in the fashion proposed by the plaintiff that the award of costs be assessed at nil?</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a Supreme Court Judge or the Registrar of the Supreme Court has jurisdiction to negate an order of the Court of Appeal, by awarding no costs, would such a decision have been an error of law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1998, the plaintiff, Stephen Norman Mullins, filed a statement of claim against the defendants for false arrest, false imprisonment, assault, and breach of his rights under the </w:t>
      </w:r>
      <w:r>
        <w:rPr>
          <w:rFonts w:ascii="arial" w:eastAsia="arial" w:hAnsi="arial" w:cs="arial"/>
          <w:i/>
          <w:color w:val="000000"/>
          <w:sz w:val="20"/>
          <w:lang w:val="en-US" w:eastAsia="en-US" w:bidi="ar-SA"/>
        </w:rPr>
        <w:t>Canadian Charter of Rights and Freedom</w:t>
      </w:r>
      <w:r>
        <w:rPr>
          <w:rFonts w:ascii="arial" w:eastAsia="arial" w:hAnsi="arial" w:cs="arial"/>
          <w:color w:val="000000"/>
          <w:sz w:val="20"/>
          <w:lang w:val="en-US" w:eastAsia="en-US" w:bidi="ar-SA"/>
        </w:rPr>
        <w:t>. After 34 days of trial, heard over the course of two years, judgment was given in favour of the plaintiff for general damages in the amount of $15,000, including special damages and costs against the defendants Dr. Joelle Materi, Dr. Rua Roxanne Mercier, and Dr. Soma Ganesan (the "defendants"), Vancouver Hospital and several security guards of the hospital. The action was dismissed against the defendants, Dr. John Mark Levy and a nurse with costs (</w:t>
      </w:r>
      <w:hyperlink r:id="rId683" w:history="1">
        <w:r>
          <w:rPr>
            <w:rFonts w:ascii="arial" w:eastAsia="arial" w:hAnsi="arial" w:cs="arial"/>
            <w:i/>
            <w:color w:val="0077CC"/>
            <w:sz w:val="20"/>
            <w:u w:val="single"/>
            <w:shd w:val="clear" w:color="auto" w:fill="FFFFFF"/>
            <w:lang w:val="en-US" w:eastAsia="en-US" w:bidi="ar-SA"/>
          </w:rPr>
          <w:t>2005 BCSC 1217</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BCSC 753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appealed to the Court of Appeal and the defendants cross appealed. This appeal was heard on October 8, 9 and 10, 2008. The Court of Appeal, on January 13, 2009, dismissed the appeal and the defendants' cross-appeal was allowed against the plaintiff thereby dismissing the plaintiff's action against all the defendants (</w:t>
      </w:r>
      <w:hyperlink r:id="rId685" w:history="1">
        <w:r>
          <w:rPr>
            <w:rFonts w:ascii="arial" w:eastAsia="arial" w:hAnsi="arial" w:cs="arial"/>
            <w:i/>
            <w:color w:val="0077CC"/>
            <w:sz w:val="20"/>
            <w:u w:val="single"/>
            <w:shd w:val="clear" w:color="auto" w:fill="FFFFFF"/>
            <w:lang w:val="en-US" w:eastAsia="en-US" w:bidi="ar-SA"/>
          </w:rPr>
          <w:t>2009 BCCA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Order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THIS COURT FURTHER ORDERS THAT the respondents do recover costs of the trial, the appeal and the cross appeals, from the appellant forthwith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3, 2009 there was an assessment hearing for the costs of the appeal. The Registrar of the Court of Appeal ordered a certificate of costs dated December 7, 2009 in the amount of $12,178.43 in favour of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trial costs were assessed on November 24, 2009 by a Registrar of the Supreme Court wherein the plaintiff's request to assess the costs at nil was dismissed and the defendants were granted a certificate of costs in the amount of $97,755.47 pursuant to Rule 57 of the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It is from the November 24, 2009 hearing and Certificate of Costs Order entered on December 8, 2009 that the plaintiff seeks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counsel in the present hearing directed me to certain Court of Appeal decisions in this matter and, accordingly, I review them briefly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Court of Appeal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decision of the Registrar of the Court of Appeal was sought to be reviewed to a single judge of the Court of Appeal, and Finch C.J.B.C. presided over the matter. After hearing arguments similar to those advanced before me in this application, the Chief Justice, in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2010 BCCA 83</w:t>
        </w:r>
      </w:hyperlink>
      <w:r>
        <w:rPr>
          <w:rFonts w:ascii="arial" w:eastAsia="arial" w:hAnsi="arial" w:cs="arial"/>
          <w:color w:val="000000"/>
          <w:sz w:val="20"/>
          <w:lang w:val="en-US" w:eastAsia="en-US" w:bidi="ar-SA"/>
        </w:rPr>
        <w:t>, stated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my respectful opinion, it is not open to the appellant now to take the position he asserted before the registrar and on this application, in the face of the order pronounced by the division of the Court that decided the appeal on 13 January 2009. However the submission is framed, its effect can only be to reverse and set aside the court's order. A single judge in chambers has no such power. The time and place for the applicant to assert this position was on the appeal, or subsequently, before the division who heard the case. This could have been done by submissions in the appellant's factum or, if not there, after reasons for judgment had been pronounced but before the order was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Chief Justice referred to </w:t>
      </w:r>
      <w:r>
        <w:rPr>
          <w:rFonts w:ascii="arial" w:eastAsia="arial" w:hAnsi="arial" w:cs="arial"/>
          <w:i/>
          <w:color w:val="000000"/>
          <w:sz w:val="20"/>
          <w:lang w:val="en-US" w:eastAsia="en-US" w:bidi="ar-SA"/>
        </w:rPr>
        <w:t>Qureshi (Guardian ad litem of) v. Nickerson</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(1991), 53 B.C.L.R. (2d) 379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which is also argued again by the plaintiff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the defendant's costs were paid on his behalf by the Canadian Medical Protective Association ("CMPA"), to which the defendant was a member. The Court of Appeal held that no equitable right of subrogation arose, and no costs were payable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succinctly argued that CMPA also held no equitable right of subrogation, and thus no costs were payable. In his reasons for judgment (</w:t>
      </w:r>
      <w:hyperlink r:id="rId686" w:history="1">
        <w:r>
          <w:rPr>
            <w:rFonts w:ascii="arial" w:eastAsia="arial" w:hAnsi="arial" w:cs="arial"/>
            <w:i/>
            <w:color w:val="0077CC"/>
            <w:sz w:val="20"/>
            <w:u w:val="single"/>
            <w:shd w:val="clear" w:color="auto" w:fill="FFFFFF"/>
            <w:lang w:val="en-US" w:eastAsia="en-US" w:bidi="ar-SA"/>
          </w:rPr>
          <w:t>2010 BCCA 83</w:t>
        </w:r>
      </w:hyperlink>
      <w:r>
        <w:rPr>
          <w:rFonts w:ascii="arial" w:eastAsia="arial" w:hAnsi="arial" w:cs="arial"/>
          <w:color w:val="000000"/>
          <w:sz w:val="20"/>
          <w:lang w:val="en-US" w:eastAsia="en-US" w:bidi="ar-SA"/>
        </w:rPr>
        <w:t xml:space="preserve">), the Chief Justice referred the following passage from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at the outset of these reasons, it was admitted that the respondent had not incurred any liability for costs or disbursements in the course of successfully defending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brought against him by the appellants, they having all been paid on his behalf by the Canadian Medical Protective Association. In those circumstances he is not entitled to claim such costs and disbursements against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Chief Justice held that subsequent decisions had cast doubt on whether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remained the applicable law on whether costs are payable in those circumstances and cited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[1993] B.C.J. No. 186</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76 B.C.L.R. (2d) 212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Lambert J.A. referenced the two step approach taken in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First, it must be ascertained whether the defendant had incurred any liability for the costs and disbursements incurred in his defence. Second, it must be clarified whether a contract of indemnity was required to give the CMPA the right of subrogation to the defendant doctors to recover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Mr. Justice Lambert stated,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 I do not think it was any essential part of the reasons in the </w:t>
      </w:r>
      <w:r>
        <w:rPr>
          <w:rFonts w:ascii="arial" w:eastAsia="arial" w:hAnsi="arial" w:cs="arial"/>
          <w:i/>
          <w:color w:val="000000"/>
          <w:sz w:val="20"/>
          <w:lang w:val="en-US" w:eastAsia="en-US" w:bidi="ar-SA"/>
        </w:rPr>
        <w:t>Qureshi v. Nickerson</w:t>
      </w:r>
      <w:r>
        <w:rPr>
          <w:rFonts w:ascii="arial" w:eastAsia="arial" w:hAnsi="arial" w:cs="arial"/>
          <w:color w:val="000000"/>
          <w:sz w:val="20"/>
          <w:lang w:val="en-US" w:eastAsia="en-US" w:bidi="ar-SA"/>
        </w:rPr>
        <w:t xml:space="preserve"> case that the basis for the concession that no liability had been incurred for the costs or disbursements was that they had been paid by the Medical Protective Association. It was the fact that they had not been incurred by the doctor that was the essential point for deciding step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Having regard to the cases which I have referred and which were discussed by Mr. Justice Murray in </w:t>
      </w:r>
      <w:r>
        <w:rPr>
          <w:rFonts w:ascii="arial" w:eastAsia="arial" w:hAnsi="arial" w:cs="arial"/>
          <w:i/>
          <w:color w:val="000000"/>
          <w:sz w:val="20"/>
          <w:lang w:val="en-US" w:eastAsia="en-US" w:bidi="ar-SA"/>
        </w:rPr>
        <w:t>Wenden v. Trikha</w:t>
      </w:r>
      <w:r>
        <w:rPr>
          <w:rFonts w:ascii="arial" w:eastAsia="arial" w:hAnsi="arial" w:cs="arial"/>
          <w:color w:val="000000"/>
          <w:sz w:val="20"/>
          <w:lang w:val="en-US" w:eastAsia="en-US" w:bidi="ar-SA"/>
        </w:rPr>
        <w:t xml:space="preserve">, it is my opinion that the question of whether the liability for costs or disbursements was incurred is an entirely separate question from whether the liability has been discharged gratuitously or otherwise by another party. It is only if there has been no liability incurred that the principle that formed the basis of the decision in </w:t>
      </w:r>
      <w:r>
        <w:rPr>
          <w:rFonts w:ascii="arial" w:eastAsia="arial" w:hAnsi="arial" w:cs="arial"/>
          <w:i/>
          <w:color w:val="000000"/>
          <w:sz w:val="20"/>
          <w:lang w:val="en-US" w:eastAsia="en-US" w:bidi="ar-SA"/>
        </w:rPr>
        <w:t>Qureshi v. Nickerson</w:t>
      </w:r>
      <w:r>
        <w:rPr>
          <w:rFonts w:ascii="arial" w:eastAsia="arial" w:hAnsi="arial" w:cs="arial"/>
          <w:color w:val="000000"/>
          <w:sz w:val="20"/>
          <w:lang w:val="en-US" w:eastAsia="en-US" w:bidi="ar-SA"/>
        </w:rPr>
        <w:t>, becomes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Chief Justice, in reviewing the decision of the Registrar, indicated that there was nothing before the Court that indicated the defendant doctors did not incur liability for the costs of their defence and held that the Court was not prepared to speculate on the arrangements made between the defendant doctors and the CMPA. Accordingly, the Chief Justice dismissed the application for review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2010 BCCA 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decision of the Chief Justice was upheld by the Court of Appeal when the matter was appealed to a three member panel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2010 BCCA 294</w:t>
        </w:r>
      </w:hyperlink>
      <w:r>
        <w:rPr>
          <w:rFonts w:ascii="arial" w:eastAsia="arial" w:hAnsi="arial" w:cs="arial"/>
          <w:color w:val="000000"/>
          <w:sz w:val="20"/>
          <w:lang w:val="en-US" w:eastAsia="en-US" w:bidi="ar-SA"/>
        </w:rPr>
        <w:t>). Madam Justice Levine, speaking unanimously for the Court of Appeal, held the plaintiff had not identified any errors of law or principle, or any basis on which to conclude that the Chief Justice had erred in his decision. Levine J.A. noted, as had the Chief Justice, that the true order sought by the plaintiff was to set aside the order for costs and stated at para. 5 "[t]he bases on which the Chief Justice rejected Mr. Mullins' application are well supported by the authorities cited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in the previous matters and before the Court of Appeal, the plaintiff again argues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and submits the costs awarded to the defendants in the previous applications should be assessed at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for the defendants argues that the Registrar of the Supreme Court, like the Registrar of the Court of Appeal, has no jurisdiction to set aside an order of the Court of Appeal in which costs have been ordered. Counsel referred the Court to the similarity of the provisions on costs between Rule 57 of the Supreme Court Rules and Rule 63 of the Court of Appeal Rules,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that were in force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Rule 57(1) to (4) of the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costs assessed generally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costs are payable to a party under these rules or by order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another party,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a fund of other parties,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a fund in which the party whose costs are being assessed has a common interest with other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shall be assessed as party and party costs under Appendix B, unless the court orders that they be assessed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to be reasonable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assessment of party and party costs, the registrar shall allow those fees under Appendix B that were proper or reasonably necessary to conduct the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costs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court orders that costs be assessed as special costs, the registrar shall allow those fees that the registrar considers were proper or reasonably necessary to conduct the proceeding to which the fees relate, and, in exercising that discretion, the registrar shall consider all of the circumstances, including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 and the difficulty or the novelty of the issues involved,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solicitor,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expended in conducting the proceeding,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any party that tended to shorten, or to unnecessarily lengthen, the duration of the proceeding,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proceeding to the party whose bill is being assessed, and the result obtained,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to the party whose bill is being assessed of the services rendered by the solicitor.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Expenses and disbursements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determining the fees that are to be allowed on an assessment under subrule (1) or (3), the registrar </w:t>
      </w:r>
      <w:r>
        <w:rPr>
          <w:rFonts w:ascii="arial" w:eastAsia="arial" w:hAnsi="arial" w:cs="arial"/>
          <w:color w:val="000000"/>
          <w:sz w:val="20"/>
          <w:u w:val="single"/>
          <w:lang w:val="en-US" w:eastAsia="en-US" w:bidi="ar-SA"/>
        </w:rPr>
        <w:t>must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expenses and disbursements have been necessarily or properly incurred in the conduct of the proceeding,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expenses and disbursements.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Rule 63(1) to (3) of the Court of Appeal Rules,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Certain duties of the registrar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(1) The registrar is the officer before whom costs are assessed.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assessment of party and party costs, the registrar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allow those fees under Appendix B that were proper or reasonably necessary to conduct the proceeding.</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fees allowed on an assessment, the registrar must allow a reasonable amount for expenses and disbursements that were necessarily or properly incurred in the conduct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defendants take the position that the decision of the Court of Appeal in </w:t>
      </w:r>
      <w:hyperlink r:id="rId689" w:history="1">
        <w:r>
          <w:rPr>
            <w:rFonts w:ascii="arial" w:eastAsia="arial" w:hAnsi="arial" w:cs="arial"/>
            <w:i/>
            <w:color w:val="0077CC"/>
            <w:sz w:val="20"/>
            <w:u w:val="single"/>
            <w:shd w:val="clear" w:color="auto" w:fill="FFFFFF"/>
            <w:lang w:val="en-US" w:eastAsia="en-US" w:bidi="ar-SA"/>
          </w:rPr>
          <w:t>2010 BCCA 294</w:t>
        </w:r>
      </w:hyperlink>
      <w:r>
        <w:rPr>
          <w:rFonts w:ascii="arial" w:eastAsia="arial" w:hAnsi="arial" w:cs="arial"/>
          <w:color w:val="000000"/>
          <w:sz w:val="20"/>
          <w:lang w:val="en-US" w:eastAsia="en-US" w:bidi="ar-SA"/>
        </w:rPr>
        <w:t xml:space="preserve"> and the decision of the Chief Justice in </w:t>
      </w:r>
      <w:hyperlink r:id="rId686" w:history="1">
        <w:r>
          <w:rPr>
            <w:rFonts w:ascii="arial" w:eastAsia="arial" w:hAnsi="arial" w:cs="arial"/>
            <w:i/>
            <w:color w:val="0077CC"/>
            <w:sz w:val="20"/>
            <w:u w:val="single"/>
            <w:shd w:val="clear" w:color="auto" w:fill="FFFFFF"/>
            <w:lang w:val="en-US" w:eastAsia="en-US" w:bidi="ar-SA"/>
          </w:rPr>
          <w:t>2010 BCCA 83</w:t>
        </w:r>
      </w:hyperlink>
      <w:r>
        <w:rPr>
          <w:rFonts w:ascii="arial" w:eastAsia="arial" w:hAnsi="arial" w:cs="arial"/>
          <w:color w:val="000000"/>
          <w:sz w:val="20"/>
          <w:lang w:val="en-US" w:eastAsia="en-US" w:bidi="ar-SA"/>
        </w:rPr>
        <w:t xml:space="preserve"> are binding on this Court. Counsel for the defendants further argues that these decisions are directly applicable and cannot be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matter before me, I was advised of two concessions made by the defendants' counsel (Harper Grey LLP). The first concession was that the defendants Levy, Mercier, Materi, and Ganeson were all members of the CMPA in 1998. The second concession was that the CMPA paid all the costs and disbursements charged by Harper Grey LLP for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defendants further submitted that the second concession, being that the CMPA has paid all the costs charged by Harper Grey LLP to date, as noted by Lambert J.A.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is a separate question from whether liability has been discharged gratuitously or otherwise by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it was clear that someone, other than the defendant, paid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similar issue arose in </w:t>
      </w:r>
      <w:r>
        <w:rPr>
          <w:rFonts w:ascii="arial" w:eastAsia="arial" w:hAnsi="arial" w:cs="arial"/>
          <w:i/>
          <w:color w:val="000000"/>
          <w:sz w:val="20"/>
          <w:lang w:val="en-US" w:eastAsia="en-US" w:bidi="ar-SA"/>
        </w:rPr>
        <w:t>Plasway v. Abraham</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[1993] B.C.J. No. 1430</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88 B.C.L.R. (2d) 216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the physician who had been joined as a third party in a personal injury action was subject to an application alleging that he was not entitled to costs because his legal fees were paid by the CMPA to which he was a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Tysoe J. (as he was then) noted that the payment of costs by the CMPA was not determinative. Mr. Justice Tysoe held that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was distinguishable in that the defendant doctor was not liable for the expenses charged by his counsel, because he simply was not, in the case, so liable (see below). Mr. Justice Tysoe held at paras.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more recent of these two other cases is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(1993), 76 B.C.L.R. (2d) 212</w:t>
        </w:r>
      </w:hyperlink>
      <w:r>
        <w:rPr>
          <w:rFonts w:ascii="arial" w:eastAsia="arial" w:hAnsi="arial" w:cs="arial"/>
          <w:color w:val="000000"/>
          <w:sz w:val="20"/>
          <w:lang w:val="en-US" w:eastAsia="en-US" w:bidi="ar-SA"/>
        </w:rPr>
        <w:t xml:space="preserve"> (B.C.C.A.). In that case an award of costs had been made in favour of certain parties which were inactive companies. The legal expenses of counsel acting for the inactive companies had been paid by the principals of the companies. Relying on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the unsuccessful parties took the position that the inactive companies were not entitled to their costs because they did not pay the legal expenses of their counsel. In allowing the inactive companies to have the costs, Lambert J.A. stated that the matter turned entirely on an understanding of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Lambert J.A. observed that there were two steps in the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decision and he continued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step related to whether the doctor had himself incurred any liability for the costs of his solicitors and counsel and the disbursements that were incurred in his defence. That issue was answered on the basis that he had not in fact incurred any such costs or any liability for any such costs and fees.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step, and the one dealt with more extensively in the reasons, was whether there had to be, in those circumstances, a written contract of indemnity which required the Medical Protective Association to indemnify the doctor against his costs and fees, and whether they had done so, with the result that in carrying out their legal obligation to do so they had become subrogated to the doctor's rights to recover costs against the plaintiff. (pp. 214-5)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Lambert J.A. dealt with the passage from the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case that I emphasized above in this fashion: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those passages there is a linkage between the statement that the doctor had not incurred any liability for costs and disbursements and the event that the costs or disbursements had been paid on his behalf by the Canadian Medical Protective Association, but I do not think it was any essential part of the reasons in the </w:t>
      </w:r>
      <w:r>
        <w:rPr>
          <w:rFonts w:ascii="arial" w:eastAsia="arial" w:hAnsi="arial" w:cs="arial"/>
          <w:i/>
          <w:color w:val="000000"/>
          <w:sz w:val="20"/>
          <w:lang w:val="en-US" w:eastAsia="en-US" w:bidi="ar-SA"/>
        </w:rPr>
        <w:t>Qureshi v. Nickerson</w:t>
      </w:r>
      <w:r>
        <w:rPr>
          <w:rFonts w:ascii="arial" w:eastAsia="arial" w:hAnsi="arial" w:cs="arial"/>
          <w:color w:val="000000"/>
          <w:sz w:val="20"/>
          <w:lang w:val="en-US" w:eastAsia="en-US" w:bidi="ar-SA"/>
        </w:rPr>
        <w:t xml:space="preserve"> case that the basis for the concession that no liability had been incurred for the costs or disbursements was that they had been paid by the Medical Protective Association. It was the fact that they had not been incurred by the doctor that was the essential point in deciding point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cases which I have referred and which were discussed by Mr. Justice Murray in </w:t>
      </w:r>
      <w:r>
        <w:rPr>
          <w:rFonts w:ascii="arial" w:eastAsia="arial" w:hAnsi="arial" w:cs="arial"/>
          <w:i/>
          <w:color w:val="000000"/>
          <w:sz w:val="20"/>
          <w:lang w:val="en-US" w:eastAsia="en-US" w:bidi="ar-SA"/>
        </w:rPr>
        <w:t>Wenden v. Trikha</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[1992] A.J. No. 217</w:t>
        </w:r>
      </w:hyperlink>
      <w:r>
        <w:rPr>
          <w:rFonts w:ascii="arial" w:eastAsia="arial" w:hAnsi="arial" w:cs="arial"/>
          <w:color w:val="000000"/>
          <w:sz w:val="20"/>
          <w:lang w:val="en-US" w:eastAsia="en-US" w:bidi="ar-SA"/>
        </w:rPr>
        <w:t xml:space="preserve">, it is my opinion that the question of whether the liability for costs or disbursements was incurred is an entirely separate question from whether the liability has been discharged gratuitously or otherwise by another party. It is only if there has been no liability incurred that the principle that formed the basis of the decision in </w:t>
      </w:r>
      <w:r>
        <w:rPr>
          <w:rFonts w:ascii="arial" w:eastAsia="arial" w:hAnsi="arial" w:cs="arial"/>
          <w:i/>
          <w:color w:val="000000"/>
          <w:sz w:val="20"/>
          <w:lang w:val="en-US" w:eastAsia="en-US" w:bidi="ar-SA"/>
        </w:rPr>
        <w:t>Qureshi v. Nickerson</w:t>
      </w:r>
      <w:r>
        <w:rPr>
          <w:rFonts w:ascii="arial" w:eastAsia="arial" w:hAnsi="arial" w:cs="arial"/>
          <w:color w:val="000000"/>
          <w:sz w:val="20"/>
          <w:lang w:val="en-US" w:eastAsia="en-US" w:bidi="ar-SA"/>
        </w:rPr>
        <w:t xml:space="preserve"> becomes applicable. (pp. 216-7)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Lambert J.A. has interpreted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to mean that the doctor in that case was not liable for the legal expenses charged by his counsel because he was simply not liable for them. The payment of the legal expenses by the Association was not determinative in the view of Lambert J.A.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 similar conclusion was reached in the earlier decision of </w:t>
      </w:r>
      <w:r>
        <w:rPr>
          <w:rFonts w:ascii="arial" w:eastAsia="arial" w:hAnsi="arial" w:cs="arial"/>
          <w:i/>
          <w:color w:val="000000"/>
          <w:sz w:val="20"/>
          <w:lang w:val="en-US" w:eastAsia="en-US" w:bidi="ar-SA"/>
        </w:rPr>
        <w:t>Wenden v. Trikha</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(1992), 6 C.P.C. (3d) 15</w:t>
        </w:r>
      </w:hyperlink>
      <w:r>
        <w:rPr>
          <w:rFonts w:ascii="arial" w:eastAsia="arial" w:hAnsi="arial" w:cs="arial"/>
          <w:color w:val="000000"/>
          <w:sz w:val="20"/>
          <w:lang w:val="en-US" w:eastAsia="en-US" w:bidi="ar-SA"/>
        </w:rPr>
        <w:t xml:space="preserve"> (Alta. Q.B.), affirmed </w:t>
      </w:r>
      <w:hyperlink r:id="rId692" w:history="1">
        <w:r>
          <w:rPr>
            <w:rFonts w:ascii="arial" w:eastAsia="arial" w:hAnsi="arial" w:cs="arial"/>
            <w:i/>
            <w:color w:val="0077CC"/>
            <w:sz w:val="20"/>
            <w:u w:val="single"/>
            <w:shd w:val="clear" w:color="auto" w:fill="FFFFFF"/>
            <w:lang w:val="en-US" w:eastAsia="en-US" w:bidi="ar-SA"/>
          </w:rPr>
          <w:t>[1993] A.J. No. 121</w:t>
        </w:r>
      </w:hyperlink>
      <w:r>
        <w:rPr>
          <w:rFonts w:ascii="arial" w:eastAsia="arial" w:hAnsi="arial" w:cs="arial"/>
          <w:color w:val="000000"/>
          <w:sz w:val="20"/>
          <w:lang w:val="en-US" w:eastAsia="en-US" w:bidi="ar-SA"/>
        </w:rPr>
        <w:t xml:space="preserve">, February 23, 1993, Doc. Edmonton 9103-0810-AC (Alta. C.A.) referred to by Lambert J.A., another case involving a doctor belonging to the Association. Murray J. distinguished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on the basis that in the case before him there was no agreement between the doctor and the law firm that the doctor would not be liable in any circumstances to pay the fees of the law firm. Murray J. went on to conclude that the doctor was a client of the law firm liable to pay their fees and that it did not make any difference that the doctor may not have been primarily liable to pay the fees. He therefore held that the doctor was entitled to recover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present case, similar to the circumstances in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xml:space="preserve">, there is the concession that the defendants are CMPA members and that no costs have been incurred by them. There is, however, lack of evidence regarding further details such as those found in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Justice Tysoe in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xml:space="preserve"> dismissed the application for a direction that costs of the third party doctor be denied stating,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Accordingly, the concession made in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was of fundamental importance and the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xml:space="preserve">] case is distinguishable from the present situation. It is therefore necessary to look at the other pertinent authorities and they all favour the position of Dr. Wong that he is entitled to costs in this action even though he has not paid the fees and disbursements charged by his counsel to date. In particular, there was no concession in the </w:t>
      </w:r>
      <w:r>
        <w:rPr>
          <w:rFonts w:ascii="arial" w:eastAsia="arial" w:hAnsi="arial" w:cs="arial"/>
          <w:i/>
          <w:color w:val="000000"/>
          <w:sz w:val="20"/>
          <w:lang w:val="en-US" w:eastAsia="en-US" w:bidi="ar-SA"/>
        </w:rPr>
        <w:t>Wenden</w:t>
      </w:r>
      <w:r>
        <w:rPr>
          <w:rFonts w:ascii="arial" w:eastAsia="arial" w:hAnsi="arial" w:cs="arial"/>
          <w:color w:val="000000"/>
          <w:sz w:val="20"/>
          <w:lang w:val="en-US" w:eastAsia="en-US" w:bidi="ar-SA"/>
        </w:rPr>
        <w:t xml:space="preserve"> case that the doctor was not liable to pay the fees of his counsel and the Court held that he was entitled to his costs in a situation which is identical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Justice Tysoe went on to say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distinction between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and the other authorities may be viewed as an artificial one if, in fact, the fees of the counsel acting for the litigant have been paid by someone other than the litigant. Even if the litigant was liable to pay the fees, an award of costs would not be indemnifying them when the fees had been paid by someone else. The artificiality of the distinction has been acknowledged by the Courts. In the </w:t>
      </w:r>
      <w:r>
        <w:rPr>
          <w:rFonts w:ascii="arial" w:eastAsia="arial" w:hAnsi="arial" w:cs="arial"/>
          <w:i/>
          <w:color w:val="000000"/>
          <w:sz w:val="20"/>
          <w:lang w:val="en-US" w:eastAsia="en-US" w:bidi="ar-SA"/>
        </w:rPr>
        <w:t>Clarke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Clarke v. Millar</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[1967] 2 O.R. 366</w:t>
        </w:r>
      </w:hyperlink>
      <w:r>
        <w:rPr>
          <w:rFonts w:ascii="arial" w:eastAsia="arial" w:hAnsi="arial" w:cs="arial"/>
          <w:color w:val="000000"/>
          <w:sz w:val="20"/>
          <w:lang w:val="en-US" w:eastAsia="en-US" w:bidi="ar-SA"/>
        </w:rPr>
        <w:t xml:space="preserve"> (affirmed) </w:t>
      </w:r>
      <w:hyperlink r:id="rId694" w:history="1">
        <w:r>
          <w:rPr>
            <w:rFonts w:ascii="arial" w:eastAsia="arial" w:hAnsi="arial" w:cs="arial"/>
            <w:i/>
            <w:color w:val="0077CC"/>
            <w:sz w:val="20"/>
            <w:u w:val="single"/>
            <w:shd w:val="clear" w:color="auto" w:fill="FFFFFF"/>
            <w:lang w:val="en-US" w:eastAsia="en-US" w:bidi="ar-SA"/>
          </w:rPr>
          <w:t>12 D.L.R. (3d) 771</w:t>
        </w:r>
      </w:hyperlink>
      <w:r>
        <w:rPr>
          <w:rFonts w:ascii="arial" w:eastAsia="arial" w:hAnsi="arial" w:cs="arial"/>
          <w:color w:val="000000"/>
          <w:sz w:val="20"/>
          <w:lang w:val="en-US" w:eastAsia="en-US" w:bidi="ar-SA"/>
        </w:rPr>
        <w:t xml:space="preserve"> (S.C.C.), Taxing Officer McBride made the following comment: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the relationship of solicitor and client is much more obvious in this case than in </w:t>
      </w:r>
      <w:r>
        <w:rPr>
          <w:rFonts w:ascii="arial" w:eastAsia="arial" w:hAnsi="arial" w:cs="arial"/>
          <w:i/>
          <w:color w:val="000000"/>
          <w:sz w:val="20"/>
          <w:lang w:val="en-US" w:eastAsia="en-US" w:bidi="ar-SA"/>
        </w:rPr>
        <w:t>Armand v. Carr</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[1927] S.C.R. 348</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case, [1921] 1 K.B. 495, or </w:t>
      </w:r>
      <w:r>
        <w:rPr>
          <w:rFonts w:ascii="arial" w:eastAsia="arial" w:hAnsi="arial" w:cs="arial"/>
          <w:i/>
          <w:color w:val="000000"/>
          <w:sz w:val="20"/>
          <w:lang w:val="en-US" w:eastAsia="en-US" w:bidi="ar-SA"/>
        </w:rPr>
        <w:t>Broderick v. Fierro</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[1933] O.J. No. 407</w:t>
        </w:r>
      </w:hyperlink>
      <w:r>
        <w:rPr>
          <w:rFonts w:ascii="arial" w:eastAsia="arial" w:hAnsi="arial" w:cs="arial"/>
          <w:color w:val="000000"/>
          <w:sz w:val="20"/>
          <w:lang w:val="en-US" w:eastAsia="en-US" w:bidi="ar-SA"/>
        </w:rPr>
        <w:t xml:space="preserve">, and that, accordingly, the clients' liability to pay the solicitors' costs is more readily apparent in this case, </w:t>
      </w:r>
      <w:r>
        <w:rPr>
          <w:rFonts w:ascii="arial" w:eastAsia="arial" w:hAnsi="arial" w:cs="arial"/>
          <w:i/>
          <w:color w:val="000000"/>
          <w:sz w:val="20"/>
          <w:lang w:val="en-US" w:eastAsia="en-US" w:bidi="ar-SA"/>
        </w:rPr>
        <w:t>although no more real</w:t>
      </w:r>
      <w:r>
        <w:rPr>
          <w:rFonts w:ascii="arial" w:eastAsia="arial" w:hAnsi="arial" w:cs="arial"/>
          <w:color w:val="000000"/>
          <w:sz w:val="20"/>
          <w:lang w:val="en-US" w:eastAsia="en-US" w:bidi="ar-SA"/>
        </w:rPr>
        <w:t>, than in any of those three cases. (p. 369 of [1967] 2 O.R.) (emphasis added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defendants also made reference to the decision of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[1995] B.C.J. No. 305</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 B.C.L.R. (3d) 201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whereby the Court of Appeal held that the view that costs are awarded solely to indemnify the successful litigant for incurred costs is now outdated.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Cumming J.A. held that an award of costs can perform many functions, including to encourage or to deter certain types of conduct rather than merely serving to indemnify the successful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also important to note that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consisted of a five member panel of the Court of Appeal, whereby the Court was being asked to overrule an earlier decision of the Court.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xml:space="preserve">, the Court was considering a decision of the County Court, </w:t>
      </w:r>
      <w:hyperlink r:id="rId698" w:history="1">
        <w:r>
          <w:rPr>
            <w:rFonts w:ascii="arial" w:eastAsia="arial" w:hAnsi="arial" w:cs="arial"/>
            <w:i/>
            <w:color w:val="0077CC"/>
            <w:sz w:val="20"/>
            <w:u w:val="single"/>
            <w:shd w:val="clear" w:color="auto" w:fill="FFFFFF"/>
            <w:lang w:val="en-US" w:eastAsia="en-US" w:bidi="ar-SA"/>
          </w:rPr>
          <w:t>[1990] B.C.J. No. 1306</w:t>
        </w:r>
      </w:hyperlink>
      <w:r>
        <w:rPr>
          <w:rFonts w:ascii="arial" w:eastAsia="arial" w:hAnsi="arial" w:cs="arial"/>
          <w:color w:val="000000"/>
          <w:sz w:val="20"/>
          <w:lang w:val="en-US" w:eastAsia="en-US" w:bidi="ar-SA"/>
        </w:rPr>
        <w:t>, that self-represented lay litigants could not recover costs, other than disbursements. Mr. Justice Cumming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Evidence of that trend is found in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where McLachlin J.A. (as then she was), writing for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Costs in our system of litigation serve the purpose, not only of indemnifying the successful litigant to a greater or lesser degree, but of deterring frivolous actions or defences. Parties, in calculating the risks of proceeding with a particular action or defence, should be able to forecast with some degree of precision what penalty they face should they be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Therefore, I am satisfied that costs are not merely for indemnification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that plaintiff's counsel has sought leave to the Supreme Court of Canada and leave was dismissed with costs on June 11, 2009 (</w:t>
      </w:r>
      <w:hyperlink r:id="rId699" w:history="1">
        <w:r>
          <w:rPr>
            <w:rFonts w:ascii="arial" w:eastAsia="arial" w:hAnsi="arial" w:cs="arial"/>
            <w:i/>
            <w:color w:val="0077CC"/>
            <w:sz w:val="20"/>
            <w:u w:val="single"/>
            <w:shd w:val="clear" w:color="auto" w:fill="FFFFFF"/>
            <w:lang w:val="en-US" w:eastAsia="en-US" w:bidi="ar-SA"/>
          </w:rPr>
          <w:t>[2009] S.C.C.A. No. 106</w:t>
        </w:r>
      </w:hyperlink>
      <w:r>
        <w:rPr>
          <w:rFonts w:ascii="arial" w:eastAsia="arial" w:hAnsi="arial" w:cs="arial"/>
          <w:color w:val="000000"/>
          <w:sz w:val="20"/>
          <w:lang w:val="en-US" w:eastAsia="en-US" w:bidi="ar-SA"/>
        </w:rPr>
        <w:t>). However, after the plaintiff was denied leave by the Supreme Court of Canada, he then sought reconsideration from the Registrar of the Supreme Court of Canada which was also dismissed. At the date of this hearing, the plaintiff advised the Court that he was again seeking reconsideration regarding his leave to the Supreme Court of Canada application, and that there was a pending leave application on the reassessment matter at the Supreme Court of Canada (</w:t>
      </w:r>
      <w:hyperlink r:id="rId700" w:history="1">
        <w:r>
          <w:rPr>
            <w:rFonts w:ascii="arial" w:eastAsia="arial" w:hAnsi="arial" w:cs="arial"/>
            <w:i/>
            <w:color w:val="0077CC"/>
            <w:sz w:val="20"/>
            <w:u w:val="single"/>
            <w:shd w:val="clear" w:color="auto" w:fill="FFFFFF"/>
            <w:lang w:val="en-US" w:eastAsia="en-US" w:bidi="ar-SA"/>
          </w:rPr>
          <w:t>[2010] S.C.C.A. No. 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am bound by the decisions of the Court of Appeal in </w:t>
      </w:r>
      <w:hyperlink r:id="rId686" w:history="1">
        <w:r>
          <w:rPr>
            <w:rFonts w:ascii="arial" w:eastAsia="arial" w:hAnsi="arial" w:cs="arial"/>
            <w:i/>
            <w:color w:val="0077CC"/>
            <w:sz w:val="20"/>
            <w:u w:val="single"/>
            <w:shd w:val="clear" w:color="auto" w:fill="FFFFFF"/>
            <w:lang w:val="en-US" w:eastAsia="en-US" w:bidi="ar-SA"/>
          </w:rPr>
          <w:t>2010 BCCA 83</w:t>
        </w:r>
      </w:hyperlink>
      <w:r>
        <w:rPr>
          <w:rFonts w:ascii="arial" w:eastAsia="arial" w:hAnsi="arial" w:cs="arial"/>
          <w:color w:val="000000"/>
          <w:sz w:val="20"/>
          <w:lang w:val="en-US" w:eastAsia="en-US" w:bidi="ar-SA"/>
        </w:rPr>
        <w:t xml:space="preserve"> and </w:t>
      </w:r>
      <w:hyperlink r:id="rId689" w:history="1">
        <w:r>
          <w:rPr>
            <w:rFonts w:ascii="arial" w:eastAsia="arial" w:hAnsi="arial" w:cs="arial"/>
            <w:i/>
            <w:color w:val="0077CC"/>
            <w:sz w:val="20"/>
            <w:u w:val="single"/>
            <w:shd w:val="clear" w:color="auto" w:fill="FFFFFF"/>
            <w:lang w:val="en-US" w:eastAsia="en-US" w:bidi="ar-SA"/>
          </w:rPr>
          <w:t>2010 BCCA 294</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 I find that to accede to the plaintiff's argument and assess costs at nil would, in effect, be overruling the Court of Appeal and would further be at odds with the very decisions of the Court. I therefore dismiss the review from the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I would answer the questions in this application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Supreme Court Judge on a review of the Registrar of the Supreme Court's assessment of costs have jurisdiction to grant an order that would negate the order of the Court of Appeal which awarded costs in the action? -- No.</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Registrar of the Supreme Court have jurisdiction to negate an order of the Court of Appeal in the fashion proposed by the plaintiff, that the award of costs be assessed at nil? -- No.</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a Supreme Court Judge or the Registrar of the Supreme Court has jurisdiction to negate an order of the Court of Appeal, by awarding no costs, would such a decision have been an error of law to do so? --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Review from the assessment of costs made on November 24, 2009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Pan Pacific Auto &amp; Diesel Services Ltd. v. Khalsa Credit Union, [2007] B.C.J. No. 1459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S025800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730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Pan Pacific Auto &amp; Diesel Services Ltd. &amp; Jasvir Singh Virdi, Plaintiffs, and Khalsa Credit Union, The Bank of Nova Scotia Trust Company also known as Scotia Bank &amp; Amex Canada Inc. also known as Amex Bank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4"/>
      <w:bookmarkEnd w:id="214"/>
      <w:r>
        <w:rPr>
          <w:rFonts w:ascii="arial" w:eastAsia="arial" w:hAnsi="arial" w:cs="arial"/>
          <w:b/>
          <w:color w:val="000000"/>
          <w:sz w:val="20"/>
          <w:lang w:val="en-US" w:eastAsia="en-US" w:bidi="ar-SA"/>
        </w:rPr>
        <w:t>Bills of exchange — Bills, cheques and notes — Holders — Holders in due course — Who constitute — Action by the plaintiffs for the release of funds dismissed — Plaintiffs became entitled to the funds from a credit card issued by one of the defendants — Credit card was subsequently reported to be fraudulent — Plaintiffs were not entitled to the funds — Transaction was affected by fraud — Plaintiffs failed to show they were holders in due course — They failed to demonstrate that value in good faith subsequent to the fraud was given by some other holder in due course — Defendant credit card issuer was entitled to judgment on its counterclaim for the funds paid out on the card.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3"/>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for a release of funds -- Counterclaim by the defendant Amex Bank of Canada for funds charged out on a credit card issued by it -- Plaintiff Virdi was a heavy duty mechanic -- He was the sole proprietor of the plaintiff Pan Pacific Auto &amp; Diesel Services Ltd. -- Pan had a chequing account with the defendant Khalsa Credit Union -- It also had a merchant account with Amex -- Virdi had an account with the defendant Bank of Nova Scotia -- Pan claimed that it sold to a person named Kwong automotive and diesel parts for $41,995 -- Kwong paid the amount in full using his Amex credit card -- Amex deposited $40,485 into Pan's account at Khalsa -- On Virdi's instructions Khalsa issued a $40,000 bank draft made payable to him and the Khalsa account was debited for this amount -- Virdi deposited the draft into his account with BNS that he had just opened -- Khalsa's branch manager was then advised by Amex that it suspected that the credit card transaction that was the basis for the deposit was obtained through a fraudulent credit card -- BNS asked Khalsa if its cheque, which was an official order, was valid -- It decided to hold the official order pending further directions -- Amex subsequently arranged with BNS to hod the official order instead of presenting it and provided BNS with a letter of indemnity -- Khalsa was not involved in these arrangements -- It continued to hold the $40,000 in a suspense account -- BNS continued to hold the official order but maintained that, since title to it was disputed, that it was a neutral stakeholder -- Plaintiffs claimed that they were the victims of the defendants' conversion of their funds --Khalsa breached its contractual obligation because it took a fee for the bank draft and then interfered with the negotiation of the official cheque -- BNS breached its contractual obligation because it refused to deposit the cheque -- Amex breached its contract because it reneged on its approval of the $40,485 it credited to Pan's account and it then interfered with the plaintiffs' access to the money -- Plaintiffs claimed that the defendants did not rebut their claim that there was wrongful interference with their right of possession -- Amex provided evidence about the Kwong card -- It was used twice and both transactions were with Pan -- Kwong card and a card in the name of Virdi's wife had the same address -- Virdi could not remember the transactions with Kwong -- Invoices for the sale of the equipment were lacking in necessary details -- Amex claimed that there was no conversion of the plaintiffs' property because they were not entitled to that property -- Issuance of the card to Kwong was induced by fraud -- Amex alleged that the plaintiffs knew this fact -- There were no legitimate transactions that underlied the Kwong charges or Pan's merchant account -- Amex relied on s. 57(2) of the Bills of Exchange Act -- It provided that every holder of a bill was, in the absence of evidence to the contrary, deemed to be a holder in due course -- If, in any action on a bill, the bill was affected with fraud, the burden of proof that he was the holder in due course was on the holder, unless he proved that, subsequent to the alleged fraud, value in good faith was given for the bill by some other holder in due course -- Amex counterclaimed for the $41,995 paid out on the second charge on the Kwong card -- HELD: Action dismissed -- Counterclaim allowed -- Virdi did not address the problems that existed with his evidence and also did not address the fact that Kwong had the same address as his wife -- Virdi overlooked the fact that this was a transaction affected by fraud -- Given that it was affected by fraud the onus was on the plaintiffs to establish that they were holders in due course -- This imposed on them an obligation to demonstrate that the value in good faith subsequent to the fraud or illegality was given by some other holder in due course -- Plaintiffs failed to demonstrate that such occurred because they could not marshal sufficient cogent evidence in that regard -- Evidence as a whole raised significant doubts as to the bona fides of the transactions that formed the basis of the official order -- Plaintiffs did not establish that subsequent to the fraud that value for good faith was given for the bill -- Evidence did not establish there was any such transaction underlying the issue of the official order -- Amex was awarded judgment for its counterclaim against the defendants because it established the best claim to the money -- BNS was at liberty to release the funds it held to Amex -- Khalsa was at liberty to void its official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Counsel_34"/>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Barker.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Scotia Bank and Amex Bank of Canada: J.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Khalsa Credit Union: D. Unterman.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34"/>
      <w:bookmarkEnd w:id="217"/>
      <w:r>
        <w:pict>
          <v:line id="_x0000_s1177" style="position:absolute;z-index:2517964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McEWAN J._0"/>
            <w:bookmarkEnd w:id="218"/>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Jasvir Singh Virdi, is a heavy duty mechanic. He is the sole proprietor of Pan Pacific Auto &amp; Diesel Services Ltd.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Company had a chequing account (#248401 Br 02) at the Khalsa Credit Union, ("Khalsa") and a merchant account with Amex Bank of Canada (#932-043-2942) ("Amex"). It also had an account with the Bank of Nova Scotia ("BNS"), which it opened on September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Company pleads that it sold a person named W.I. Kwong automotive and diesel parts for $41,995.00, including $2,747.34 G.S.T. It says Mr. Kwong paid the amount in full on August 18, 2002 using American Express credit card #3735 006218 31005.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22, 2002 Amex deposited $40,485.09 to the Company's account at Khalsa (account #248401 Br 02), pursuant to its merchant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same day, on Mr. Virdi's instructions, Khalsa issued a bank draft in the amount of $40,000 payable to him. The Khalsa account was debited $40,000 plus a $5.00 transaction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6, 2002, Mr. Virdi deposited the draft into the account he had just opened at the BNS in his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same day, Mr. Sukhwinder Grewal, the branch manager of Khalsa in Surrey, received a call from a representative of Amex saying that Amex had a suspicion that the credit card transaction underlying the deposit had been obtained through a fraudulent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same morning Khalsa Credit Union received a fax from the BNS asking if its cheque (official order #27242) was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BNS decided to hold the official order pending further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Amex subsequently arranged with the BNS to hold the official order instead of presenting it, providing it with a letter of indemnity. Khalsa was not involved in these arrangements. It still holds the $40,000 in a suspense account. BNS continues to hold the official order but maintains that, inasmuch as title to it is disputed, it is a "neutral stakeholder."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Virdi claims to be entitled to the release of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against all of the defendants the plaintiffs plead sections 2, 75, 77, 78, 80, 95, 130 and 134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These read as follows: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"acceptance"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"acceptance" means an acceptance completed by delivery or notification;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"action" includes counter-claim and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"bank"</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"bank" means a bank or an authorized foreign bank within the meaning of section 2 of the </w:t>
            </w:r>
            <w:r>
              <w:rPr>
                <w:rFonts w:ascii="arial" w:eastAsia="arial" w:hAnsi="arial" w:cs="arial"/>
                <w:i/>
                <w:color w:val="000000"/>
                <w:sz w:val="18"/>
                <w:lang w:val="en-US" w:eastAsia="en-US" w:bidi="ar-SA"/>
              </w:rPr>
              <w:t>Bank Act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"bearer"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"bearer" means the person in possession of a bill or note that is payable to bearer;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means bill of exchange;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"defence" "defence" includes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"delivery"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"delivery" means transfer of possession, actual or constructive, from one person to another;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"holder"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"holder" means the payee or endorsee of a bill or note who is in possession of it, or the bearer thereof;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means the first delivery of a bill or note, complete in form, to a person who takes it as a holder;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"non-business days"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"non-business days" means days directed by this Act to be observed as legal holidays or non-juridical days, and any other day is a business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 means promissory note;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"value"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"value" means valuable consideration.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1985, c. B-4, s. 2; 1999, c. 28, s. 148.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holder of a bill, drawn payable elsewhere than at the place of business or residence of the drawee, has no time, with the exercise of reasonable diligence, to present the bill for acceptance before presenting the bill for acceptance before presenting it for payment is excused and does not discharge the drawer and endorsers.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c. B-5, s. 76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bill is duly presented for acceptance that is presented in accordance with the following rules: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presentment must be made by or on behalf of the holder to the drawee or to a person authorized to accept or refuse acceptance on his behalf, at a reasonable hour on a business day and before the bill is overdue;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bill is addressed to two or more drawees who are not partners, presentment must be made to all of them, unless one has authority to accept for all, in which case presentment may be made to him only;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drawee is dead, presentment may be made to his personal representative;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authorized by agreement or usage, a presentment through the post office is 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c. B-5, s.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78(1) Presentment in accordance with the rules set out in section 77 is excused, and a bill may be treated as dishonoured by non-acceptance where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drawee is dead, or is a fictitious person or a person not having capacity to contract by bill;</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exercise of reasonable diligence, the presentment cannot be effected; or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presentment has been irregular, acceptance has been refused on some other ground.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holder has reason to believe that the bill, on presentment, will be dishonoured does not excuse presentment.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c. B-5, s. 79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A bill is dishonoured by non-acceptance when</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duly presented for acceptance and such an acceptance as is prescribed by this Act is refused or cannot be obtained; or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presentment for acceptance is excused and the bill is not accepted.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c B-5, s. 81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95(1) Subject to this Act, when a bill has been dishonoured by non-acceptance or by non-payment, notice of dishonour must be given to the drawer and each endorser, and any drawer or endorser to whom the notice is not given is discharged.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bill is dishonoured by non-acceptance and notice of dishonour is not given, the rights or a holder in due course subsequent to the omission are not prejudiced by the omission.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bill is dishonoured by non-acceptance and due notice of dishonour is given, it is not necessary to give notice of a subsequent dishonour by non-payment, unless the bill is accepted in the meantime.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is liable as drawer, endorser or acceptor of a bill who has not signed it as such, but when a person signs a bill otherwise than as a drawer or acceptor, he thereby incurs the liabilities of an endorser to a holder in due course and is subject to all the provisions of this Act respecting endorsers.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bill that has been dishonoured, the holder may recover from any party liable on the bill, the drawer who has been compelled to pay the bill may recover from the acceptor, and an endorser who has been compelled to pay the bill may recover from the acceptor or from the drawer, or from a prior endorser, the damages prescribed in section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Khalsa explains that it received a direct deposit of $40,485.09 from Amex to the Company's account and then issued the "official order", in the amount of $40,000 to Mr. Virdi. The funds were removed from the Company's account and placed in a special account at Kalsa where money is held when such orders are issued. Khalsa takes the position that it has no obligation to pay until the order is presented, and says that accordingly it has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paid. It also says that if the order were presented it would be obliged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BNS says that it simply holds the order. Its pleadings include an application for an order of interpleader.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Amex pleads that it does not have possession of the order or the funds represented by the order, which are respectively in the possession of the BNS, as to the order, and the Khalsa, as to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Amex pleads sections 55(2) and 57(2)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They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55(1) A holder in due course is a holder who has taken a bill, complete and regular on the face of it, under the following conditions, namely,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became the holder of it before it was overdue and without notice that it had been previously dishonoured, if such was the face;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took the bill in good faith and for value, and that at the time the bill was negotiated to him he had no notice of any defect in the title of the person who negotiated it.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the title of a person who negotiates a bill is defective within the meaning of this Act when he obtained the bill, or the acceptance thereof, by fraud, duress or force and fear, or other unlawful means, or for an illegal consideration, or when he negotiates it in breach of faith, or under such circumstances as amount to a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 holder, whether for value or not, who derives his title to a bill through a holder in due course, and who is not himself a party to any fraud or illegality affecting it, has all the rights of that holder in due course as regards the acceptor and all parties to the bill prior to that 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57(1) Every party whose signature appears on a bill is, in the absence of evidence to the contrary, deemed to have become a party thereto for value.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holder of a bill is, in the absence of evidence to the contrary, deemed to be a holder in due course, but if, in any action on a bill, it is admitted or proved that the acceptance, issue or subsequent negotiation of the bill is affected with fraud, duress or force and fear, or illegality, the burden of proof that he is the holder in due course is on him, unless and until he proves that, subsequent to the alleged fraud or illegality, value has in good faith been given for the bill by some other holder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Amex pleads that the issue of a credit card to a party named W.J. Kwong was induced by fraud, and that shortly after the card was issued, on June 5, 2002, the Company entered into a merchant agreement with Amex. Only two charges were ever processed against that account, on July 30, 2002, for $75,000, and the second $41,995 charge which is the charge underlying the plaintiff's action. The Amex account was closed on August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Amex pleads that the plaintiffs knew or ought to have known that the Kwong card was fraudulent, and that in any event they knew or ought to have known there was no legitimate underlying transaction for the first or second charge. It seeks a set off and counterclaims for each of the two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respond to the counterclaim with a bare denial and repetition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rely on the legal definition of conversion, an example of which they quote from </w:t>
      </w:r>
      <w:r>
        <w:rPr>
          <w:rFonts w:ascii="arial" w:eastAsia="arial" w:hAnsi="arial" w:cs="arial"/>
          <w:b/>
          <w:i/>
          <w:color w:val="000000"/>
          <w:sz w:val="20"/>
          <w:lang w:val="en-US" w:eastAsia="en-US" w:bidi="ar-SA"/>
        </w:rPr>
        <w:t>National Holdings Ld. v. Canadian Imperial Bank of Commerce,</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[2005] B.C.J. No. 560</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2005 BCSC 369</w:t>
        </w:r>
      </w:hyperlink>
      <w:r>
        <w:rPr>
          <w:rFonts w:ascii="arial" w:eastAsia="arial" w:hAnsi="arial" w:cs="arial"/>
          <w:color w:val="000000"/>
          <w:sz w:val="20"/>
          <w:lang w:val="en-US" w:eastAsia="en-US" w:bidi="ar-SA"/>
        </w:rPr>
        <w:t xml:space="preserve"> per Gray J. at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conversion is a wrongful interference with goods, such as by taking, using or destroying them in a manner inconsistent with the owner's right of possession. To constitute the injury there must be some act of the defendant repudiating the owner's right, or some exercise of dominion inconsistent with it. The wrongful act may be done in all innocence, but this is no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take the position that Khalsa has breached its contractual obligation by taking a $5.00 fee and then interfering with negotiation of the official cheque; that BNS has breached its contractual obligation by refusing to deposit the cheque; and that Amex has breached its contract with the Company by reneging on its approval of the $40,485.09 it credited to the Company's account and then interfering with the plaintiffs' access to the money. The plaintiffs allege that Amex has, in so interfering, also committed the tort of inducing the breaches of contract of Khalsa and Bank of Nova Scotia.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acknowledge that Amex was defrauded by "someone who: a) obtained the Kwong credit card; b) obtained the Kwong cheques on the California Bank; c) ... used the Kwong credit cards at a number of businesses in B.C., including that of Pan Pacific; d) [and] ... used the "Kwong" cheques to pay the Kwong Amex account", to quote from their submission. The plaintiffs suggest that Amex did not specifically plead that the plaintiffs were directly involved in the fraud: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Amex says that on or about May 17, 2002 an Amex credit card was issued in the name of Dr. W.J. Kwong which was subsequently discovered to be fraudulent ...</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Amex says that the Kwong Card was used at Pan Pacific on or about July 30, 2002 in the amount of $75,000 ... and on or about August 18, 2002, in the amount of $41,995.00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Amex says that Plaintiffs or either of them, knew or ought to have known that the Kwong Card was fraudulent or were reckless or wilfully blind in whether it was fraudulent. In either case, the Plaintiffs, or either of them, knew or ought to have known there was no legitimate underlying transaction for the First Charge and the Second Charge.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Amex says that the funds to purchase the Order were obtained through fraud and the Plaintiffs have no proprietary right to, interest in or title to the Order and title to the Order is defective.</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[from the pleadings of Amex and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submit that the state of the proof is such that the defendants have not shown circumstances that would rebut the plaintiffs' claim that there has been a wrongful interference with its </w:t>
      </w:r>
      <w:r>
        <w:rPr>
          <w:rFonts w:ascii="arial" w:eastAsia="arial" w:hAnsi="arial" w:cs="arial"/>
          <w:color w:val="000000"/>
          <w:sz w:val="20"/>
          <w:u w:val="single"/>
          <w:lang w:val="en-US" w:eastAsia="en-US" w:bidi="ar-SA"/>
        </w:rPr>
        <w:t>prima facie</w:t>
      </w:r>
      <w:r>
        <w:rPr>
          <w:rFonts w:ascii="arial" w:eastAsia="arial" w:hAnsi="arial" w:cs="arial"/>
          <w:color w:val="000000"/>
          <w:sz w:val="20"/>
          <w:lang w:val="en-US" w:eastAsia="en-US" w:bidi="ar-SA"/>
        </w:rPr>
        <w:t xml:space="preserve"> right of possession. They submit that the onus is high, citing </w:t>
      </w:r>
      <w:r>
        <w:rPr>
          <w:rFonts w:ascii="arial" w:eastAsia="arial" w:hAnsi="arial" w:cs="arial"/>
          <w:b/>
          <w:i/>
          <w:color w:val="000000"/>
          <w:sz w:val="20"/>
          <w:lang w:val="en-US" w:eastAsia="en-US" w:bidi="ar-SA"/>
        </w:rPr>
        <w:t>Continental Insurance Co. v. Dalton Cartage Co. Ltd. et al</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131 D.L.R. (3d) 559</w:t>
        </w:r>
      </w:hyperlink>
      <w:r>
        <w:rPr>
          <w:rFonts w:ascii="arial" w:eastAsia="arial" w:hAnsi="arial" w:cs="arial"/>
          <w:color w:val="000000"/>
          <w:sz w:val="20"/>
          <w:lang w:val="en-US" w:eastAsia="en-US" w:bidi="ar-SA"/>
        </w:rPr>
        <w:t xml:space="preserve"> (S.C.C.) per Laskin J. at paragraph page 563, citing Lord Denning in </w:t>
      </w:r>
      <w:r>
        <w:rPr>
          <w:rFonts w:ascii="arial" w:eastAsia="arial" w:hAnsi="arial" w:cs="arial"/>
          <w:b/>
          <w:i/>
          <w:color w:val="000000"/>
          <w:sz w:val="20"/>
          <w:lang w:val="en-US" w:eastAsia="en-US" w:bidi="ar-SA"/>
        </w:rPr>
        <w:t>Bater v. Bater</w:t>
      </w:r>
      <w:r>
        <w:rPr>
          <w:rFonts w:ascii="arial" w:eastAsia="arial" w:hAnsi="arial" w:cs="arial"/>
          <w:color w:val="000000"/>
          <w:sz w:val="20"/>
          <w:lang w:val="en-US" w:eastAsia="en-US" w:bidi="ar-SA"/>
        </w:rPr>
        <w:t xml:space="preserve"> [1950] 2 All E.R. 458 c. 459: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great judges have said that in proportion as the crime is enormous, so ought the proof to be clear. So also in civil cases.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They further cite in </w:t>
      </w:r>
      <w:r>
        <w:rPr>
          <w:rFonts w:ascii="arial" w:eastAsia="arial" w:hAnsi="arial" w:cs="arial"/>
          <w:b/>
          <w:i/>
          <w:color w:val="000000"/>
          <w:sz w:val="20"/>
          <w:lang w:val="en-US" w:eastAsia="en-US" w:bidi="ar-SA"/>
        </w:rPr>
        <w:t>Kolesnykov v. ICBC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[2004] B.C.J. No. 202</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2004 BCSC 173</w:t>
        </w:r>
      </w:hyperlink>
      <w:r>
        <w:rPr>
          <w:rFonts w:ascii="arial" w:eastAsia="arial" w:hAnsi="arial" w:cs="arial"/>
          <w:color w:val="000000"/>
          <w:sz w:val="20"/>
          <w:lang w:val="en-US" w:eastAsia="en-US" w:bidi="ar-SA"/>
        </w:rPr>
        <w:t>, where Martinson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Because fraud is a quasi-criminal allegation and a finding of fraud could affect the claimant's life well beyond the outcome of the insurance claim, the trial judge, when scrutinizing the evidence, must keep in mind that substantially more than a mere tilting of the evidentiary scales is required. The quality of the evidence must be assessed taking into account the degree of proof required. The scrutiny is heightened in the sense that the judge must determine whether the evidence is clear and cogent enough to more than just tilt the scales. The more serious the allegation and its consequences, the greater the degree of proof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Amex does not take particular issue with the law as set out by the plaintiffs, as far as it goes. It's position (in which it is joined by BNS) is that there can be no conversion of property as against a person or person who is not entitled, as owner, to that property, and that the plaintiffs' knew or ought to have known that the Kwong card was fraudulent. It also submits that there were no legitimate transactions underlying the Kwong charges or the Company's merchant account. Inasmuch as Mr. Virdi is the sole proprietor of the Company, what the plaintiffs knew or ought to have known is, in fact, what </w:t>
      </w:r>
      <w:r>
        <w:rPr>
          <w:rFonts w:ascii="arial" w:eastAsia="arial" w:hAnsi="arial" w:cs="arial"/>
          <w:color w:val="000000"/>
          <w:sz w:val="20"/>
          <w:u w:val="single"/>
          <w:lang w:val="en-US" w:eastAsia="en-US" w:bidi="ar-SA"/>
        </w:rPr>
        <w:t>he</w:t>
      </w:r>
      <w:r>
        <w:rPr>
          <w:rFonts w:ascii="arial" w:eastAsia="arial" w:hAnsi="arial" w:cs="arial"/>
          <w:color w:val="000000"/>
          <w:sz w:val="20"/>
          <w:lang w:val="en-US" w:eastAsia="en-US" w:bidi="ar-SA"/>
        </w:rPr>
        <w:t xml:space="preserve"> knew or ought to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Virdi said nothing in his direct evidence concerning the transaction underlying the issue of the Amex charge. In cross examination he was obliged to answer questions put to him about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dealing with that evidence I think it best, however, to address the evidence adduced by Amex in it's side of the case, to provide some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Richard Neals, whose title is Director of Corporate Security, Canada, for Amex, testified concerning the investigation of the Kwong Amex card. Mr. Neals went through a series of Amex records. The Amex merchant account set up record verifies that the Company opened an account with Amex on June 5, 2002. Mr. Virdi is represented on the document as the "owner"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record concerning the Kwok Amex Card shows that it was opened as a result of an internet application. The applicant gave a Surrey address, "Apt. 228 6832 King George Hwy. Surrey, B.C. V3W 4Z9". The same applicant filled out the form by giving his own fax number as his Bank fax number. The record confirms that the card was used twice, and that both transactions were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Two cheques printed with "the Bank of California Private Banking" on their face, and bearing a Surrey address with "Doctor Kwong" and "Dr. Wilson Kwong" printed on them, were written to Amex on August 16, 2002 and August 23, 2002 for $74,999.00 and $42,599 respectively. These were delivered from a downtown Vancouver travel office. Other records in Amex's possession showed that a "Bajan Virdi" lived at 6832 King George Highway". The postal code is recorded as "V3W 4C9".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Amex searched the name "Virdi" it was determined that the Kwong card and a card in the name of Bajan Virdi, Mr. Virdi's wife, had the same address. Mr. Neals also went through a number of accounting records demonstrating how the Kwong card was "keyed" a number of times, an indication that the person using it might be testing whether it could be processed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 examination Mr. Virdi agreed that his business was repairs, rentals and inspection of heavy equipment until 2001, at which time the Company lost its licence to perform inspections. He expressed some pride in his abilities as a mechanic but did not describe his business as one engaged in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Virdi said that he applied for the Amex card in response to "flyers" Amex circulated, and that he was motivated to do so because some customers wanted to pay him by that means. Despite the fact that he had no computer at work, and could apply by telephone, or fax, or by submitting a written application, he says his daughter, who lives in Abbotsford, applied on his behalf. Mr. Virdi says his son, who lives in his basement on an on and off basis, had nothing to do with the account. He did acknowledge that his son had been charged with a form of credit card fraud in 1999 and 2000 and that he sometimes went with him to court. He also acknowledged helping his son carry a large amount of money across the American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Virdi said that the Company was busy and had between 100 and 130 customers. In 2001 he had reported sales of $149,137, and in 2002, of $136,049. When he was asked if this did not imply that the majority of his business in 2002 was represented by the two Kwong transactions, he suggested that, as disputed transactions, they had been kept off his books by his accountant. He agreed, however that he received $72,000 in the first transaction and that the only money outstanding is the subject matter of his claim in this action. This still means that over half of the Company's sales in 2002 are represented by that single transaction. If both sales are counted, there is only $24,000 in sales to other customers. This is very difficult to square with Mr. Verdi's evidence that he worked ten to fourteen homes per day charging about $60 per hour, with some jobs charged at up to $150 per hour. It is, on the other hand, quite possible to square this level of activity the Company's </w:t>
      </w:r>
      <w:r>
        <w:rPr>
          <w:rFonts w:ascii="arial" w:eastAsia="arial" w:hAnsi="arial" w:cs="arial"/>
          <w:color w:val="000000"/>
          <w:sz w:val="20"/>
          <w:u w:val="single"/>
          <w:lang w:val="en-US" w:eastAsia="en-US" w:bidi="ar-SA"/>
        </w:rPr>
        <w:t>reported sales</w:t>
      </w:r>
      <w:r>
        <w:rPr>
          <w:rFonts w:ascii="arial" w:eastAsia="arial" w:hAnsi="arial" w:cs="arial"/>
          <w:color w:val="000000"/>
          <w:sz w:val="20"/>
          <w:lang w:val="en-US" w:eastAsia="en-US" w:bidi="ar-SA"/>
        </w:rPr>
        <w:t>, assuming Mr. Virdi works alone. If either or both the Amex transactions are included, however, he does not work nearly as hard, or have nearly as many customers as he claims, or he works for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other problems with Mr. Virdi's evidence. These very large transactions are curiously unmemorable to him. He has not always remembered the name of this huge customer - on Discovery, he called him "Wong" - nor did he find out who had referred Mr. Kwong to him, although he says another customer did so. It is also difficult to understand what sort of "customer" of a "repair" shop would be the source of a referral for the purchase of two large orders for equipment, which were completely anomalous transactions. Mr. Virdi could not be sure whether Mr. Kwong came with a flatbed trailer or a five ton truck, a discrepancy between his testimony at trial and the evidence he gave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invoices themselves are rather lacking in detail. They appear to be bare lists of miscellaneous parts. There are no documents verifying the acquisition, the ownership, or even the existence of these chattels beyond the invoices themselves. The court is left with evidence that one Kwong (or was it Wong?) pulled up one day with a flatbed (or was it a 5-ton?) and purchased equipment for amounts approaching the yearly revenue of the plaintiff's repair shop, in transactions that were unprecedented in character (equipment sales rather than repairs), and kind (the only two Amex accounts ever processed). The unknown fraudster, Kwong, seems to have used the same street address as that of 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as I have noted, addresses none of these curiosities, but bases his case on a theory that having crossed the threshold of obtaining an official order, none of it matters. In taking this position he overlooks the fact that this is a transaction "affected by fraud" within the meaning of section 57(2). While the plaintiff's concede that "Kwong" perpetrated a fraud, they suggest that, absent a specific plea that they are themselves </w:t>
      </w:r>
      <w:r>
        <w:rPr>
          <w:rFonts w:ascii="arial" w:eastAsia="arial" w:hAnsi="arial" w:cs="arial"/>
          <w:color w:val="000000"/>
          <w:sz w:val="20"/>
          <w:u w:val="single"/>
          <w:lang w:val="en-US" w:eastAsia="en-US" w:bidi="ar-SA"/>
        </w:rPr>
        <w:t>direct</w:t>
      </w:r>
      <w:r>
        <w:rPr>
          <w:rFonts w:ascii="arial" w:eastAsia="arial" w:hAnsi="arial" w:cs="arial"/>
          <w:color w:val="000000"/>
          <w:sz w:val="20"/>
          <w:lang w:val="en-US" w:eastAsia="en-US" w:bidi="ar-SA"/>
        </w:rPr>
        <w:t xml:space="preserve"> parties to the fraud, the defendants have no recourse. That is not, however,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that the transaction is "affected" by fraud, the burden falls on the plaintiffs to establish that they are holders in due course. This imposes on them an obligation to demonstrate that "value in good faith" subsequent to the fraud or illegality has been given by "some other holder in due course". The plaintiffs, being the only such subsequent holders, must, in the circumstances, demonstrate that such has occurred. In order to do so they must satisfy the court, on a balance of probabilities, by marshalling sufficient cogent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are circumstances where that might simply be the sworn evidence of a party on a witness. In the case of large commercial transactions, however, the absence of any means of verification of the existence of the materials transacted, documentary or otherwise, combined with a dearth of evidence as to who took the material, where, for what purpose, and by what means, will tend to undermine any bare assertion that such a transaction actually occurred. There is also the remarkable convergence of the street address of the fraudster and a person closely linked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evidence as a whole raises significant doubt as to the </w:t>
      </w:r>
      <w:r>
        <w:rPr>
          <w:rFonts w:ascii="arial" w:eastAsia="arial" w:hAnsi="arial" w:cs="arial"/>
          <w:color w:val="000000"/>
          <w:sz w:val="20"/>
          <w:u w:val="single"/>
          <w:lang w:val="en-US" w:eastAsia="en-US" w:bidi="ar-SA"/>
        </w:rPr>
        <w:t>bona fides</w:t>
      </w:r>
      <w:r>
        <w:rPr>
          <w:rFonts w:ascii="arial" w:eastAsia="arial" w:hAnsi="arial" w:cs="arial"/>
          <w:color w:val="000000"/>
          <w:sz w:val="20"/>
          <w:lang w:val="en-US" w:eastAsia="en-US" w:bidi="ar-SA"/>
        </w:rPr>
        <w:t xml:space="preserve"> of the transactions underlying the official order. The plaintiffs have not met the burden of proof they must carry, in such circumstances, under s. 57(2)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xml:space="preserve">, of showing that "subsequent to the ... fraud ... value has in good faith been given for the bill". The evidence does not establish that there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any transaction underlying the issue of the official order. The plaintiff's action is, accordingly dismissed as against each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Amex has counter-claimed for the $40,995 paid out on the second charge, which is the subject of the plaintiff's claim. It shall have judgment for that amount against the defendants, on the basis that, in defence of the plaintiff's action, it has established the best claim to the money. BNS shall be at liberty to release the funds it holds to Amex, in partial discharge of the judgment. Khalsa shall be at liberty to cancel or void its official order. The claims against the three financial institutions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Amex has also counter-claimed for the $75,000 paid out on the first charge. While it has assembled a certain amount of evidence to show that the two transactions were similar and highly suspicious, I am of the view that the proof offered, while of value in establishing that the transactions underlying the plaintiff's claim were "affected by fraud", thereby casting upon the plaintiffs a burden they have failed to meet, falls short of meeting the onus established by the cases for fraud, examples of which are cited at paras. 23 and 24 of these reasons. It may be that a better case could be made, or that Amex may find redress in another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Respecting the positive claims set out in the counter-claim, however, Amex has failed to carry the burden of proof of establishing a clear and cogent case of fraud or conduct tantamount to fraud, that can be laid to the plaintiffs. There is a distinction between the plaintiff's failure to establish a right to the money they claimed in this action, resulting in the return of the money associated with the second charge to it's source (Amex), and the burden on Amex to convincingly establish fraud in a positive sense, relative to both charges, although the distinction is immaterial relative to the second transaction, in view of my disposition of the plaintiff's case. The first charge has been paid and its recovery does not turn, in the way the second does in the circumstances, on the terms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The Amex counter-claim to the extent of the $75,000 claim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there are issues respecting accounting, or costs, there shall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Pogorzelec v. Wincor Properties Ltd., [2000] B.C.J. No. 854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December 30,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4 and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C980045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Pogorzelec, plaintiff, and Wincor Properties Ltd. and Winroc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25"/>
      <w:bookmarkEnd w:id="219"/>
      <w:r>
        <w:rPr>
          <w:rFonts w:ascii="arial" w:eastAsia="arial" w:hAnsi="arial" w:cs="arial"/>
          <w:b/>
          <w:color w:val="000000"/>
          <w:sz w:val="20"/>
          <w:lang w:val="en-US" w:eastAsia="en-US" w:bidi="ar-SA"/>
        </w:rPr>
        <w:t>Torts — Liability of occupier of land — Duty of care, particular relationships — Builders and contractors.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24"/>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Pogorzelec for personal injuries sustained when he fell from a ladder on premises owned by Wincor Properties. Hewko was doing renovations for Wincor. He asked Pogorzelec to consult regarding sprinkler requirements. Pogorzelec first visited the property before demolition. Hewko then invited him back after demolition so that he could provide more detail. Pogorzelec agreed to visit the site alone, as Hewko had other business and no workers were on site on the day in question. Although Pogorzelec admitted that the premises were dark, he did not turn on the lights. Relying on natural light, he used an extension ladder already in place to get closer to the roof. He admitted that he rarely climbed ladders in his work and had not done so on his original visit to Wincor. The ladder slipped and he fell to the floor, injuring his hand, knee and head. He claimed that dust on the floor caused the slip, although there was no debris in the room and crews had washed down the floor. Hewko admitted that he did not conduct scheduled inspections of the site, but did so on an ad hoc basis and was aware of his obligations under health and safety legislation. Pogorzelec claimed that Wincor violated its statutory duty of care to him under the Occupier's Liability Act, as well as its common law duty of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1" w:name="Holdings of Court_20"/>
            <w:bookmarkEnd w:id="22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Pogorzelec was aware that demolition had taken place and, as an experienced subcontractor, knew that dust and debris could be present. He agreed to work alone and had given no indication that he would be using the ladder. He did not attempt to use the lights. The room was as clean as could have been expected in the circumstances. Wincor did not breach any statutory or common law duty. It had no duty to supervise Pogorzelec's use of its premises. Hewko also took adequate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Legislation Cited_18"/>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Industrial Health and Safety Regulations, 8.01, 8.08.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Occupational Health and Safety Act,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71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3" w:name="Counsel_35"/>
      <w:bookmarkEnd w:id="2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Todd McKendrick, for the plaintiff. Oleh W. Ilnyckyj,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5"/>
      <w:bookmarkEnd w:id="224"/>
      <w:r>
        <w:pict>
          <v:line id="_x0000_s118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COULTAS J."/>
            <w:bookmarkEnd w:id="225"/>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4, 1996 the plaintiff was injured in premises owned and occupied by the defendant Wincor Properties Ltd. ("Wincor") when a ladder he was climbing pulled away at its base causing the plaintiff to fall and suffer injuries. The defendant Winroc Corporation ("Winroc") was agent for Wincor for the purpose of undertaking demolition and renovation work to the premises. Wincor concedes it was an occupier of the premises and owed a duty to the plaintiff pursuant to the Occupiers Liability Act, but denies that it failed in its duty to ensure that the premises were reasonably safe for the plaintiff's use and also denies it was negligent in not taking reasonable care to ensure the plaintiff's safety. Wincor alleges that the plaintiff was the author of his own misfortune. Winroc adopts the same defence. The plaintiff denies he was contributarily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premises are located in Surrey, B.C. and in October and November 1996, were being renovated. Winroc hired Gerry Hewko, an experienced carpenter and construction person, to supervise the renovations and hire some of the subtrades. Hewko knew that Workers Compensation Board Regulations governed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John Pogorzelec was 38 years of age at the time of the accident. For 10 years he has operated his own fire sprinkler design company. Before that, he worked for fire sprinkler companies. He designs, but does not install, industrial, commercial and residential sprinkling systems and over the past 10 years has conducted, on average, 100 site visits a year. He works without supervision and usually without assistance. At least once a year he uses a ladder in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attended the premises on a previous occasion - October 25, 1996. On that date he went there at the request of his client, Kodiak Fire Protection, to meet with the sprinkler fitter and to assess the existing sprinkler system. He met and spoke with Gerry Hewko and walked about the warehouse area and saw the sprinkler system. He was asked to evaluate its effectiveness and to advise if he thought any modifications were necessary. He gave, he says, "vague answers". Hewko told him he would be in touch if Wincor agreed that his services were needed. On October 25th the warehouse, the plaintiff said, looked like "any ordinary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25th, the premises comprised offices, living accommodation, a showroom, toilets, and a warehouse comprising open space and bays which were lighted. The lights were activated at the time of the plaintiff's visit. In the time period between October 25th and his visit on November 4th, demolition work in the building had been undertaken and completed. The offices were gutted, the toilets had been moved and the bays in the warehouse removed. On November 4th the warehouse was an open area of about 40,000 square feet save for a small electrical room. Rooms above the electrical room in the mezzanine area had been removed. The electrical room had a flat roof, 10', 6" above the floor. The floor of the warehouse had a concrete surface. Tile had been removed from a portion of the warehouse floor in the area adjacent to the electrical room. Before demolition, there was a staircase leading to the mezzanine above the electrical room; by November 4th, it, too, had been removed. The only access to the electrical room roof was provided by two ladders which on November 4th were placed on the warehouse floor leaning against a sidewall of the electrical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4th, the plaintiff used one of those ladders to gain access to the roof of the electrical room. The ladder he used was the bottom half of an extension ladder. The ladder was aluminium, owned by Hewko and in good repair. The half the plaintiff climbed was 14 1/2 feet long with pivot feet which sat flat on the warehouse floor. Under the feet were indented rubber pads and there were indented rubber pads on the top of each of the 14 steps on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the plaintiff arrived at the warehouse on November 4th, the lights were not on but there was enough natural light for him to see his way about the warehouse. The warehouse light switches were located on the inside of a perimeter wall which lay at right angles to the electrical room and were approximately 15 feet from the ladder he used. There were at least 4 switches together and near to them was an overhead door in which 3 windows, each 18 inches x 2 feet in size, were inserted admitting natural light. The window closest to the light switches was 3 to 4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warehouse area was free of debris. I shall speak of the clean-up procedure in the warehouse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week ending Friday, November 1st, Hewko and the plaintiff spoke and Hewko asked him to return so soon as possible. The plaintiff was not available to come until Monday, November 4th when he intended to make "rough drawings" of the existing system. On the morning of November 4th, he said he would come at noon on that day. Hewko told him he could not be there at that time for he had to be at Surrey Municipal Hall but would leave a key which would admit the plaintiff. I conclude the plaintiff knew he would be alone in the premises and did not express any dissatisfaction. He went to the premises alone. The lights in the warehouse were not on and he had difficulty seeing the size of the existing line piping which lay along the warehouse walls about 6 inches from the ceiling which was 20 - 30 feet high. The plaintiff wanted to measure the width of that piping, and hoped to use his extension tape measure to do so, and measure the height of the ceiling. To get closer to the piping, he climbed a ladder leaning against the electrical room. He had reached a point where his head was just above the roof of the electrical room when the feet of the ladder moved outwards causing the ladder with him on it, to fall. In the fall he crushed his finger, hurt his head and injured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had not used a ladder on his October 25th visit and did not consider doing so nor did he anticipate using one on November 4th. He did not secure the ladder. He looked at it, it did not appear to need securing. He glanced at its feet but did not bend down to take a close look or at the floor. He testified the ladder did not appear "overly risky". He seldom used a ladder in his work and only once before had asked someone to secure it when that ladder appeared "wonky" and unstable. He had a 12 foot ladder at home which he used and only once had he asked his wife to secure it when he climbed.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4th, he did not see any pile up of dust on the floor and did not check for dust. Beyond the end of the electrical room and beyond the ladder, he observed a small portion of the warehouse being renovated, either that or it had been demolished. After his fall, he did not see dust and did not look for it, nor did he examine the feet of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climbing he did not look for light switches to activate the warehouse lighting. Before he climbed, he walked the warehouse counting the sprinkler lines and heads. He described the warehouse as "dark and gloomy". With respect to the upper line piping near the ceiling, given that it was dark and the ceiling was high, it was difficult for him to determine the size of the line piping. The elevated electrical room provided a platform and he chose to use it to get a better look. I find he did so rather than activating the lights. Light switches were not far from the electrical room and they were close to natural light. The plaintiff testified that in his experience "there is always lighting at construction sites and the absence of it on November 4th made my work there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attributes his fall to dust on the warehouse floor causing the ladder to slip out. He did not see dust but says he was "wearing it after the fall" on his clothes and body. That is a credibility issue which I shall resolve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did not feel it was necessary to have anyone help him or supervise his work that day because he knew what he was doing and accepted he would be there alone. He testified, however, it is always helpful to have someone present for safety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Gerry Hewko, the site superintendent, is 58 years of age and an experienced carpenter. Over the years, he has worked as a supervisor on major construction projects including schools, high-rise office buildings, residences and extended care homes. This was the first time he had supervised a construction site. He had a "good" general knowledge of Workers Compensation Board Regulations, including the requirement for regular inspections of the construction site. On this demolition and renovation project, he was responsible for ensuring that workers followed safety procedures and that the premises were safe. He was on site every day, the office he used was in the building. He made an effort to ensure the premises were safe. Because he was on site and supervising the work, he did not develop a routine of safety inspections. The only time he was not on site was mid-morning to early afternoon on November 4th. No workmen were on site that day. He attended the premises early in the morning of the 4th and thinks he entered the warehouse, but is not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Hewko did not know specifically the work the plaintiff intended to do on November 4th, but assumed that he would be examining the existing sprinkler system. Hewko believed the warehouse did not pose any danger to the plaintiff for it was clean, the demolition work had been completed and all debris removed from the premises. The plaintiff did not tell Hewko he wanted to take measurements from the ceiling of the electrical room, he did not speak of using a ladder. Hewko believes there is always a risk when using a ladder and care should be taken - the higher one climbs, the greater the danger. The plaintiff had been on the premises on October 25th and did not use a ladder nor did he go to the roof of the electrical room. He did not express any interest in the height of the ceiling. Had he felt there was a danger to the plaintiff by walking the warehouse, Hewko would not have permitted him to be alone there. The warehouse was, he said, "an extremely safe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IN RESPECT TO THE CONDITION OF THE PREMISES ON NOVEMBER 4TH AND THE CLEAN-UP PROCEDURE BEFORE THAT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DONALD HIGGINSON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Higginson was called by the defendants to testify. His employer, Quantum Environmental Group, was retained to remove asbestos material in the premises and he was the foreman of a three man crew which did the work. Removing asbestos has been his work for the past 14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and his crew first removed all the drywall interior walls in the front office area. They removed flooring in the upper and lower mezzanine area adjacent to the electrical room. They hung tarps in the area of the work and cordoned it off with warning tape. The cordoned off area included the space ten feet beyond the electrical room; the ladder was in that space. In the warehouse, they removed plywood, linoleum and floor tiles. It took them approximately two days to do the work there - six days in all for removal of all the asbestos.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removing the floor in the warehouse where the electrical room was located and where some offices in the warehouse had once been, they removed all the asbestos material and cleaned the whole cordoned off area either by damp spraying or wiping the floors with an industrial vacuum equipped with two motors - a vacuum more powerful than the domestic vacuum cleaner. After vacuuming, a sealant was applied to the floor. The removal and clean-up of the asbestos was governed by Workers Compensation Board Regulations and Higginson and his crew complied with them. The tarps and warning tape were removed after the clean-up was completed on October 31st.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Under cross-examination, Mr. Higginson testified he and his crew did not work on the top of the electrical room. Removal of the asbestos material involved some demolition of existing structures, e.g. interior drywall. Asbestos removal precedes general demolition work. It is possible, he said, that demolition work was carried out the same day their work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 time their work was completed, the upper and lower mezzanines had been removed in their entirety and the stairs leading from the warehouse to the former upper mezzanine area was gone. The floor to ceiling wall separating the gutted front office area from the warehouse,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Higginson believes the pressure washers were commencing their work as he and his crew were leaving. They were, he said, working on the outside wall, for the inside pressure washing had been done. Later in his evidence, he testified that was not correct for the inside pressure washing had not been done. Describing the vacuuming, he testified "the floors were left clean, for we are thorough". Asked if dust remained on the floor, he said "if there was work going on around us or after us, there could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October 31st was a Thursday, November 4th was the following Monday. No work, save the plaintiff's, was being done in the premises on November 4th.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HEWKO'S EVIDENCE ON THE CONDITION OF THE PREMISES ON NOVEMBER 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demolition in the building, both in the offices and the warehouse, had been completed before November 4th. The reconstruction of the front office space had not commenced; no reconstruction work in the warehouse was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Hewko kept a log noting work done and to be done. Dates, names and in some instances the cost estimates for the work was recorded in his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25, 1996, Hewko recorded that the demolition work in the offices and warehouse was 85% complete. On October 29th, he recorded that demolition in the warehouse was complete or would be on that day and the demolition of the offices was 75%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October 28th, Hewko recorded a quotation for the cost of pressure washing and clean-up - $3,500, not including floor, "to start anytime; Atlas Sweeping $225-$250 inside, save for outside". There was a large build-up of dust on the walls in the warehouse and ceiling and they were power washed. On October 30th he recorded the pressure wash was in progress and the workmen requested an inside electrical hook-up and that a plumber had been called for "tomorrow". On October 31st, he recorded that exterior cleaning should be completed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interior sweeping was not to be done until the power washing was finished. Mr. Hewko cannot say when the interior sweeping was done. He inspected the warehouse after the power washing was completed and found puddles of water remaining. He believes the sweeping may have been done on October 31st, November 4th or even later. He did not note the date in his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Hewko testified that on November 4th, the whole building was very clean. The inside walls and ceiling of the warehouse had been power washed and the asbestos material had been removed from the premises. Although he cannot say if the floors had been power swept, he can say there was no debris on the floor for the wall and ceiling washing required scaffolding and that would not have been set up with debris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FACT ON THE ISSUE OF THE CLEANING AND THE CONDITION OF THE PREMISES ON NOVEMBER 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warehouse floor was free of debris on November 4th. In the area of the electrical room, they had been swept with an industrial vacuum and demolition had not occurred after that sweeping, before the plaintiff was injured. It is probable that the warehouse floor had not been power swept by the time of the injury. It is possible that a thin layer of dust, not a build-up of dust, was on the floor where the ladder rested. The plaintiff did not see dust but assumes it was there for his clothes and his body were dusty. His wife, who saw him lying on a hospital bed at Lions Gate Hospital, in the afternoon of November 4th, described his face as dirty and "shiny" which she took to be perspiration or oil. His shirt was grayish in color with marks which she took to be dust or dirt marks. There is no evidence that oil was used on the floor of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describes her husband as an efficient person who likes to work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November 4th the plaintiff knew that demolition work had been done in the warehouse after his visit on October 25th. He had attended construction sites on a regular basis and must have known that debris and dust are often associated with such sites. He did not take even rudimentary care for his own safety - he did not examine the floor on which the ladder rested to see if it was safe, he did not examine the ladder itself nor did he secure it. He did not attempt to turn on lights which I find would have assisted him to determine the size of the line piping. He used the ladder knowing he was there alone. He did not inform Hewko that he would use a ladder or climb to the roof of the electrical room. He had done neither on his previous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floor in the area of the ladder had been thoroughly vacuumed by Higginson and his crew on October 31st. On November 4th there was no debris. There is no evidence that demolition occurred after the vacuuming. A reasonable person would not expect a warehouse floor to be as clean as a dining table. There may have been a thin layer of dust under the feet of the ladder but I cannot find it caused the ladder to fall away. It was not "a pile of dust", for the plaintiff did not see a pile of dust. He did not see any dust before or after the fall. There was no debris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relies on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common law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establish liability. Section 3(1) and (2)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With respect to the scope of the duty of s. 3(1), McLachlin, J. (as she then was) said in Milina v. Bartsch </w:t>
      </w:r>
      <w:hyperlink r:id="rId1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page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both [the B.C. and Ontario] statutes, the duty owed by an occupier of premises is to take reasonable care to see that persons using the premises will be reasonably safe. The Acts do not impose a duty to take reasonable care to insure that persons using the premises will be "absolutely safe". As stated in Hagerman v. Niagara Falls </w:t>
      </w:r>
      <w:hyperlink r:id="rId719"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114 D.L.R. (3d) 184</w:t>
        </w:r>
      </w:hyperlink>
      <w:r>
        <w:rPr>
          <w:rFonts w:ascii="arial" w:eastAsia="arial" w:hAnsi="arial" w:cs="arial"/>
          <w:color w:val="000000"/>
          <w:sz w:val="20"/>
          <w:lang w:val="en-US" w:eastAsia="en-US" w:bidi="ar-SA"/>
        </w:rPr>
        <w:t xml:space="preserve"> (H.C.), per Labrosse J. at p. 613, the occupier does not owe a duty to provide safety in all circumstances, but rather a duty to use reasonable care to prevent injury or damage from danger which is known or ought to be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3(1) is comprehensive, in that it clearly imposes a duty on an occupier and defines the standard of care. Thus, it is unnecessary to refer to standards of care formulated in common law cases, such as Pringle v. Price </w:t>
      </w:r>
      <w:hyperlink r:id="rId720" w:history="1">
        <w:r>
          <w:rPr>
            <w:rFonts w:ascii="arial" w:eastAsia="arial" w:hAnsi="arial" w:cs="arial"/>
            <w:i/>
            <w:color w:val="0077CC"/>
            <w:sz w:val="20"/>
            <w:u w:val="single"/>
            <w:shd w:val="clear" w:color="auto" w:fill="FFFFFF"/>
            <w:lang w:val="en-US" w:eastAsia="en-US" w:bidi="ar-SA"/>
          </w:rPr>
          <w:t>(1971), 20 D.L.R. (3d) 229</w:t>
        </w:r>
      </w:hyperlink>
      <w:r>
        <w:rPr>
          <w:rFonts w:ascii="arial" w:eastAsia="arial" w:hAnsi="arial" w:cs="arial"/>
          <w:color w:val="000000"/>
          <w:sz w:val="20"/>
          <w:lang w:val="en-US" w:eastAsia="en-US" w:bidi="ar-SA"/>
        </w:rPr>
        <w:t xml:space="preserve"> (B.C.C.A.) referred to by the plaintiff. (See Wray v. MacLeod, </w:t>
      </w:r>
      <w:hyperlink r:id="rId721" w:history="1">
        <w:r>
          <w:rPr>
            <w:rFonts w:ascii="arial" w:eastAsia="arial" w:hAnsi="arial" w:cs="arial"/>
            <w:i/>
            <w:color w:val="0077CC"/>
            <w:sz w:val="20"/>
            <w:u w:val="single"/>
            <w:shd w:val="clear" w:color="auto" w:fill="FFFFFF"/>
            <w:lang w:val="en-US" w:eastAsia="en-US" w:bidi="ar-SA"/>
          </w:rPr>
          <w:t>[1992] B.C.J. No. 1231</w:t>
        </w:r>
      </w:hyperlink>
      <w:r>
        <w:rPr>
          <w:rFonts w:ascii="arial" w:eastAsia="arial" w:hAnsi="arial" w:cs="arial"/>
          <w:color w:val="000000"/>
          <w:sz w:val="20"/>
          <w:lang w:val="en-US" w:eastAsia="en-US" w:bidi="ar-SA"/>
        </w:rPr>
        <w:t xml:space="preserve">, (5 June 1992), Vancouver C903337 (S.C.) at pp. 10-11, quoting from Weiss v. Y.M.C.A. </w:t>
      </w:r>
      <w:hyperlink r:id="rId722"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Without question, there is an obligation on occupiers to keep their premises clean to the extent that cleanliness may affect the reasonable safety of persons. In this case, the duty under the Act would be met if the defendants kept the floor reasonably clean, such that the area was reasonably safe. In my opinion, the warehouse would have been reasonably safe even if light dust were present on the floor. Milina establishes that the standard is one of reasonable safety, not absolute safety. Expecting a warehouse floor to be free of dust would go beyond what is reasonable. Had there been a pile up of dust or debris causing the ladder to fall, my conclusion may have been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refers to Bustin v. Saatchi, </w:t>
      </w:r>
      <w:hyperlink r:id="rId723" w:history="1">
        <w:r>
          <w:rPr>
            <w:rFonts w:ascii="arial" w:eastAsia="arial" w:hAnsi="arial" w:cs="arial"/>
            <w:i/>
            <w:color w:val="0077CC"/>
            <w:sz w:val="20"/>
            <w:u w:val="single"/>
            <w:shd w:val="clear" w:color="auto" w:fill="FFFFFF"/>
            <w:lang w:val="en-US" w:eastAsia="en-US" w:bidi="ar-SA"/>
          </w:rPr>
          <w:t>[1996] B.C.J. No. 1480</w:t>
        </w:r>
      </w:hyperlink>
      <w:r>
        <w:rPr>
          <w:rFonts w:ascii="arial" w:eastAsia="arial" w:hAnsi="arial" w:cs="arial"/>
          <w:color w:val="000000"/>
          <w:sz w:val="20"/>
          <w:lang w:val="en-US" w:eastAsia="en-US" w:bidi="ar-SA"/>
        </w:rPr>
        <w:t>, (4 July 1995), Salmon Arm 3149 (B.C.S.C.), a case in which the occupier was found to be one third liable for a fall from a ladder, but in my opinion that case is distinguishable from this one for several reasons, including the following. In Bustin the floor was covered with manure and dirt - it was cleaned but as the day progressed manure was tracked into the vicinity of the ladder making the floor slippery. Further, in that case the occupier knew that a ladder would be and was being used, and the occupier was present for most of the time. In this case, the mere existence of the ladder in the warehouse and its placement leaning on the electrical room, cannot, in my opinion, be said to render the premises not reasonably safe. Ladders are commonly placed in warehouses and stored in a vertical manner in a place where it might be used and it is not unreasonable. Had there been a substantial build-up of dust or dirt, one could draw the logical inference that it could cause the ladder to slip and thus, the premises were not reasonably safe, but in this case, the evidence falls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this case is not significantly different from cases of injury in supermarkets and that the law in such cases is tantamount to a statutory requirement of a system of inspection. It does not seem to me that the situation in this case where an experienced designer was invited on site to make observations necessary to advise on a fire sprinkling system, is analogous to a supermarket which opens its doors to the public at large in an attempt to sell its goods. A supermarket has continuous traffic by the public at large and provides many opportunities for spills which may make an area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more controlled environment like this warehouse, it is reasonable to inspect on an ad hoc basis, as Hewko did. He was on site every day in a supervising capacity and his office was located in the building and thus, no routine of safety inspection was developed. Given the relatively small size of the space and the few numbers of people in it, Hewko's conduct was adequate to ensure the premises were reasonably safe. Regardless, even if the duty did require the establishment of a system of inspection, the issue of whether or not the breach of that requirement caused the loss would remain. If it is found that the condition of the warehouse was reasonably safe (as I have), the operation of a system of inspection would not have affected the condition of the warehouse. Thus, the failure to establish a system of inspection could not be said to have caused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also submits that the duty owed should encompass a duty upon the defendants to supervise the plaintiff's use of the premises. In my opinion, it should not. Such a requirement would lead to many impracticalities. This plaintiff was an experienced designer who had been on numerous construction sites. Further, he ordinarily worked without supervision and usually without assistance. Mahlow v. Coquitlam (City), </w:t>
      </w:r>
      <w:hyperlink r:id="rId724" w:history="1">
        <w:r>
          <w:rPr>
            <w:rFonts w:ascii="arial" w:eastAsia="arial" w:hAnsi="arial" w:cs="arial"/>
            <w:i/>
            <w:color w:val="0077CC"/>
            <w:sz w:val="20"/>
            <w:u w:val="single"/>
            <w:shd w:val="clear" w:color="auto" w:fill="FFFFFF"/>
            <w:lang w:val="en-US" w:eastAsia="en-US" w:bidi="ar-SA"/>
          </w:rPr>
          <w:t>[1996] B.C.J. No. 1966</w:t>
        </w:r>
      </w:hyperlink>
      <w:r>
        <w:rPr>
          <w:rFonts w:ascii="arial" w:eastAsia="arial" w:hAnsi="arial" w:cs="arial"/>
          <w:color w:val="000000"/>
          <w:sz w:val="20"/>
          <w:lang w:val="en-US" w:eastAsia="en-US" w:bidi="ar-SA"/>
        </w:rPr>
        <w:t>, (4 September 1996), New Westminster S010683 (B.C.S.C.), the only case on this issue referred to by the plaintiff is clearly distinguishable. The use of a warehouse to acquire information for design of a sprinkler system is not akin to the use of an ice rink for leisure, which would require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submits that he should at least have been alerted of any dangers on the premises. The plaintiff does not submit any authorities for the proposition and, in my opinion, he need not have. With that said, the duty to keep one's premises reasonably safe would include an obligation to alert of dangers, if any existed. In this case, there was no danger to the plaintiff for which he should have been alerted. In my opinion, light dust is not a danger. Furthermore, the defendants should not be required to alert the plaintiff, who had been on many construction sites before, of the common sense dangers associated with a ladder in a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especially so since Hewko did not know that the plaintiff was going to use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Board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8.01 of the Industrial Health &amp; Safety Regulations requires that all buildings and equipment "shall be maintained in such condition that workers will not be endangered". Further, s. 8.08 requires that an employer "shall ensure that regular inspections are made of all places of employment, including buildings, ... equipment .... Such inspections shall be made at intervals that will prevent the development of unsafe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submits that the WCB Regulations are statutory requirements for the benefit of the public, and as such they "inform" a duty on the defendants in this case. For this proposition the plaintiff relies on Varcoe v. Sterling </w:t>
      </w:r>
      <w:hyperlink r:id="rId725"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and Senft v. Claxton, </w:t>
      </w:r>
      <w:hyperlink r:id="rId726" w:history="1">
        <w:r>
          <w:rPr>
            <w:rFonts w:ascii="arial" w:eastAsia="arial" w:hAnsi="arial" w:cs="arial"/>
            <w:i/>
            <w:color w:val="0077CC"/>
            <w:sz w:val="20"/>
            <w:u w:val="single"/>
            <w:shd w:val="clear" w:color="auto" w:fill="FFFFFF"/>
            <w:lang w:val="en-US" w:eastAsia="en-US" w:bidi="ar-SA"/>
          </w:rPr>
          <w:t>[1998] B.C.J. No. 597</w:t>
        </w:r>
      </w:hyperlink>
      <w:r>
        <w:rPr>
          <w:rFonts w:ascii="arial" w:eastAsia="arial" w:hAnsi="arial" w:cs="arial"/>
          <w:color w:val="000000"/>
          <w:sz w:val="20"/>
          <w:lang w:val="en-US" w:eastAsia="en-US" w:bidi="ar-SA"/>
        </w:rPr>
        <w:t>, (17 March 1998), Vancouver C951357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the Varcoe and Senft cases are securities cases dealing with the obligations of stockbrokers to their customers, a complex and unique area of law. As such, in my opinion they are distinguishable from the present case and the requirements of the Regulations cannot be said to be applicable on the basis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argues that the Regulations impose a duty on the defendants pursuant to s. 3(4) of the Act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Nothing in this section relieves an occupier of premises of a duty to exercise, in a particular case, a higher standard of care which, in that case, is incumbent on the person because of an enactment or rule of law imposing special standards of care on particular classes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the Regulations do not necessarily fall within s. 3(4). First, it is questionable as to whether or not the Regulations referred to by the plaintiff impose a higher standard than the s. 3(1) standard of ensuring the premises are reasonably safe. In my opinion, premises that are reasonably safe would be in a condition that workers are not endangered, and would be inspected regularly at intervals that would prevent the development of unsafe working conditions. Second, the duty imposed by the Regulations is owed to employees. The plaintiff was not an employee, thus it is questionable whether any higher duty imposed by the Regulations should be applicable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that said, the Regulations may be relevant in determining what is "reasonably safe" in the given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Regardless, in my opinion it is not necessary to determine whether or not the Regulations impose a duty since even assuming that they do, they were not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alleges s. 8.04 was breached due to the existence of substantial dirt and dust on the warehouse floor. There is no evidence of it with the possible exception of light dust. The existence of light dust in a warehouse cannot be said to be a condition which would endanger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alleges further that the defendant is in breach of s. 8.08, since there was no system of inspection. The lack of a system does not necessarily mean the requirement to inspect regularly at intervals that will prevent the development of unsafe working conditions, was not met. In my opinion, there is no reason that "regular" inspections could not be done on an ad hoc basis in the circumstances of this case. Hewko did inspect the site regularly which would and did prevent unsafe working conditions to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Had I found that the premises were unsafe, I would have apportioned liability: 80% against the plaintiff, 20% against the defendant. Use of a ladder is an activity involving inherent risks requiring care and caution. The plaintiff took no care whatsoever for his own safety in circumstances that called for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action is dismissed. The defendants will have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Reddemann v. McEachnie, [2006] B.C.J. No. 454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2006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S036775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860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Kristen Reddemann, plaintiff, and Trevor McEachnie, Dr. J. Duncan Wray Inc. doing business as Vernon Vipers Junior "A" Hockey Club and The Vernon Vipers Junior "A" Hockey Club,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26"/>
      <w:bookmarkEnd w:id="226"/>
      <w:r>
        <w:rPr>
          <w:rFonts w:ascii="arial" w:eastAsia="arial" w:hAnsi="arial" w:cs="arial"/>
          <w:b/>
          <w:color w:val="000000"/>
          <w:sz w:val="20"/>
          <w:lang w:val="en-US" w:eastAsia="en-US" w:bidi="ar-SA"/>
        </w:rPr>
        <w:t>Civil procedure — Costs — Offers to settle — Bullock or Sanderson order — Determination of costs of unsuccessful action for damages by Reddemann against Wray — Wray awarded double costs, to be recovered from defendant McEachnie — Wray entitled to double costs from date of offer despite an offer of one dollar, as Rules did not require that offer to settle be reasonable — Wray entitled to rely on offer to settle despite fact that offer was not made jointly, as Wray and McEachnie were not joint tortfeasors — Sanderson order was appropriate, as it was reasonable for Reddemann to join Wray as defendant on grounds of vicarious liability, they were defendants on basis of same cause of action and, as employer, Wray could ensure that McEachnie paid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25"/>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of unsuccessful action for damages by Reddemann against Wray -- Defendant McEachnie employed by defendant Wray -- Reddemann was assaulted by McEachnie during hockey game -- Some evidence indicated that assault occurred at Wray's direction -- Reddemann commenced action against McEachnie and Wray but was successful only against McEachnie -- Wray served offer to settle on Reddemann for one dollar -- HELD: Wray awarded double costs, to be recovered from McEachnie -- Wray entitled to double costs from date of offer despite low settlement amount offered, as Rules did not require that offer to settle be reasonable -- Wray entitled to rely on offer to settle despite fact that offer was not made jointly, as Wray and McEachnie were not joint tortfeasors -- Sanderson order was appropriate, as it was reasonable for Reddemann to join Wray as defendant on grounds of vicarious liability -- Cause of action was same for Wray and McEachnie -- McEachnie's actions brought Wray into litigation -- As McEachnie still employed by Wray, no evidence that McEachnie would be unable to pay costs -- Wray was in better position to bear potential non-payment of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19"/>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 Rule 37(2), Rule 37(22), Rule 37(24), Rule 37(26), Rule 37(27), Rule 37(31), Rule 37(37),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36"/>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McCrimmon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 Betton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6"/>
      <w:bookmarkEnd w:id="230"/>
      <w:r>
        <w:pict>
          <v:line id="_x0000_s1187"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BURNYEAT J."/>
            <w:bookmarkEnd w:id="231"/>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After Trial, Mr. McEachnie was found liable to Mr. Reddemann for non-pecuniary damages of $25,000.00, lost wages of $150.00, and punitive damages of $10,000.00 as a result of an attack and beating which occurred when Mr. Reddemann was a fan at a hockey game. Mr. McEachnie was employed as a trainer for the Vernon Vipers Hockey Team, a junior hockey team owned by the Defendant, Dr. J. Duncan Wray Inc. ("Wray") Both Defendants were represented by the same counsel throughout the proceedings. The action against the Defendant, Wray was dismissed. The Judgment provided that the parties were at liberty to speak to the question of costs. These Reasons for Judgment follow the written submissions received from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12, 2004, Wray had forwarded an Offer to Settle ("Offer") the proceedings for the sum of $1.00 plus costs. The Offer was said to be pursuant to Rule 37(22) and Rule 37(37) of the Rules of Court. The Offer was not accepted by Mr. Reddeman. Two issues arise on this application:</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Wray, entitled to receive double costs as a consequence of the Offer to Settle received by the Plaintiff on July 15, 2004?</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for an Order to be made under Rule 57(18)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WRAY ENTITLED TO DOUBLE COSTS AFTER JULY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Offer made by Wray to Mr. Reddemann was said to be made pursuant to Rule 37(22) and (37) when perhaps it should have been made pursuant to Rule 37 generally or pursuant to Rule 37(2) which states "that a party to a proceeding may deliver to any other party of record a written offer in Form 64 to settle one or more of the claims in the proceedings in the terms specified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37(22) states that: "... if an offer is accepted ... if the offer was made by the defendant, the plaintiff is entitled to costs assessed at the date the offer was delivered to the plaintiff, and the defendant costs assessed from that date." That Rule is clearly not applicable as the Offer was not accepted by Mr. Reddemann. Rule 37(37) states: "That, despite Rule 37(22), the plaintiff is not entitled to costs other than disbursements if an offer is accepted for a sum within the jurisdiction of the Provincial Court under the Small Claims Act and the proceedings in which the offer was made could appropriately have been brought in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37(24) states that, "If the defendant has made an offer to settle a claim for money and the offer has not expired or been withdrawn or been accepted, ... (b) if the plaintiff's claim is dismissed, the defendant is entitled to costs assessed to the date the offer was delivered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question of whether resort to the provisions of Rule 37 removes the discretion available to the Court has been considered in two judgments of the Court of Appeal. In Brown v. Lowe </w:t>
      </w:r>
      <w:hyperlink r:id="rId295" w:history="1">
        <w:r>
          <w:rPr>
            <w:rFonts w:ascii="arial" w:eastAsia="arial" w:hAnsi="arial" w:cs="arial"/>
            <w:i/>
            <w:color w:val="0077CC"/>
            <w:sz w:val="20"/>
            <w:u w:val="single"/>
            <w:shd w:val="clear" w:color="auto" w:fill="FFFFFF"/>
            <w:lang w:val="en-US" w:eastAsia="en-US" w:bidi="ar-SA"/>
          </w:rPr>
          <w:t>(2002), 97 B.C.L.R (3d) 246</w:t>
        </w:r>
      </w:hyperlink>
      <w:r>
        <w:rPr>
          <w:rFonts w:ascii="arial" w:eastAsia="arial" w:hAnsi="arial" w:cs="arial"/>
          <w:color w:val="000000"/>
          <w:sz w:val="20"/>
          <w:lang w:val="en-US" w:eastAsia="en-US" w:bidi="ar-SA"/>
        </w:rPr>
        <w:t>, Southin J.A. stated on behalf of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1993 revision to our Rule 37 is of such an order that we have had no gap since then. It is a complete code and there is no room for any judicial discretion save that given by it. Calderbank v. Calderbank [[1975] 3 All E.R. 333 (C.A.)] should not be considered law in this Province today. As to the construction of Rule 37, see Jamieson v. Duteil </w:t>
      </w:r>
      <w:hyperlink r:id="rId734" w:history="1">
        <w:r>
          <w:rPr>
            <w:rFonts w:ascii="arial" w:eastAsia="arial" w:hAnsi="arial" w:cs="arial"/>
            <w:i/>
            <w:color w:val="0077CC"/>
            <w:sz w:val="20"/>
            <w:u w:val="single"/>
            <w:shd w:val="clear" w:color="auto" w:fill="FFFFFF"/>
            <w:lang w:val="en-US" w:eastAsia="en-US" w:bidi="ar-SA"/>
          </w:rPr>
          <w:t>(2001), 92 B.C.L.R. (3d) 208</w:t>
        </w:r>
      </w:hyperlink>
      <w:r>
        <w:rPr>
          <w:rFonts w:ascii="arial" w:eastAsia="arial" w:hAnsi="arial" w:cs="arial"/>
          <w:color w:val="000000"/>
          <w:sz w:val="20"/>
          <w:lang w:val="en-US" w:eastAsia="en-US" w:bidi="ar-SA"/>
        </w:rPr>
        <w:t xml:space="preserve"> (C.A.), </w:t>
      </w:r>
      <w:hyperlink r:id="rId734" w:history="1">
        <w:r>
          <w:rPr>
            <w:rFonts w:ascii="arial" w:eastAsia="arial" w:hAnsi="arial" w:cs="arial"/>
            <w:i/>
            <w:color w:val="0077CC"/>
            <w:sz w:val="20"/>
            <w:u w:val="single"/>
            <w:shd w:val="clear" w:color="auto" w:fill="FFFFFF"/>
            <w:lang w:val="en-US" w:eastAsia="en-US" w:bidi="ar-SA"/>
          </w:rPr>
          <w:t>2001 BCCA 516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Cridge v. Harper Grey Easton &amp; Co., </w:t>
      </w:r>
      <w:hyperlink r:id="rId296" w:history="1">
        <w:r>
          <w:rPr>
            <w:rFonts w:ascii="arial" w:eastAsia="arial" w:hAnsi="arial" w:cs="arial"/>
            <w:i/>
            <w:color w:val="0077CC"/>
            <w:sz w:val="20"/>
            <w:u w:val="single"/>
            <w:shd w:val="clear" w:color="auto" w:fill="FFFFFF"/>
            <w:lang w:val="en-US" w:eastAsia="en-US" w:bidi="ar-SA"/>
          </w:rPr>
          <w:t>[2005] B.C.J. No. 74</w:t>
        </w:r>
      </w:hyperlink>
      <w:r>
        <w:rPr>
          <w:rFonts w:ascii="arial" w:eastAsia="arial" w:hAnsi="arial" w:cs="arial"/>
          <w:color w:val="000000"/>
          <w:sz w:val="20"/>
          <w:lang w:val="en-US" w:eastAsia="en-US" w:bidi="ar-SA"/>
        </w:rPr>
        <w:t xml:space="preserve"> (B.C.C.A.), Lowry J.A. on behalf of the Court dealt with the question of whether there was any discretion available if an offer had been made pursuant to Rule 37. In concluding that there was not, Lowry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Brown v. Lowe ..., Southin J.A., with whom Ryan J.A. concurred, expressed the view, albeit in obiter, that Rule 37 is a complete code which leaves no room for any judicial discretion in its application save for the discretion it specifically affords (see sub-rule 27). Southin J.A. also endorsed the interpretation of Rule 37 in Jamieson v. Duteil </w:t>
      </w:r>
      <w:hyperlink r:id="rId734" w:history="1">
        <w:r>
          <w:rPr>
            <w:rFonts w:ascii="arial" w:eastAsia="arial" w:hAnsi="arial" w:cs="arial"/>
            <w:i/>
            <w:color w:val="0077CC"/>
            <w:sz w:val="20"/>
            <w:u w:val="single"/>
            <w:shd w:val="clear" w:color="auto" w:fill="FFFFFF"/>
            <w:lang w:val="en-US" w:eastAsia="en-US" w:bidi="ar-SA"/>
          </w:rPr>
          <w:t>(2001), 92 B.C.L.R. (3d) 208</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2001 BCCA 516</w:t>
        </w:r>
      </w:hyperlink>
      <w:r>
        <w:rPr>
          <w:rFonts w:ascii="arial" w:eastAsia="arial" w:hAnsi="arial" w:cs="arial"/>
          <w:color w:val="000000"/>
          <w:sz w:val="20"/>
          <w:lang w:val="en-US" w:eastAsia="en-US" w:bidi="ar-SA"/>
        </w:rPr>
        <w:t>, where, also in obiter, it was said, at para. 34, that if a plaintiff falls within sub-rules (23) to (26) costs follow those sub-rules leaving no discretion to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British Columbia has recognized more than once that, where, on its wording, it applies, Rule 37 precludes the exercise of discretion in awarding costs: Collin v. Lions Gate Hospital, </w:t>
      </w:r>
      <w:hyperlink r:id="rId735" w:history="1">
        <w:r>
          <w:rPr>
            <w:rFonts w:ascii="arial" w:eastAsia="arial" w:hAnsi="arial" w:cs="arial"/>
            <w:i/>
            <w:color w:val="0077CC"/>
            <w:sz w:val="20"/>
            <w:u w:val="single"/>
            <w:shd w:val="clear" w:color="auto" w:fill="FFFFFF"/>
            <w:lang w:val="en-US" w:eastAsia="en-US" w:bidi="ar-SA"/>
          </w:rPr>
          <w:t>[2002] B.C.J. No. 2935</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2002 BCSC 1809</w:t>
        </w:r>
      </w:hyperlink>
      <w:r>
        <w:rPr>
          <w:rFonts w:ascii="arial" w:eastAsia="arial" w:hAnsi="arial" w:cs="arial"/>
          <w:color w:val="000000"/>
          <w:sz w:val="20"/>
          <w:lang w:val="en-US" w:eastAsia="en-US" w:bidi="ar-SA"/>
        </w:rPr>
        <w:t xml:space="preserve"> [paragraph] 18; Anderson v. Brouwer Claims Canada &amp; Co., </w:t>
      </w:r>
      <w:hyperlink r:id="rId736" w:history="1">
        <w:r>
          <w:rPr>
            <w:rFonts w:ascii="arial" w:eastAsia="arial" w:hAnsi="arial" w:cs="arial"/>
            <w:i/>
            <w:color w:val="0077CC"/>
            <w:sz w:val="20"/>
            <w:u w:val="single"/>
            <w:shd w:val="clear" w:color="auto" w:fill="FFFFFF"/>
            <w:lang w:val="en-US" w:eastAsia="en-US" w:bidi="ar-SA"/>
          </w:rPr>
          <w:t>[2003] B.C.J. No. 245</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2003 BCSC 168</w:t>
        </w:r>
      </w:hyperlink>
      <w:r>
        <w:rPr>
          <w:rFonts w:ascii="arial" w:eastAsia="arial" w:hAnsi="arial" w:cs="arial"/>
          <w:color w:val="000000"/>
          <w:sz w:val="20"/>
          <w:lang w:val="en-US" w:eastAsia="en-US" w:bidi="ar-SA"/>
        </w:rPr>
        <w:t xml:space="preserve"> [paragraph] 5; Fulton v. Fulton </w:t>
      </w:r>
      <w:hyperlink r:id="rId737" w:history="1">
        <w:r>
          <w:rPr>
            <w:rFonts w:ascii="arial" w:eastAsia="arial" w:hAnsi="arial" w:cs="arial"/>
            <w:i/>
            <w:color w:val="0077CC"/>
            <w:sz w:val="20"/>
            <w:u w:val="single"/>
            <w:shd w:val="clear" w:color="auto" w:fill="FFFFFF"/>
            <w:lang w:val="en-US" w:eastAsia="en-US" w:bidi="ar-SA"/>
          </w:rPr>
          <w:t>(2002), 6 B.C.L.R. (4th) 152</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2002 BCSC 1194</w:t>
        </w:r>
      </w:hyperlink>
      <w:r>
        <w:rPr>
          <w:rFonts w:ascii="arial" w:eastAsia="arial" w:hAnsi="arial" w:cs="arial"/>
          <w:color w:val="000000"/>
          <w:sz w:val="20"/>
          <w:lang w:val="en-US" w:eastAsia="en-US" w:bidi="ar-SA"/>
        </w:rPr>
        <w:t xml:space="preserve"> [paragraph] 19, 38; and Antonio v. Federici </w:t>
      </w:r>
      <w:hyperlink r:id="rId738" w:history="1">
        <w:r>
          <w:rPr>
            <w:rFonts w:ascii="arial" w:eastAsia="arial" w:hAnsi="arial" w:cs="arial"/>
            <w:i/>
            <w:color w:val="0077CC"/>
            <w:sz w:val="20"/>
            <w:u w:val="single"/>
            <w:shd w:val="clear" w:color="auto" w:fill="FFFFFF"/>
            <w:lang w:val="en-US" w:eastAsia="en-US" w:bidi="ar-SA"/>
          </w:rPr>
          <w:t>(2002), 1 B.C.L.R. (4th) 352</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2002 BCSC 545</w:t>
        </w:r>
      </w:hyperlink>
      <w:r>
        <w:rPr>
          <w:rFonts w:ascii="arial" w:eastAsia="arial" w:hAnsi="arial" w:cs="arial"/>
          <w:color w:val="000000"/>
          <w:sz w:val="20"/>
          <w:lang w:val="en-US" w:eastAsia="en-US" w:bidi="ar-SA"/>
        </w:rPr>
        <w:t xml:space="preserve"> [paragraph] 15-21. But a contrary view was expressed in Port Coquitlam Building Supplies Ltd. v. Borysiak, </w:t>
      </w:r>
      <w:hyperlink r:id="rId739" w:history="1">
        <w:r>
          <w:rPr>
            <w:rFonts w:ascii="arial" w:eastAsia="arial" w:hAnsi="arial" w:cs="arial"/>
            <w:i/>
            <w:color w:val="0077CC"/>
            <w:sz w:val="20"/>
            <w:u w:val="single"/>
            <w:shd w:val="clear" w:color="auto" w:fill="FFFFFF"/>
            <w:lang w:val="en-US" w:eastAsia="en-US" w:bidi="ar-SA"/>
          </w:rPr>
          <w:t>[2004] B.C.J. No. 291</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2004 BCSC 216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a Supreme Court judge has in awarding costs was discussed by Southin J.A., with whom Toy J.A. concurred, in Stiles v. British Columbia (Workers' Compensation Board) </w:t>
      </w:r>
      <w:hyperlink r:id="rId740"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310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of a Supreme Court judge to award costs stems from s. 3 of the Supreme Court Act which confirms that the judges of the Supreme Court have the inherent powers of a judge of a superior court of record. The power to award costs is governed by the laws in force in England before 1858 and by the enactments, including the Rules of Court, affecting costs made in British Columbia since 1858. Generally, the decisions on costs, including both whether to award costs, and, if awarded, how to calculate them, are decisions governed by a wide measure of discretion. See Oasis Hotel Ltd. v. Zurich Ins. Co., </w:t>
      </w:r>
      <w:hyperlink r:id="rId741"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[1981] 5 W.W.R. 24</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21 C.P.C. 260</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[1982] I.L.R. 1-1459</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124 D.L.R. (3d) 455</w:t>
        </w:r>
      </w:hyperlink>
      <w:r>
        <w:rPr>
          <w:rFonts w:ascii="arial" w:eastAsia="arial" w:hAnsi="arial" w:cs="arial"/>
          <w:color w:val="000000"/>
          <w:sz w:val="20"/>
          <w:lang w:val="en-US" w:eastAsia="en-US" w:bidi="ar-SA"/>
        </w:rPr>
        <w:t xml:space="preserve"> (C.A.). The discretion must be exercised judicially, i.e. not arbitrarily or capriciously. And, as I have said, it must be exercised consistently with the Rules of Court. But it would be a sorry result if like cases were not decided in like ways with respect to costs. So, by judicial comity, principles have developed which guide the exercise of the discretion of a judge with respect to costs. Those principles should be consistently applied; if a judge declines to apply them, without a reason for doing so, he may be considered to have acted arbitrarily or capriciously and not judicially.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subject to abiding by established principles, a Supreme Court judge has a broad discretion in awarding costs, it remains open to the Lieutenant Governor in Council in promulgating the Rules of Court to restrict the exercise of that discretion as may be appropriate where it is thought that to do so will achieve a desired objective. The purpose of Rule 37 is to encourage the settlement of litigation through prescribed consequences in costs as in sub-rule (24). Given that the sub-rule provides for the litigants' entitlement to costs while affording no discretionary alternative, I consider it clear that there is no room for judicial discretion where sub-rule (24)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37 is, as stated in Brown v. Lowe, a complete code. It is important that the Rule be uniformly applied to give effect to its purpose. Litigants must be able to make offers of settlement under the Rule with confidence that the Rule will be applied when costs are awarded.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Cridge argues that to award costs to Harper Grey Easton would be to reward the firm for Mr. de Vooght's misconduct in failing to prosecute her action against Ms. Stevenson. But that is not so. Harper Gray Easton offered to settle the action for $30,000 plus costs (suggesting to me something other than indifference) but Ms. Cridge rejected the offer as an insult. An award of costs in favour of the firm is not a reward for misconduct, but rather the firm's entitlement under the Rule for having faced up to its exposure and made an offer that, had it been accepted, would have provided Ms. Cridge with much more than nominal damages and avoided what was a ten day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decision in Cridge, supra, has subsequently been reinforced by the decisions in Graham v. Graham </w:t>
      </w:r>
      <w:hyperlink r:id="rId743" w:history="1">
        <w:r>
          <w:rPr>
            <w:rFonts w:ascii="arial" w:eastAsia="arial" w:hAnsi="arial" w:cs="arial"/>
            <w:i/>
            <w:color w:val="0077CC"/>
            <w:sz w:val="20"/>
            <w:u w:val="single"/>
            <w:shd w:val="clear" w:color="auto" w:fill="FFFFFF"/>
            <w:lang w:val="en-US" w:eastAsia="en-US" w:bidi="ar-SA"/>
          </w:rPr>
          <w:t>(2005), 15 R.F.L. (6th) 148</w:t>
        </w:r>
      </w:hyperlink>
      <w:r>
        <w:rPr>
          <w:rFonts w:ascii="arial" w:eastAsia="arial" w:hAnsi="arial" w:cs="arial"/>
          <w:color w:val="000000"/>
          <w:sz w:val="20"/>
          <w:lang w:val="en-US" w:eastAsia="en-US" w:bidi="ar-SA"/>
        </w:rPr>
        <w:t xml:space="preserve"> (B.C.C.A.) which dealt with an offer to settle in matrimonial litigation; Re: Manufacturers Life Insurance Co., </w:t>
      </w:r>
      <w:hyperlink r:id="rId744" w:history="1">
        <w:r>
          <w:rPr>
            <w:rFonts w:ascii="arial" w:eastAsia="arial" w:hAnsi="arial" w:cs="arial"/>
            <w:i/>
            <w:color w:val="0077CC"/>
            <w:sz w:val="20"/>
            <w:u w:val="single"/>
            <w:shd w:val="clear" w:color="auto" w:fill="FFFFFF"/>
            <w:lang w:val="en-US" w:eastAsia="en-US" w:bidi="ar-SA"/>
          </w:rPr>
          <w:t>[2005] B.C.J. No. 2801</w:t>
        </w:r>
      </w:hyperlink>
      <w:r>
        <w:rPr>
          <w:rFonts w:ascii="arial" w:eastAsia="arial" w:hAnsi="arial" w:cs="arial"/>
          <w:color w:val="000000"/>
          <w:sz w:val="20"/>
          <w:lang w:val="en-US" w:eastAsia="en-US" w:bidi="ar-SA"/>
        </w:rPr>
        <w:t xml:space="preserve"> (B.C.S.C.); and Lang v. Lang , </w:t>
      </w:r>
      <w:hyperlink r:id="rId745" w:history="1">
        <w:r>
          <w:rPr>
            <w:rFonts w:ascii="arial" w:eastAsia="arial" w:hAnsi="arial" w:cs="arial"/>
            <w:i/>
            <w:color w:val="0077CC"/>
            <w:sz w:val="20"/>
            <w:u w:val="single"/>
            <w:shd w:val="clear" w:color="auto" w:fill="FFFFFF"/>
            <w:lang w:val="en-US" w:eastAsia="en-US" w:bidi="ar-SA"/>
          </w:rPr>
          <w:t>[2005] B.C.J. No. 2289</w:t>
        </w:r>
      </w:hyperlink>
      <w:r>
        <w:rPr>
          <w:rFonts w:ascii="arial" w:eastAsia="arial" w:hAnsi="arial" w:cs="arial"/>
          <w:color w:val="000000"/>
          <w:sz w:val="20"/>
          <w:lang w:val="en-US" w:eastAsia="en-US" w:bidi="ar-SA"/>
        </w:rPr>
        <w:t xml:space="preserve"> (B.C.S.C.). While the decision in Cridge, supra, may not apply where the issue before the Court is one of custody and access, the decision is clearly binding on me in this action which deals with the tortuous acts of Mr. McEachnie and whether Wray should also be found liable for those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Since Cridge, two decisions of this Court have dealt with the question of whether reasonableness must be found before the provisions of Rule 37 apply. In Clark v. Sidhu, </w:t>
      </w:r>
      <w:hyperlink r:id="rId746" w:history="1">
        <w:r>
          <w:rPr>
            <w:rFonts w:ascii="arial" w:eastAsia="arial" w:hAnsi="arial" w:cs="arial"/>
            <w:i/>
            <w:color w:val="0077CC"/>
            <w:sz w:val="20"/>
            <w:u w:val="single"/>
            <w:shd w:val="clear" w:color="auto" w:fill="FFFFFF"/>
            <w:lang w:val="en-US" w:eastAsia="en-US" w:bidi="ar-SA"/>
          </w:rPr>
          <w:t>[2005] B.C.J. No. 1373</w:t>
        </w:r>
      </w:hyperlink>
      <w:r>
        <w:rPr>
          <w:rFonts w:ascii="arial" w:eastAsia="arial" w:hAnsi="arial" w:cs="arial"/>
          <w:color w:val="000000"/>
          <w:sz w:val="20"/>
          <w:lang w:val="en-US" w:eastAsia="en-US" w:bidi="ar-SA"/>
        </w:rPr>
        <w:t xml:space="preserve"> (B.C.S.C.), Johnston J. declined an application for double costs in a jury trial where an offer had been made to pay the plaintiff $1.00 plus costs in accordance with Rule 37(22) and (27)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see how the policy underlying the sub-rule - that of encouraging early and reasonable efforts to settle litigation - is advanced by requiring double costs where the amount offered is so low as to amount to no offer at all. Indeed, there are situations where an offer of $1.00, or of some article having special significance to the litigants, intended to incur consequences under sub-rules 24(b) or 26(b), has been calculated to inflame rather than placate the recipient of such an offer. To a plaintiff who genuinely feels injured or aggrieved, an offer of $1.00 may seem more of an insult than a genuine attempt to settle, even though, in the case of the money offer at least, the offer carries with it disbursements to that point. A plaintiff who feels wronged, then sues to make it right and loses, is doubly wronged if ordered to pay double costs merely because the opposing party, who took the contrary view of their respective rights, offered a pittance in settlement, an amount so low as to be no real offer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note that in the recent decisions of the Court of Appeal denying the existence of discretion where sub-rules 37(24) and (26.1) apply: Brown v. Lowe, </w:t>
      </w:r>
      <w:hyperlink r:id="rId295" w:history="1">
        <w:r>
          <w:rPr>
            <w:rFonts w:ascii="arial" w:eastAsia="arial" w:hAnsi="arial" w:cs="arial"/>
            <w:i/>
            <w:color w:val="0077CC"/>
            <w:sz w:val="20"/>
            <w:u w:val="single"/>
            <w:shd w:val="clear" w:color="auto" w:fill="FFFFFF"/>
            <w:lang w:val="en-US" w:eastAsia="en-US" w:bidi="ar-SA"/>
          </w:rPr>
          <w:t>[2002] B.C.J. No. 76</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Cridge v. Harper Grey Easton &amp; Co., supra, and Graham v. Graham, </w:t>
      </w:r>
      <w:hyperlink r:id="rId743" w:history="1">
        <w:r>
          <w:rPr>
            <w:rFonts w:ascii="arial" w:eastAsia="arial" w:hAnsi="arial" w:cs="arial"/>
            <w:i/>
            <w:color w:val="0077CC"/>
            <w:sz w:val="20"/>
            <w:u w:val="single"/>
            <w:shd w:val="clear" w:color="auto" w:fill="FFFFFF"/>
            <w:lang w:val="en-US" w:eastAsia="en-US" w:bidi="ar-SA"/>
          </w:rPr>
          <w:t>[2005] B.C.J. No. 1182</w:t>
        </w:r>
      </w:hyperlink>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2005 BCCA 278</w:t>
        </w:r>
      </w:hyperlink>
      <w:r>
        <w:rPr>
          <w:rFonts w:ascii="arial" w:eastAsia="arial" w:hAnsi="arial" w:cs="arial"/>
          <w:color w:val="000000"/>
          <w:sz w:val="20"/>
          <w:lang w:val="en-US" w:eastAsia="en-US" w:bidi="ar-SA"/>
        </w:rPr>
        <w:t>, the offers in every case were of a kind and in an amount that would readily be identified as genuine attempts to settle before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Clark v. Bronson, </w:t>
      </w:r>
      <w:hyperlink r:id="rId747" w:history="1">
        <w:r>
          <w:rPr>
            <w:rFonts w:ascii="arial" w:eastAsia="arial" w:hAnsi="arial" w:cs="arial"/>
            <w:i/>
            <w:color w:val="0077CC"/>
            <w:sz w:val="20"/>
            <w:u w:val="single"/>
            <w:shd w:val="clear" w:color="auto" w:fill="FFFFFF"/>
            <w:lang w:val="en-US" w:eastAsia="en-US" w:bidi="ar-SA"/>
          </w:rPr>
          <w:t>[2001] B.C.J. No. 2102</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2001 BCSC 1378</w:t>
        </w:r>
      </w:hyperlink>
      <w:r>
        <w:rPr>
          <w:rFonts w:ascii="arial" w:eastAsia="arial" w:hAnsi="arial" w:cs="arial"/>
          <w:color w:val="000000"/>
          <w:sz w:val="20"/>
          <w:lang w:val="en-US" w:eastAsia="en-US" w:bidi="ar-SA"/>
        </w:rPr>
        <w:t>, Holmes J. said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facts in that case did not directly raise the question whether Rule 37 implicitly requires that a settlement offer under the Rule be reasonable. However, the Court's analysis of the underlying purpose and policy of the Rule is integral to its reasoning on the larger issue before it and is of authoritative guidance here. I conclude from the passage quoted above, including the italicized portions, that settlement offers under the Rule must be "reasonable" ones to invoke the Rule's consequences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referred to by Holmes J. is the decision of the Court of Appeal in Mackenzie v. Brooks, </w:t>
      </w:r>
      <w:hyperlink r:id="rId748" w:history="1">
        <w:r>
          <w:rPr>
            <w:rFonts w:ascii="arial" w:eastAsia="arial" w:hAnsi="arial" w:cs="arial"/>
            <w:i/>
            <w:color w:val="0077CC"/>
            <w:sz w:val="20"/>
            <w:u w:val="single"/>
            <w:shd w:val="clear" w:color="auto" w:fill="FFFFFF"/>
            <w:lang w:val="en-US" w:eastAsia="en-US" w:bidi="ar-SA"/>
          </w:rPr>
          <w:t>[1999] B.C.J. No. 2411</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where the court said at para.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37 is clearly designed to encourage the early settlement of actions. It does so by rewarding the party who makes an early and reasonable settlement offer, and by penalizing the party who declines to accept such an offer. The reward or penalty takes the form of costs (in some cases, double costs) from the date the offer is made. The significant role which costs now play in the litigation process operates as a powerful incentive to parties to make early offers of settlement under the Rule and to accept reasonable offers.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says nothing about reasonableness. However, I agree with Holmes J. that an offer must be reasonable before the sanction of double costs flows under Rule 37. The policy underlying the Rule, of promoting early and reasonable efforts to settle litigation, is not advanced in any way by unreasonable offers to settle. I note the language in Cridge at para. 24: "Rule 37 is, as stated in Brown v. Lowe, a complete code". I also note in Jamieson v. Duteil, </w:t>
      </w:r>
      <w:hyperlink r:id="rId734" w:history="1">
        <w:r>
          <w:rPr>
            <w:rFonts w:ascii="arial" w:eastAsia="arial" w:hAnsi="arial" w:cs="arial"/>
            <w:i/>
            <w:color w:val="0077CC"/>
            <w:sz w:val="20"/>
            <w:u w:val="single"/>
            <w:shd w:val="clear" w:color="auto" w:fill="FFFFFF"/>
            <w:lang w:val="en-US" w:eastAsia="en-US" w:bidi="ar-SA"/>
          </w:rPr>
          <w:t>[2001] B.C.J. No. 1850</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2001 BCCA 516</w:t>
        </w:r>
      </w:hyperlink>
      <w:r>
        <w:rPr>
          <w:rFonts w:ascii="arial" w:eastAsia="arial" w:hAnsi="arial" w:cs="arial"/>
          <w:color w:val="000000"/>
          <w:sz w:val="20"/>
          <w:lang w:val="en-US" w:eastAsia="en-US" w:bidi="ar-SA"/>
        </w:rPr>
        <w:t>, where the Court of Appeal said,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plaintiff or defendant falls squarely within sub-rules (23) to (26) then costs follow those sub-rules with no discretion available to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where Rule 37(24) applies, there is no discretion left to a trial judge with respect to costs, as the sub-rule constitutes a complete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a defendant seeking double costs under Rule 37(24), following a dismissal of the plaintiff's claim, must show an offer to settle that was reasonable in the circumstances of the case in which it was made. I find further that, in the circumstances of this case, where liability for an accident was admitted by the defendant, where one or more other persons suffered injury in the accident, and where there was evidence of some injury, albeit slight, to the plaintiff whose claim was dismissed, an offer of $1.00, plus disbursements only, is not reasonable, and the defendant here is not entitled to double costs after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18-24)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 contrary position on this question is set out in the decision in Biernaczyk (Litigation Guardian of) v. Alford, </w:t>
      </w:r>
      <w:hyperlink r:id="rId749" w:history="1">
        <w:r>
          <w:rPr>
            <w:rFonts w:ascii="arial" w:eastAsia="arial" w:hAnsi="arial" w:cs="arial"/>
            <w:i/>
            <w:color w:val="0077CC"/>
            <w:sz w:val="20"/>
            <w:u w:val="single"/>
            <w:shd w:val="clear" w:color="auto" w:fill="FFFFFF"/>
            <w:lang w:val="en-US" w:eastAsia="en-US" w:bidi="ar-SA"/>
          </w:rPr>
          <w:t>[2006] B.C.J. No. 138</w:t>
        </w:r>
      </w:hyperlink>
      <w:r>
        <w:rPr>
          <w:rFonts w:ascii="arial" w:eastAsia="arial" w:hAnsi="arial" w:cs="arial"/>
          <w:color w:val="000000"/>
          <w:sz w:val="20"/>
          <w:lang w:val="en-US" w:eastAsia="en-US" w:bidi="ar-SA"/>
        </w:rPr>
        <w:t xml:space="preserve"> (B.C.S.C.), where Bernard J. stated that he was bound by the decision in Cridge when concluding that it was inappropriate to import the concept of "reasonableness" into the application of Rule 37(26):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importing "reasonableness" into the application of Rule 37(26) leads to arbitrariness and uncertainty. It argues that if a defendant is required to establish reasonableness beyond the fact that the offer was better than the trial result, then "a whole set of criteria will develop that [will] rob the rule of its clarity." Alternatively, the defendant submits that if it must prove that the offer was reasonable, then it relies upon the trial result as sufficient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defendant. The effectiveness of the objective of the double costs rule is undermined if there is not a certainty of cost consequences. Moreover, an ex post facto judicial determination of the reasonableness of an offer would be fraught with difficulties, not the least of which might be disregarding the trial result as the definitive measure of whether the offer was, in fact, reasonable. These observations apply whether the offer is made under Rule 37 or Rule 37A. (at paras.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respectfully disagree that a plaintiff in the circumstances of Ms. Clark is doubly wronged. In my opinion one can go no further than to observe that she likely feels doubly wronged.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an independent assessment of "reasonableness" is not a valid inquiry under Rule 37; similarly, it is not a proper basis for invoking the discretion afforded by the permissive language of Rule 37A. No other basis was advanced; accordingly, I am satisfied that there is no reason to depart from the double cost consequences as they are set forth in of Rule 37(26)(b).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satisfied that the decision in Cridge, supra, is binding. The concept of "reasonableness" has no application relating to an offer to settle which is made pursuant to Rule 37 of the Rules of Court. It was up to the Legislature to insert a word such as "reasonable" within Rule 37(2) if it was intended that only reasonable offers were subject to the complete code set out in Rule 37. It should also be noted that the decisions in Mackenzie and Bronson, both supra, as cited in Clark, supra, all pre-date the decisions of the Court of Appeal in Brown and Cridge, both supra. Accordingly, I am satisfied that the decisions relied upon in Clark, have been effectively overruled by the decisions in Brown and Cridge.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also satisfied that nothing turns on the fact that the Offer to Settle was said to be made pursuant to Rule 37(22) rather than pursuant to Rule 37(2) or Rule 37 generally. The fact that the Offer to Settle was made pursuant to Rule 37 requires me to conclude that I have no discretion in dealing with the question of whether double costs should be available to the Defendant. Accordingly double costs will be available to Wray from and after July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RULE 37(31)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37(31)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question of whether Wray is not in a position to rely on the Offer to Settle as it was not made on behalf of all Defendants, I am satisfied that it cannot be said that Wray and Mr. McEachnie were "sued jointly". In this regard, Southin J.A. in Brown, supra,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here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said to be sued "jointly" if they have joined together in committing the tort and the liability of the one is the liability of the other, e.g. if two landowners agree to enter upon the land of another and cut down his trees.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there was nothing to prevent the respondent Bryson from making an offer to settle as prescribed by Rule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157-8)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this regard, Rowles J.A. on behalf of the Court in Canadian Forest Products Ltd. v. B.C. Rail Ltd., </w:t>
      </w:r>
      <w:hyperlink r:id="rId472" w:history="1">
        <w:r>
          <w:rPr>
            <w:rFonts w:ascii="arial" w:eastAsia="arial" w:hAnsi="arial" w:cs="arial"/>
            <w:i/>
            <w:color w:val="0077CC"/>
            <w:sz w:val="20"/>
            <w:u w:val="single"/>
            <w:shd w:val="clear" w:color="auto" w:fill="FFFFFF"/>
            <w:lang w:val="en-US" w:eastAsia="en-US" w:bidi="ar-SA"/>
          </w:rPr>
          <w:t>[2005] B.C.J. No. 2006</w:t>
        </w:r>
      </w:hyperlink>
      <w:r>
        <w:rPr>
          <w:rFonts w:ascii="arial" w:eastAsia="arial" w:hAnsi="arial" w:cs="arial"/>
          <w:color w:val="000000"/>
          <w:sz w:val="20"/>
          <w:lang w:val="en-US" w:eastAsia="en-US" w:bidi="ar-SA"/>
        </w:rPr>
        <w:t xml:space="preserve"> (B.C.C.A.) agreed with the distinction made by Southin J.A. in Brown, supra,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multiple defendants who are not sued jointly are unable to make a valid global offer to a plaintiff under Rule 37(2) so too is a plaintiff unable to make a valid global offer to multiple defendants who are not sued jointly. The same considerations apply. To avail itself of the costs consequences prescribed by Rule 37, Canfor would have had to make individual offers to settle to the defendants.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Wray and Mr. McEachnie were not joint tortfeasors. Rather, the question which was raised by the pleadings was whether Wray could be vicariously liable for the actions of Mr. McEachnie. Accordingly, the Offer to Settle was binding even though it was not made on behalf of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AN ORDER UNDER RULE 57(18)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57(18) of the Rules of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Named for the order made in Sanderson v. Blyth Theatre Co. [1903] 2 K.B. 533 (C.A.), a Sanderson order would provide that Wray would be in a position to recover its costs against Mr. McEachnie rather than against Mr. Reddemann. Named for the order made in Bullock v. London General Omnibus Co. [1907] 1 K.B. 264 (C.A.), a Bullock order would allow Mr. Reddemann to recover against Mr. McEachnie those costs that Mr. Reddemann is obliged to pay to Wray. The authority for granting either a Sanderson order or, alternatively, a Bullock order is now found in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difference between such orders is obvious. If a Sanderson order is made, Wray may not be in a position to recover those costs from Mr. McEachnie. If a Bullock order is made, it would be necessary for Mr. Reddemann to attempt to recover the costs awarded to Wray from Mr.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Robertson v. Wing </w:t>
      </w:r>
      <w:hyperlink r:id="rId750"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(B.C.C.A.), Lambert J.A. stated that the only general rule about whether Sanderson or Bullock orders will be granted is whether the threshold test has been met that it is reasonable for the plaintiff to have joined the successful defendant in an action. If the plaintiff can meet this threshold, it is left to the discretion of the judge to decide what distribution of costs would be just. That statement of the test was subsequently narrowed.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Grassi v. WIC Radio Ltd. </w:t>
      </w:r>
      <w:hyperlink r:id="rId751"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(B.C.C.A.), Southin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go so far, as some of the cases have suggested, as to say that such an order should be made "whenever it was reasonable for the plaintiff to have sued the successful defendant", if, by "reasonable", one is looking at the matter from the perspective of counsel for the plaintiff. One must bear in mind that the present rule as to joinder of causes of action is so broad that the causes of action alleged against the various defendants may be completely different, even though they arise out of the same transaction. To illustrate the point, in Can-Dive Services v. Pacific Coast Energy </w:t>
      </w:r>
      <w:hyperlink r:id="rId752"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the plaintiff, a sub-contractor on a construction project, sued the contractor, alleging breach of contract; the owner, alleging breach of a duty of care; and the owner's engineer, alleging a breach of a duty of care. To sue the owner and the engineer, although the claims ultimately failed, may well have been reasonable from the point of view of the plaintiff but that would not, in my opinion, have warranted, if the contractual claim had succeeded, the contractor being required to pay the plaintiff the costs which the plaintiff was obliged to pay to the owner and the engineer. There must be something which the unsuccessful defendant did, such as asserting the other defendant was the culprit in the case, to warrant his being made to reimburse the plaintiff for the successful defendant's costs. That was what happened in Bullock v. London General Omnibus Co. The omnibus company asserted the cart driver was the cause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orders under Rule 57(18) are not restricted to cases where the unsuccessful defendant in the course of the litigation has blamed the successful defendant but may extend to acts of the unsuccessful defendant which caused the successful defendant to be brought into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way in which the respondents put the broadcast together with words in fact spoken by Inspector Doern and words not spoken by him but attributed to him and words (the "all men suspect" statement) which the reasonable listener might infer were his words, made it reasonable for the appellant to sue both Inspector Doern and the City of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33-35)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Grassi, Southin J.A. also stated that: "... the person who seeks to displace the usual rule has the burden of persuading the judge that the rules should be displaced, but even if the discretion is the same under both the statutory provision and the present rule, it is nonetheless a discretion to be exercised on a principled basis."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it was reasonable for Mr. Reddemann to join Wray as a party Defendant. Mr. McEachnie was an employee of Wray. The obvious question to be answered was whether Mr. McEachnie was or was not acting as an employee of Wray when the assault occurred. In this regard, there was some evidence that Mr. McEachnie had been instructed by his superiors to quiet Mr. Reddemann as a noisy and persistent fan for the opposing team when Mr. Reddeman was seated directly behind the bench of the Vernon Vipers and was making it difficult for the Vernon Viper players to hear the instructions being given to them by their coaches. It was also reasonable for Mr. Reddemann to join Wray in order that the issue of whether Wray should be vicariously liable for the actions of Mr. McEachnie could be "... thoroughly threshed out": Besterman v. British Motor Cab Company Ltd. [1914] 3 K.B. 161 (C.A.) at p. 186 cited with approval in Robertson, supra,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is not a case where Mr. Reddemann alleged independent causes of action against the two Defendants or where the two breaches of duty alleged are in no way connected as was the case in Robertson, supra, where the cause of action against the college was for breach of contract and the cause of action against Dr. Wing was for inducing the breach of contract. Here, the cause of action against Mr. McEachnie was for assault, the cause of action against Wray was that the assault was at the direction of supervisors of Mr. McEachnie or that Wray was vicariously liable for the assault. In the circumstances, it was reasonable for Mr. Reddemann to have joined Wray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question which then arises is whether it can be said that Mr. McEachnie did anything to bring Wray into the litigation. I am satisfied that he did. It was the actions of Mr. McEachnie which brought Wray into the litigation by raising the question of whether the actions of Mr. McEachnie were at the direction of Wray or whether Wray should be held vicariously liable for the damages caused by the assault administered on Mr. Reddemann by Mr. McEachnie. Mr. McEachnie was employed by Wray. The question which arose was whether what he did was done with the approval of Wray or within the scope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Having determined that it was reasonable for Mr. Reddemann to join Wray as a Defendant, I am also satisfied that it would be fair to exercise the discretion available to me to require the costs ordinarily available to Wray against Mr. Reddemann to be recovered against Mr. McEachnie by Wray. In this regard, I am governed by the statement in Imperial Salmon House Ltd. v. Krdzalic </w:t>
      </w:r>
      <w:hyperlink r:id="rId753" w:history="1">
        <w:r>
          <w:rPr>
            <w:rFonts w:ascii="arial" w:eastAsia="arial" w:hAnsi="arial" w:cs="arial"/>
            <w:i/>
            <w:color w:val="0077CC"/>
            <w:sz w:val="20"/>
            <w:u w:val="single"/>
            <w:shd w:val="clear" w:color="auto" w:fill="FFFFFF"/>
            <w:lang w:val="en-US" w:eastAsia="en-US" w:bidi="ar-SA"/>
          </w:rPr>
          <w:t>(1983), 48 B.C.L.R. 256</w:t>
        </w:r>
      </w:hyperlink>
      <w:r>
        <w:rPr>
          <w:rFonts w:ascii="arial" w:eastAsia="arial" w:hAnsi="arial" w:cs="arial"/>
          <w:color w:val="000000"/>
          <w:sz w:val="20"/>
          <w:lang w:val="en-US" w:eastAsia="en-US" w:bidi="ar-SA"/>
        </w:rPr>
        <w:t xml:space="preserve"> (B.C.S.C.) where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then, is how the court's discretion should be exercised. The question, at base, is one of policy; with which of the plaintiff and the successful defendant should rest the risk that the defendant Krdzalic would be unable to pay the defendant A.E. LePage's costs? In determining this question, it must be borne in mind that the effect of a Sanderson order is that the court nominates the unsuccessful defendant as the only person to whom the successful defendant is entitled to look for payment of its costs, thus depriving the successful defendant of its right against the unsuccessful (as against him) plaintiff, upon whose ability to pay the successful defendant might have been quite content to rely: Munshaw Colour Service Ltd. v. Vancouver (1960), 31 W.W.R. 273 at 278 (B.C.S.C.). In the absence of special circumstances, such as where the unsuccessful defendant is legally related to the successful defendant (Kemp v. Lee, </w:t>
      </w:r>
      <w:hyperlink r:id="rId754" w:history="1">
        <w:r>
          <w:rPr>
            <w:rFonts w:ascii="arial" w:eastAsia="arial" w:hAnsi="arial" w:cs="arial"/>
            <w:i/>
            <w:color w:val="0077CC"/>
            <w:sz w:val="20"/>
            <w:u w:val="single"/>
            <w:shd w:val="clear" w:color="auto" w:fill="FFFFFF"/>
            <w:lang w:val="en-US" w:eastAsia="en-US" w:bidi="ar-SA"/>
          </w:rPr>
          <w:t>[1983] B.C.J. No. 1804</w:t>
        </w:r>
      </w:hyperlink>
      <w:r>
        <w:rPr>
          <w:rFonts w:ascii="arial" w:eastAsia="arial" w:hAnsi="arial" w:cs="arial"/>
          <w:color w:val="000000"/>
          <w:sz w:val="20"/>
          <w:lang w:val="en-US" w:eastAsia="en-US" w:bidi="ar-SA"/>
        </w:rPr>
        <w:t xml:space="preserve"> B.C.S.C., Toy J., Dawson Creek No. 84/1982, 9th May 1983), I would decline to make such an order. The plaintiff, as the party which initiated proceedings, must bear the primary risk of meeting the costs of parties against whom it is eventually unsuccessful. The fact that the conduct of the defendants was related is in itself insufficient; that exists in most cases where more than one defendant is properly joined by a plaintiff. (at pp. 258-9)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case at bar, there is no evidence before me that Mr. McEachnie is not in a position to pay Wray if a Sanderson order is made. However, if there is a risk that Mr. McEachnie will be not be in a position to pay the costs awarded to Wray, I am satisfied that Wray is in a better position financially to bear that risk. As well, there is nothing in evidence which would allow me to conclude that the making of a Sanderson order would deprive Wray from its right to recover its costs. I am satisfied that "special circumstances" are present here. There is nothing before me which would allow me to conclude that Mr. McEachnie does not continue to be employed by Wray. Because Mr. McEachnie is employed by Wray, I am satisfied that there is a legal relationship between the two in the sense of a contract of employment: Krdzalic, supra. Accordingly, Wray will have the means to control the employment payments that it would ordinarily be making to Mr.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also satisfied that it would be easier and less costly for Wray which is a Vernon company to recover any Judgment for costs against Mr. McEachnie who resides in Vernon than it would be for Mr. Reddemann who resides in the Lower Mainland to recover those costs. I also take into account the fact that counsel for Wray acted throughout as counsel for Mr. McEachnie as well. I am satisfied it would be more appropriate for Wray and Mr. McEachnie to share the costs of defending the action commenced by Mr. Reddemann in accordance with whatever arrangements were already in place with counsel who appeared at the Trial on behalf of both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the taxable costs available to Dr. J. Duncan Wray Inc. doing business as The Vernon Vipers Junior "A" Hockey Club and The Vernon Vipers Junior "A" Hockey Club which would ordinarily be recoverable against Kristen Reddemann will be recoverable by that successful Defendant against Trevor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conclusion, the Defendant, Dr. J. Duncan Wray Inc., doing business as The Vernon Vipers Junior "A" Hockey Club and The Vernon Vipers Junior "A" Hockey Club will be entitled to costs on a Party and Party (Scale 3) basis to July 15, 2004 and double costs thereafter. Those costs will be available to that Defendant from the Defendant, Trevor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Samos Investments Inc. v. Pattison, [2004] B.C.J. No. 705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A990956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B.L.R. (3d) 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484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Samos Investments Inc., plaintiff, and James A. Pattison, P. Nicholas Geer, Donald C. Selman, Jim Pattison Ltd., Jim Pattison Industries Ltd., 461847 British Columbia Ltd., Great Pacific Industries Inc., Great Pacific Capital Corp., Westar Group Ltd., and Canadian Imperial Bank of Commerce,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jc w:val="both"/>
        <w:rPr>
          <w:rFonts w:ascii="arial" w:eastAsia="arial" w:hAnsi="arial" w:cs="arial"/>
          <w:sz w:val="20"/>
          <w:lang w:val="en-US" w:eastAsia="en-US" w:bidi="ar-SA"/>
        </w:rPr>
      </w:pPr>
      <w:bookmarkStart w:id="232" w:name="Counsel_37"/>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Roberts, Q.C., W.A. Baker and K.L. Weslowski, for the plaintiff. J. Wood, Q.C., D.E. Gruber and K. Wendel, for the defendant, Canadian Imperial Bank of Commerce. I.G. Nathanson, Q.C., S.R. Schachter, Q.C. and G.B. Gomery, for the defendants, Pattison et al. W.M. Everett, Q.C., for Westar Group. A.D. Borrell, for the defendant, 461847 British Columbia Ltd. J.P. Taylor, Q.C. and R.W. Sieg, for the defendant, Donald C. Selman.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7"/>
      <w:bookmarkEnd w:id="233"/>
      <w:r>
        <w:pict>
          <v:line id="_x0000_s1190" style="position:absolute;z-index:2517483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BAUMAN J."/>
            <w:bookmarkEnd w:id="234"/>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 Judicial History and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Samos Investments Inc. ("Samos") became the registered owner of 1,000 shares in BCRIC (as it then was) on 29 December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1995 Consolidation these shares were reduced to eight in number in what was by then known as Westar.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Samos held these shares until Westar was taken private and they were purchased at $70 each in that 1997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Samos has been engaged in recent years in an effort to certify as a class proceeding, its action against the Pattison Defendants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initial certification application I described the litigation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application is extraordinary. It seeks to certify on behalf of a single, diverse class, a proceeding which alleges a civil conspiracy spanning some five years and which includes a series of complex corporate transactions involving a widely traded public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reasons published at </w:t>
      </w:r>
      <w:hyperlink r:id="rId762" w:history="1">
        <w:r>
          <w:rPr>
            <w:rFonts w:ascii="arial" w:eastAsia="arial" w:hAnsi="arial" w:cs="arial"/>
            <w:i/>
            <w:color w:val="0077CC"/>
            <w:sz w:val="20"/>
            <w:u w:val="single"/>
            <w:shd w:val="clear" w:color="auto" w:fill="FFFFFF"/>
            <w:lang w:val="en-US" w:eastAsia="en-US" w:bidi="ar-SA"/>
          </w:rPr>
          <w:t>(2001), 22 B.L.R. (3d) 46</w:t>
        </w:r>
      </w:hyperlink>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 xml:space="preserve">, I dismissed Samos' application to certify the action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certification application spanned nine hearing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proposed class before this court at that time covered shareholders in Westar in three discrete periods, that is, all persons who were shareholders of Westar (with a number of exceptions) as of any of the following dates: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during the period January 20, 1994, to and including September 1, 1994 (the "1994 Debt Restructuring");</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owners of less than 125 shares at any time during the period March 14, 1995, to and including April 28, 1995 (the "1995 Consolidation");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during the period May 14, 1996, to and including May 22, 1997 (from the 1996 Debt Restructuring to the 1997 Income Fund Transaction and the 1997 Going Private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decision refusing to certify the action was appealed. On the appeal Samos conceded that I was correct in refusing to certify the class described above, but it proposed a new class defined in this manner (again with exceptions): minority shareholders who were shareholders on the specific date of commencement of each of three periods, namely, 20 January 1994, 14 March 1995 and 15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appeal consumed three hearing days. The Court of Appeal dismissed the appeal (</w:t>
      </w:r>
      <w:hyperlink r:id="rId763" w:history="1">
        <w:r>
          <w:rPr>
            <w:rFonts w:ascii="arial" w:eastAsia="arial" w:hAnsi="arial" w:cs="arial"/>
            <w:i/>
            <w:color w:val="0077CC"/>
            <w:sz w:val="20"/>
            <w:u w:val="single"/>
            <w:shd w:val="clear" w:color="auto" w:fill="FFFFFF"/>
            <w:lang w:val="en-US" w:eastAsia="en-US" w:bidi="ar-SA"/>
          </w:rPr>
          <w:t>[2003] 4 W.W.R. 39</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Justice Mackenzie (Ryan and Saunders J.J.A. concurring) concluded ([paragraph]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modification of the class that Samos has put forward on the appeal does not overcome the difficulty identified by Bauman J.: namely, that there is no common issue among a changing group of minority shareholders who have different interests depending on the timing of their share purchases and dispositions.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the Court of Appeal rendered its decision, plaintiff's counsel by letter dated 29 November 2003 sought to file supplementary argument before the panel. Mr. Roberts began with a frank admission: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conclusion of submissions before the Court on Wednesday November 27, 2002, as counsel for the Appellant I have continued to rethink the question of the date or dates for class membership in this case for which certification as a class action has been sought. As a result of this rethinking I have concluded that the date or dates advanced in the Appellant's Factum and in oral argument are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then submits: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determining date for class membership is not as to the holding of shares "at the outset of the alleged wrongs", as in paragraph 61 of the Appellant's Factum, which was identified in oral argument as January 20, 1994, March 16, 1995, and May 17, 1996.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harm complained of in this law suit is the dilution of shares in 1994 and 1996 (and the loss of shares to the 1995 shareholders). Thus, certain fundamental constructs of civil law claims leads me to conclude that the class is composed of class members at dates, not at the commencement of the wrongs, but when the harm or loss was suffered, i.e. when the dilution and confiscation of shares occurred. Those dates are: June 30, 1994 (shareholder approval of the issuance of 450 million new shares), April 28, 1995 (shareholder approval for the 1995 consolidation), and June 28, 1996 (shareholder approval of the 1996 debt restructuring).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application to file further argument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Samos has then proposed three distinct class definitions in its efforts to certify this proceeding. It now applies to amend its Statement of Claim and proposes a new class definition - a fourth class definition - in an attempt to again 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application was heard over the course of four hearing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principal submission is that enough is enough; this application is an abuse of process; 16 hearing days in two courts and the ingenuity of senior and learned counsel have not crafted an acceptable class definition because, quite simply, one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do not purpose to relate again the general background to the corporate transactions making up the alleged conspiracy. They can be reviewed by reference to my earlier reasons and to those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Indeed, it is convenient to incorporate here Justice Mackenzie's summary of the background found in his reasons at [paragraph] 4 to 29 inclusive. For ease of reference, I attach these excerpts as Appendix I to these reasons. I will carry forward the terms defined in my earlier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 have said, Samos applies for leave to certify this proceeding pursuant to s. 2(3) of the Act, which provides: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subsection (2) must be made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90 days after the later of</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last appearance or statement of defence was delivered, and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time prescribed by the Rules of Court for delivery of the last appearance or statement of defence expires without its being delivered, or</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other time,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applies to amend its statement of claim and to certify the newly pleaded action with a class defined (with various exceptions) as: all persons who held shares in Westar on 20 January 1994 and who continued to hold such shares until:</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completion of the shareholder vote approving the Master Restructuring Agreement on June 30, 1994 (the first dilution), or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completion of the shareholder vote approving the 1996 Debt Restructuring on June 28, 1996 (the second dilution).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alternatively, the class be comprised of all persons who held shares in Westar Group Ltd. on January 20, 1994 and continued to hold such shares until June 30, 1994 as in (a)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 its Notice of Motion suggested "or in the further alternative, such other class or subclass as this Court may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Roberts did not pursue this relief in light of the reasons advanced by Justice Winkler in Caputo v. Imperial Tobacco Ltd., </w:t>
      </w:r>
      <w:hyperlink r:id="rId764" w:history="1">
        <w:r>
          <w:rPr>
            <w:rFonts w:ascii="arial" w:eastAsia="arial" w:hAnsi="arial" w:cs="arial"/>
            <w:i/>
            <w:color w:val="0077CC"/>
            <w:sz w:val="20"/>
            <w:u w:val="single"/>
            <w:shd w:val="clear" w:color="auto" w:fill="FFFFFF"/>
            <w:lang w:val="en-US" w:eastAsia="en-US" w:bidi="ar-SA"/>
          </w:rPr>
          <w:t>[2004] O.J. No. 299</w:t>
        </w:r>
      </w:hyperlink>
      <w:r>
        <w:rPr>
          <w:rFonts w:ascii="arial" w:eastAsia="arial" w:hAnsi="arial" w:cs="arial"/>
          <w:color w:val="000000"/>
          <w:sz w:val="20"/>
          <w:lang w:val="en-US" w:eastAsia="en-US" w:bidi="ar-SA"/>
        </w:rPr>
        <w:t xml:space="preserve"> (Ont. Sup. Ct. Jus.).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return to this below, but as I understand Mr. Roberts' submission, class members are only so, within the new class, in respect of the shares which they actually held on 20 January 1994 and continued to hold to either of the stated dates. In other words, if they purchased more shares on, for instance 15 May 1994, they would not be class members in respect of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to the defendants' threshold objection, that in the circumstances this application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were not aware of any cases which have squarely considered whether a subsequent application (after an initial refusal to certify) can be brought with leave of the court under s. 2(3)(b).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section addresses a timing requirement; it does not expressly contemplate multiple applications to certify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said that Justice Macaulay did something analogous to that in Collette v. Great Pacific Management Co., </w:t>
      </w:r>
      <w:hyperlink r:id="rId765" w:history="1">
        <w:r>
          <w:rPr>
            <w:rFonts w:ascii="arial" w:eastAsia="arial" w:hAnsi="arial" w:cs="arial"/>
            <w:i/>
            <w:color w:val="0077CC"/>
            <w:sz w:val="20"/>
            <w:u w:val="single"/>
            <w:shd w:val="clear" w:color="auto" w:fill="FFFFFF"/>
            <w:lang w:val="en-US" w:eastAsia="en-US" w:bidi="ar-SA"/>
          </w:rPr>
          <w:t>[2003] B.C.J. No. 529</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2003 BCSC 332</w:t>
        </w:r>
      </w:hyperlink>
      <w:r>
        <w:rPr>
          <w:rFonts w:ascii="arial" w:eastAsia="arial" w:hAnsi="arial" w:cs="arial"/>
          <w:color w:val="000000"/>
          <w:sz w:val="20"/>
          <w:lang w:val="en-US" w:eastAsia="en-US" w:bidi="ar-SA"/>
        </w:rPr>
        <w:t xml:space="preserve">, appeal allowed </w:t>
      </w:r>
      <w:r>
        <w:rPr>
          <w:rFonts w:ascii="arial" w:eastAsia="arial" w:hAnsi="arial" w:cs="arial"/>
          <w:i/>
          <w:color w:val="000000"/>
          <w:sz w:val="20"/>
          <w:lang w:val="en-US" w:eastAsia="en-US" w:bidi="ar-SA"/>
        </w:rPr>
        <w:t>[2004] B.C.J. No. 381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But Justice Macaulay's second look at the proposed certification in Collette came about because the Court of Appeal remitted the issue of certification of the contract claim back to Macaulay J., </w:t>
      </w:r>
      <w:hyperlink r:id="rId766" w:history="1">
        <w:r>
          <w:rPr>
            <w:rFonts w:ascii="arial" w:eastAsia="arial" w:hAnsi="arial" w:cs="arial"/>
            <w:i/>
            <w:color w:val="0077CC"/>
            <w:sz w:val="20"/>
            <w:u w:val="single"/>
            <w:shd w:val="clear" w:color="auto" w:fill="FFFFFF"/>
            <w:lang w:val="en-US" w:eastAsia="en-US" w:bidi="ar-SA"/>
          </w:rPr>
          <w:t>[2002] B.C.J. No. 651</w:t>
        </w:r>
      </w:hyperlink>
      <w:r>
        <w:rPr>
          <w:rFonts w:ascii="arial" w:eastAsia="arial" w:hAnsi="arial" w:cs="arial"/>
          <w:color w:val="000000"/>
          <w:sz w:val="20"/>
          <w:lang w:val="en-US" w:eastAsia="en-US" w:bidi="ar-SA"/>
        </w:rPr>
        <w:t xml:space="preserve">. My colleague had not considered that claim in the first application, </w:t>
      </w:r>
      <w:hyperlink r:id="rId767" w:history="1">
        <w:r>
          <w:rPr>
            <w:rFonts w:ascii="arial" w:eastAsia="arial" w:hAnsi="arial" w:cs="arial"/>
            <w:i/>
            <w:color w:val="0077CC"/>
            <w:sz w:val="20"/>
            <w:u w:val="single"/>
            <w:shd w:val="clear" w:color="auto" w:fill="FFFFFF"/>
            <w:lang w:val="en-US" w:eastAsia="en-US" w:bidi="ar-SA"/>
          </w:rPr>
          <w:t>[2001] B.C.J. No. 253</w:t>
        </w:r>
      </w:hyperlink>
      <w:r>
        <w:rPr>
          <w:rFonts w:ascii="arial" w:eastAsia="arial" w:hAnsi="arial" w:cs="arial"/>
          <w:color w:val="000000"/>
          <w:sz w:val="20"/>
          <w:lang w:val="en-US" w:eastAsia="en-US" w:bidi="ar-SA"/>
        </w:rPr>
        <w:t>, because the parties asked him to only consider the claim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read Collette as authority supporting serial applications for certification in a single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application of issue estoppel or abuse of process (which, "although separate and distinct from cause of action estoppel and issue estoppel, has much in common with them" per Lord Bingham in Johnson v. Gore Wood &amp; Co, [2002] 2 A.C. 1 (C.A.) at 30-31) to a certification application in a class proceeding was considered by E.R.A. Edwards J. in Harrington v. Dow Corning Corp. </w:t>
      </w:r>
      <w:hyperlink r:id="rId768" w:history="1">
        <w:r>
          <w:rPr>
            <w:rFonts w:ascii="arial" w:eastAsia="arial" w:hAnsi="arial" w:cs="arial"/>
            <w:i/>
            <w:color w:val="0077CC"/>
            <w:sz w:val="20"/>
            <w:u w:val="single"/>
            <w:shd w:val="clear" w:color="auto" w:fill="FFFFFF"/>
            <w:lang w:val="en-US" w:eastAsia="en-US" w:bidi="ar-SA"/>
          </w:rPr>
          <w:t>(2002), 100 B.C.L.R. (3d) 307</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2002 BCSC 511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Bristol-Myers moved for orders amending the certification orders made in the breast implant litigation so as to decertify the claim as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Bristol-Myers based its motion on evidence that it was not a manufacturer of silicone breast implants and ought to have been excluded from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Justice Edwards held that issue estoppel applied so as to preclude Bristol-Myers from pursuing the motion ([paragraphs] 27, 30-33, and 35-37):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Bristol could have asked the Court of Appeal to review the certification order on the basis Bristol was not properly included because it was not a manufacturer. Normally, estoppel precludes a litigant from raising an issue which could have been dealt with on facts and law known or discoverable when an earlier proceeding, including an appeal, could have decided the issue. See Archipelago (Township) v. Shawanaga First Nation, </w:t>
      </w:r>
      <w:hyperlink r:id="rId769" w:history="1">
        <w:r>
          <w:rPr>
            <w:rFonts w:ascii="arial" w:eastAsia="arial" w:hAnsi="arial" w:cs="arial"/>
            <w:i/>
            <w:color w:val="0077CC"/>
            <w:sz w:val="20"/>
            <w:u w:val="single"/>
            <w:shd w:val="clear" w:color="auto" w:fill="FFFFFF"/>
            <w:lang w:val="en-US" w:eastAsia="en-US" w:bidi="ar-SA"/>
          </w:rPr>
          <w:t>[1994] O.J. No. 1703</w:t>
        </w:r>
      </w:hyperlink>
      <w:r>
        <w:rPr>
          <w:rFonts w:ascii="arial" w:eastAsia="arial" w:hAnsi="arial" w:cs="arial"/>
          <w:color w:val="000000"/>
          <w:sz w:val="20"/>
          <w:lang w:val="en-US" w:eastAsia="en-US" w:bidi="ar-SA"/>
        </w:rPr>
        <w:t xml:space="preserve"> (Ont. Gen. Div.)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Bristol's counsel argued that the findings to which issue estoppel applied were that the action would be certified on the specified question engaging manufacturers alone and that Bristol was not a manufacturer. As a result, he argued, it was not now open for the plaintiffs to introduce evidence to persuade the court Bristol was a manufacturer. If that is so, then Ms. Leung's affidavit must also be disregarded.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issue estoppel operates here to preclude the court from granting Bristol an order decertifying the case against it even if it was not a manufacturer.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issue estoppel are the principles of finality and avoidance of a multiplicity of proceedings. Issue estoppel prevents parties from litigating in tranches and from raising afresh issues which were or ought to have been decided when all relevant facts and law could have been put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entered order reflects an implicit finding that Bristol was a manufacturer, even if the reasons for judgment underlying the order do not make an express finding to that effect. Under ss. 1 and 6 of the Court of Appeal Act, orders, not reasons for judgment, are the subject of appeals. The Court of Appeal had jurisdiction to rectify any error in the order of Mackenzie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Bristol had three opportunities to argue that the certification order should not apply to it since it was not a manufacturer, once before Mackenzie J., again when the formal order was under consideration before entry and again when that order was before the Court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Finality and avoidance of a multiplicity of proceedings are less a concern in a case such as this where there has been no determination on the substantive merits of the plaintiffs' claim. The order Bristol seeks to vary is essentially a procedural one. There is specific authority in the Act for this court to amend the order and to decertify. The parties have taken no significant procedural steps in the six years since the order was entered in reliance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I am of the view that in the absence of any new facts or law (and none were alleged by Bristol) this court should not exercise its authority under ss. 8(3) and 10(1) of the Act to grant the relief sought in light of the doctrine of issue estoppel and the binding effect of the judgment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will be seen, Justice Edwards based his conclusion on the doctrine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That doctrine has been given a narrow compass in cases like Danyluk v. Ainsworth Technologies Inc., </w:t>
      </w:r>
      <w:hyperlink r:id="rId77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 D.L.R. (4th) 193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Justice Binnie (for the court) began with the policy considerations founding the doctrine of issue estoppel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rightly seeks a finality to litigation. To advance that objective, it requires litigants to put their best foot forward to establish the truth of their allegations when first called upon to do so. A litigant, to use the vernacular, is only entitled to one bite at the cherry. The appellant chose the ESA as her forum. She lost. An issue, once decided, should not generally be relitigated to the benefit of the losing party and the harassment of the winner. A person should only be vexed once in the same cause. Duplicative litigation, potential inconsistent results, undue costs, and inconclusive proceedings are to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Justice Binnie reviewed the development of the doctrine, noted Justice Middleton's definition in McIntosh v. Parent, </w:t>
      </w:r>
      <w:hyperlink r:id="rId771"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C.A.) and stated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estoppel was more particularly defined by Middleton J.A. of the Ontario Court of Appeal in McIntosh v. Parent, </w:t>
      </w:r>
      <w:hyperlink r:id="rId771"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C.A.), at p. 422: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b/>
          <w:color w:val="000000"/>
          <w:sz w:val="20"/>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b/>
          <w:color w:val="000000"/>
          <w:sz w:val="20"/>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 [Emphasis added. [by Binnie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was adopted by Laskin J. (later C.J.), dissenting in Angle, </w:t>
      </w:r>
      <w:hyperlink r:id="rId772"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pp. 267-68. This description of the issues subject to estoppel ("[a]ny right, question, or fact distinctly put in issue and directly determined") is more stringent than the formulation in some of the older cases for cause of action estoppel (e.g., "all matters which were, or might properly have been, brought into litigation", Farwell </w:t>
      </w:r>
      <w:hyperlink r:id="rId773" w:history="1">
        <w:r>
          <w:rPr>
            <w:rFonts w:ascii="arial" w:eastAsia="arial" w:hAnsi="arial" w:cs="arial"/>
            <w:i/>
            <w:color w:val="0077CC"/>
            <w:sz w:val="20"/>
            <w:u w:val="single"/>
            <w:shd w:val="clear" w:color="auto" w:fill="FFFFFF"/>
            <w:lang w:val="en-US" w:eastAsia="en-US" w:bidi="ar-SA"/>
          </w:rPr>
          <w:t>(1894), 22 S.C.R. 553</w:t>
        </w:r>
      </w:hyperlink>
      <w:r>
        <w:rPr>
          <w:rFonts w:ascii="arial" w:eastAsia="arial" w:hAnsi="arial" w:cs="arial"/>
          <w:color w:val="000000"/>
          <w:sz w:val="20"/>
          <w:lang w:val="en-US" w:eastAsia="en-US" w:bidi="ar-SA"/>
        </w:rPr>
        <w:t xml:space="preserve"> at p. 558). Dickson J. (later C.J.), speaking for the majority of Angle, supra, at p. 255, subscribed to the more stringent definition for purpose of issue estoppel. "It will not suffice", he said, "if the question arose collaterally or incidentally in the earlier proceedings or is one which must be inferred by argument from the judgment." The question out of which the estoppel is said to arise must have been "fundamental to the decision arrived at" in the earlier proceeding. In other words, as discussed below, the estoppel extends to the material facts and the conclusions of law or of mixed fact and law ("the questions") that were necessarily (even if not explicitly) determined in the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Binnie J. repeated the preconditions to the operation of issue estoppel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preconditions to the operation of issue estoppel were set out by Dickson J. in Angle, supra, at p. 254: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(1) that the same question has been decided; (2) that the judicial decision which is said to create the estoppel was final; and, (3) that the parties to the judicial decision or their privies were the same persons as the parties to the proceedings in which the estoppel is raised or their privies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Justice Binnie described the reach of the estoppel ([paragraph]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estoppel, in other words, extends to the issues of fact, law, and mixed fact and law that are necessarily bound up with the determination of that "issue" in the prior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problem in a case like that before me is determining precisely what "issue" was before this court on the previous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Was it the narrow question: Should this proceeding as currently pleaded be certified for this precise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Or was it the broader question: Should the action as essentially currently pleaded be certified in respect of this class or any other properly defined class of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That it was the latter issue is certainly suggested by the fact that the plaintiff in the Court of Appeal abandoned the class before me and posited two alternative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But whether this is a case of traditional issue estoppel (as urged by CIBC), or a case for the application of the analogous abuse of process doctrine, does not seem of much moment. The two doctrines are complementary, as the House of Lords decision in Johnson v. Gore Wood &amp; Co, supra makes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Lord Bingham spoke of the inherent power of the court to prevent misuse of its procedure in a way which would be manifestly unfair to a party to litigation before it, or would otherwise bring the administration of justice into disrepute among right thinking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His Lordship then identified at [paragraph] 23 a type of abuse of process discussed by Sir James Wigram V-C in Henderson v. Henderson 3 Hare 100, 114-115: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abuse in question need not involve the reopening of a matter already decided in proceedings between the same parties, as where a party is estopped in law from seeking to relitigate a cause of action or an issue already decided in earlier proceedings, but, as Somervell LJ put it in Greehalgh v. Mallard [1947] 2 All ER 255, 257, may cover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"issues or facts which are so clearly part of the subject-matter of the litigation and so clearly could have been raised that it would be an abuse of the process of the court to allow a new proceeding to be started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Lord Bingham then summarized the modern approach to Henderson v. Henderson abuse of process (at pp.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very well be, as has been convincingly argued (Watt, "The Danger and Deceit of the Rule in Henderson v. Henderson: A new approach to successive civil actions arising from the same factual matter" (2000) 19 C.L.J. 287), that what is now taken to be the rule in Henderson v. Henderson has diverged from the ruling which Wigram V-C made, which was addressed to res judicata. But Henderson v. Henderson abuse of process, as now understood, although separate and distinct from cause of action estoppel and issue estoppel, has much in common with them. The underlying public interest is the same: that there should be finality in litigation and that a party should not be twice vexed in the same matter. This public interest is reinforced by the current emphasis on efficiency and economy in the conduct of litigation, in the interests of the parties and the public as a whole. The bringing of a claim or the raising of a defence in later proceedings may, without more, amount to abuse if the court is satisfied (the onus being on the party alleging abuse) that the claim or defence should have been raised in the earlier proceedings if it was to be raised at all. I would not accept that it is necessary, before abuse may be found, to identify any additional element such as a collateral attack on a previous decision or some dishonesty, but where those elements are present the later proceedings will be much more obviously abusive, and there will rarely be a finding of abuse unless the later proceeding involves what the court regards as unjust harassment of a party. It is, however, wrong to hold that because a matter could have been raised in earlier proceedings it should have been, so as to render the raising of it in later proceedings necessarily abusive. That is to adopt too dogmatic an approach to what should in my opinion be a broad, merits-based judgment which takes account of the public and private interests involved and also takes account of all the facts of the case, focusing attention on the crucial question whether, in all the circumstances, a party is misusing or abusing the process of the court by seeking to raise before it the issue which could have been raised before. As one cannot comprehensively list all possible forms of abuse, so one cannot formulate any hard and fast rule to determine whether, on given facts, abuse is to be found or not. Thus while I would accept that lack of funds would not ordinarily excuse a failure to raise in earlier proceedings an issue which could and should have been raised then, I would not regard it as necessarily irrelevant, particularly if it appears that the lack of funds has been caused by the party against whom it is sought to claim. While the result may often be the same, it is in my view preferable to ask whether in all the circumstances a party's conduct is an abuse than to ask whether the conduct is an abuse and then, if it is, to ask whether the abuse is excused or justified by special circumstances. Properly applied, and whatever the legitimacy of its descent, the rule has in my view a valuable part to play in protecting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theme is echoed in the Supreme Court of Canada's decision in Toronto (City) v. C.U.P.E., Local 79 </w:t>
      </w:r>
      <w:hyperlink r:id="rId207" w:history="1">
        <w:r>
          <w:rPr>
            <w:rFonts w:ascii="arial" w:eastAsia="arial" w:hAnsi="arial" w:cs="arial"/>
            <w:i/>
            <w:color w:val="0077CC"/>
            <w:sz w:val="20"/>
            <w:u w:val="single"/>
            <w:shd w:val="clear" w:color="auto" w:fill="FFFFFF"/>
            <w:lang w:val="en-US" w:eastAsia="en-US" w:bidi="ar-SA"/>
          </w:rPr>
          <w:t>(2003), 232 D.L.R. (4th) 385</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Justice Arbour for the majority stated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context that interests us here, the doctrine of abuse of process engages "the inherent power of the court to prevent the misuse of its procedure, in a way that would ... bring the administration of justice into disrepute" (Canam Enterprises Inc. v. Coles </w:t>
      </w:r>
      <w:hyperlink r:id="rId211"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194 D.L.R. (4th) 648</w:t>
        </w:r>
      </w:hyperlink>
      <w:r>
        <w:rPr>
          <w:rFonts w:ascii="arial" w:eastAsia="arial" w:hAnsi="arial" w:cs="arial"/>
          <w:color w:val="000000"/>
          <w:sz w:val="20"/>
          <w:lang w:val="en-US" w:eastAsia="en-US" w:bidi="ar-SA"/>
        </w:rPr>
        <w:t xml:space="preserve"> (C.A.), at para. 55, per Goudge J.A., dissenting (approved </w:t>
      </w:r>
      <w:hyperlink r:id="rId212"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220 D.L.R. (4th) 466</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b/>
          <w:color w:val="000000"/>
          <w:sz w:val="20"/>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See House of Spring Gardens Ltd. v. Waite,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[Emphasis added [by Arbour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 (See for example, Franco v. White </w:t>
      </w:r>
      <w:hyperlink r:id="rId774"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 D.L.R. (4th) 541</w:t>
        </w:r>
      </w:hyperlink>
      <w:r>
        <w:rPr>
          <w:rFonts w:ascii="arial" w:eastAsia="arial" w:hAnsi="arial" w:cs="arial"/>
          <w:color w:val="000000"/>
          <w:sz w:val="20"/>
          <w:lang w:val="en-US" w:eastAsia="en-US" w:bidi="ar-SA"/>
        </w:rPr>
        <w:t xml:space="preserve"> (C.A.), Bomac Construction Ltd. v. Stevenson, </w:t>
      </w:r>
      <w:hyperlink r:id="rId775"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Bjarnarson v. Government of Manitoba </w:t>
      </w:r>
      <w:hyperlink r:id="rId776"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affirmed </w:t>
      </w:r>
      <w:hyperlink r:id="rId776" w:history="1">
        <w:r>
          <w:rPr>
            <w:rFonts w:ascii="arial" w:eastAsia="arial" w:hAnsi="arial" w:cs="arial"/>
            <w:i/>
            <w:color w:val="0077CC"/>
            <w:sz w:val="20"/>
            <w:u w:val="single"/>
            <w:shd w:val="clear" w:color="auto" w:fill="FFFFFF"/>
            <w:lang w:val="en-US" w:eastAsia="en-US" w:bidi="ar-SA"/>
          </w:rPr>
          <w:t>(1987), 21 C.P.C. (2d) 302</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45 D.L.R. (4th) 766</w:t>
        </w:r>
      </w:hyperlink>
      <w:r>
        <w:rPr>
          <w:rFonts w:ascii="arial" w:eastAsia="arial" w:hAnsi="arial" w:cs="arial"/>
          <w:color w:val="000000"/>
          <w:sz w:val="20"/>
          <w:lang w:val="en-US" w:eastAsia="en-US" w:bidi="ar-SA"/>
        </w:rPr>
        <w:t xml:space="preserve">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to consider the case before me in the context of the threshold objection which I will compendiously call the abuse of process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first concern which presents is whether the proposed amendments to the Statement of Claim make this an essentially different action for certification. I begin by allowing the proposed amendments - no party contested them and the law is liberal in allowing amendments in the absence of prejudice: Langret Investments S.A. v. McDonnell </w:t>
      </w:r>
      <w:hyperlink r:id="rId778"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CIBC spent some time in its submissions helpfully summarizing the proposed amendments. It noted the deletion of allegations relating to the 1994 Records, and the 1995/1996 Records: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and the recasting by deletion of the allegations relating to the 1994 Rights Offering and the 1995 Consolidation such that these transactions would no longer be alleged to have been injurious in and of themselves to the Plaintiff and members of the proposed class, but would still be alleged to have formed part of the Pattison Defendants' conspiracy. There is also a paring down by deletion of the allegations of wrongdoing with respect to the 1997 Income Fund Transaction, apparently for the same purpose.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CIBC accurately summarizes the proposed additions to the Statement of Claim:</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additions are primarily directed towards: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 that the previously pleaded conduct of the Pattison Defendants (as somehow knowingly assisted by CIBC) was directed at the minority shareholders "as a class";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previously pleaded representations were relied upon by the minority shareholders "as a class" with the result that a majority of them were induced to vote in favour of the 1994 Debt Restructuring and the 1996 Debt Restructuring;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damages and harm sustained was sustained by the minority shareholders "as a class" when the Pattison Defendants deprived them of their rightful equity in Westar for less than fair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Nathanson, for the Pattison Defendants, calculates that the proposed amendments to the Statement of Claim reduce the alleged misrepresentations by the Pattison Defendants from 52 to 27 in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Second Amended Statement of Claim does not fundamentally alter the claim which was before this court and the Court of Appeal on the previous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CIBC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new cause of action nor any new factual event to be found in the proposed amended pleading. In other words, the amendments do not change the fundamental character of the claim, which is an allegation of a conspiracy to obtain an equity interest in Westar by the Pattison Defendants at less than fair market value through a multi-step corporate reorganization.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said, I have concluded that in the circumstances which I have outlined this is precisely the type of case which attracts an exercise of the inherent power of the court to prevent an abuse of its process by preventing a party, in Justice Edwards' words, from litigating an issue in tranches.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application to certify is of course the critical step in a class proceeding. This is recognized by the fact that the legislation affords an appeal as of right from an order certifying or refusing to certify a proceeding as a class proceeding (s. 36(1)(a)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application to certify was before this court and the Court of Appeal for many days - longer, as noted in argument, than for many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Efficiency and economy in the conduct of litigation are not served by this fourth attempt to define an appropriate class. I say this with the utmost respect for plaintiff's counsel. Their frankness in acknowledging to the Court of Appeal and to this court that previous formulations of an acceptable class were flawed is commendable, but it points up the evil which the doctrine of abuse of process addresses (in the vernacular adopted in Danyluk, supra): successive bites at the cherry.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Or as Justice Farley said even more colourfully in the context of a second certification attempt in Shaw v. BCE Inc., </w:t>
      </w:r>
      <w:hyperlink r:id="rId779" w:history="1">
        <w:r>
          <w:rPr>
            <w:rFonts w:ascii="arial" w:eastAsia="arial" w:hAnsi="arial" w:cs="arial"/>
            <w:i/>
            <w:color w:val="0077CC"/>
            <w:sz w:val="20"/>
            <w:u w:val="single"/>
            <w:shd w:val="clear" w:color="auto" w:fill="FFFFFF"/>
            <w:lang w:val="en-US" w:eastAsia="en-US" w:bidi="ar-SA"/>
          </w:rPr>
          <w:t>[2003] O.J. No. 5481</w:t>
        </w:r>
      </w:hyperlink>
      <w:r>
        <w:rPr>
          <w:rFonts w:ascii="arial" w:eastAsia="arial" w:hAnsi="arial" w:cs="arial"/>
          <w:color w:val="000000"/>
          <w:sz w:val="20"/>
          <w:lang w:val="en-US" w:eastAsia="en-US" w:bidi="ar-SA"/>
        </w:rPr>
        <w:t xml:space="preserve"> (S.C.J.)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must not put new wine in old bottles; even more so, you must not in a legal sense attempt to put the same old wine in the same old bottles (even if there has been an attempt to change the superficial appearance of that wine and those bottles). That would not be permitted pursuant to the doctrine of res judicata.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self-evident that the cost of these proceedings to date for the defendants has been enormous. These costs may not be recoverable (s. 37 of the Act). The defendants can say with much force that they have paid dearly not to be twice vexed in the same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in C.U.P.E., Local 79 discussed special circumstances where relitigation of an issue will enhance, rather than impeach, the integrity of the judicial system ([paragraph] 52):</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first proceeding is tainted by fraud or dishonesty; (2) when fresh, new evidence, previously unavailable, conclusively impeaches the original results; or (3) when fairness dictates that the original result should not be binding in the new context.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None of these circumstances is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Indeed, far from being a truly fresh inspiration, plaintiff's counsel, with his usual candour, observes in his Outline at paragraph 9 of the proposed new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revised class as in the amendment that is sought, was always before the court as a capable class, and could have been allowed on the prior application by way of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Clearly all of the submissions made before me on this application could have been made to this court or to the Court of Appeal on the earlier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would refuse to grant leave under s. 2(3) of the Act and I dismiss the application to certify the proceeding in respect of the new class on the basis of what Lord Bingham has called Henderson v. Henderson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New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event that I am wrong in my initial conclusion, I will proceed to consider the proposed new class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But because the issues presented on the application have been exhaustively explored in this court and in the Court of Appeal, I will be somewhat brief in my treatment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And because of the conclusions which I have reached on a number of aspects to the proposed certification, I will not address several of the submissions made to me - such as CIBC's extensive submissions on the preferability analysis, the legal novelty of the plaintiff's proposal for measuring shareholders' loss and the so-called air of reality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the original application, I denied certification on a number of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noted at [paragraph] 118 to 120 of my reasons, the active trading in Westar's common shares in the period 1994 to the Plan of Arrangement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[paragraph] 122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active trading of Westar common shares during this period, what emerges is a scenario where different representations were made to different shareholders, potentially inducing wholly different reactions, that is, encouraging some to sell, others to buy and still others to stand 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concluded that the plaintiff's case called for ([paragraph]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numerous individual enquiries as to shareholder reliance within each period in the proposed class and this tends to belie the submission that there are, in reality, common issues which if resolved will advance this litigation in a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noted the potential for real conflicts between shareholders in different periods and concluded ([paragraph] 132-133):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it would be in the interests of the latter class members to stress the wrongs done them later in the chain of torts and conversely to downplay those allegedly done earlier.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 Period 1 shareholder could well be more interested in arguing that the real damage was done early in the piece by the massive share dilution wrought by the 1994 Debt Restructuring.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agreed with counsel that the potential for conflict extended to the theory of damages various shareholders may wish to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[paragraph] 152 I said that the plea of conspiracy offers only superficial commonality: "In reality, the pleadings allege many torts, affecting many individuals in varying degrees and in substantively different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concluded at [paragraph] 154 on this aspect that a class proceeding would not be the preferable procedure for the fair and efficient resolution "of whatever common issues might be extracted from the mass of allegations levelled at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Court of Appeal, Justice Mackenzie again noted the active trading in Westar's shares during the relevant periods and said ([paragraphs]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fair value of the minority shares have been prompted by the contrast between Westar and its subsidiary Westshore Terminals Ltd. ("Westshore") in 1994, when those companies were in default on secured debts of more than $300 million, and 1997 when Westar sold Westshore to an income fund for $663.6 million in cash.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Westshore operated a coal storage and bulk loading terminal at Roberts Bank, B.C. and it was Westar's only active business during the reorganization period. Westshore's fair value depended upon actual and forecast coal tonnage transhipped through the terminal from independently-owned coal mines to Asian markets. The fair value of Westshore as a going concern at particular times during the course of the reorganization is likely to be one of the most contentious aspects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Of course, in the Court of Appeal the court was considering an amended class. Still, the court noted the conflicts within the proposed class ([paragraph] 40 and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a 1994 Shareholder who sold his shares on 30 June 1995 would have no claim for any misrepresentation of the value of Westar's assets or equity after that date. Conversely a 1996 Westar Shareholder who bought his shares on the same date would have no claim for misrepresentations of value before that date. Indeed, he would have benefited from any prior misrepresentations because they would have reduced the purchase price of his shares. The common date of sale and purchase in this illustration is coincidental, but the interests of all minority shareholders will depend upon the timing of their purchases and dispositions. The heavy trading volume of Westar shares suggests that there will be many such timing differences among shareholders. These variations will not only affect issues of quantum of damages but also the causal links between alleged unlawful acts and dilution below fair value at different times throughout the three years of the reorganization. It is not simply the dilution of the minority shares that is in issue: it is the extent to which the dilution reduced the minority shares below their fair value. The fair value of Westar is not likely to have been constant throughout the reorganization as it would have been dependent on the value of Westshore as a going concern. That value may have varied with the actual and forecast coal tonnages shipped through the terminal and that throughput in turn depended on coal production and market conditions beyond Westshore's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modification of the class that Samos has put forward on the appeal does not overcome the difficulty identified by Bauman J.: namely, that there is no common issue among a changing group of minority shareholders who have different interests depending on the timing of their share purchases and dispositions.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Pattison Defendants submit that these obstacles to certification remain in respect of the proposed new class. In particular, they say that the lack of commonality remains: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class now defined remains disparate. The statement of claim advances allegations of wrong doing over the course of three years in which some shareholders will be interested, while others will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But one example of this will suffice, the class includes the shareholder who held on 20 January 1994 and who sold on 2 July 1994. The Pattison Defendants ask, as do I: What connection could such a shareholder have to the allegedly unlawful events of 1996 and the 1997 Going Private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Indeed, this is the precise point made by the Court of Appeal ([paragraph]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a 1994 Shareholder who sold his shares on 30 June 1995 would have no claim for any misrepresentation of the value of Westar's assets or equity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paragraph 116 of its submissions, the plaintiff addresses the issue of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element of the claim is whether the Plaintiff suffered a direct loss. The Plaintiff says that all members of the redefined class suffered a direct loss in that their shares were diluted and undervalued as a result of the Defendants' misuse of insider information, and the Defendants received a benefit in carrying out the impugned transactions. The damages suffered are alleged to be suffered by all class members equally, in relation to their shareholdings. Whether the value of the shares was affected by the impugned transactions - i.e. whether the class as a whole suffered damage, is clearly a common issue, with no question of individual proof. Individual proof would only be required to establish the quantity and timing of the shareholdings of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Again, this appears to stand in the face of the contrary conclusion of the Court of Appeal (I repeat a portion of [paragraphs] 40 and 41 of those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simply the dilution of the minority shares that is in issue: it is the extent to which the dilution reduced the minority shares below their fair value. The fair value of Westar is not likely to have been constant throughout the reorganization as it would have been dependent on the value of Westshore as a going concern. That value may have varied with the actual and forecast coal tonnages shipped through the terminal and that throughput in turn depended on coal production and market conditions beyond Westshore's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modification of the class that Samos has put forward on the appeal does not overcome the difficulty identified by Bauman J.: namely, that there is no common issue among a changing group of minority shareholders who have different interests depending on the timing of their share purchases and dispositions.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for the Pattison Defendants addresses the plaintiff's suggestion that the existence of a civil conspiracy is a common issue to the class and then recognizes that in the plaintiff's new class, all members will have held their shares as of 20 January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Nathanson then correctly submits that the comments of Mackenzie J.A. at [paragraph] 42 to 44, are still largely applicable with only the passages in square brackets no longer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unlawful acts alleged are pleaded both as elements of a civil conspiracy and as actionable independent of the conspiracy. The plea of civil conspiracy is a "conspiracy through unlawful acts" and not a "conspiracy to injure" as that distinction is explained Canada Cement Lafarge Ltd. et al v. B.C. Lightweight Aggregate Ltd. et al </w:t>
      </w:r>
      <w:hyperlink r:id="rId780" w:history="1">
        <w:r>
          <w:rPr>
            <w:rFonts w:ascii="arial" w:eastAsia="arial" w:hAnsi="arial" w:cs="arial"/>
            <w:i/>
            <w:color w:val="0077CC"/>
            <w:sz w:val="20"/>
            <w:u w:val="single"/>
            <w:shd w:val="clear" w:color="auto" w:fill="FFFFFF"/>
            <w:lang w:val="en-US" w:eastAsia="en-US" w:bidi="ar-SA"/>
          </w:rPr>
          <w:t>(1983), 145 D.L.R. (3d) 385</w:t>
        </w:r>
      </w:hyperlink>
      <w:r>
        <w:rPr>
          <w:rFonts w:ascii="arial" w:eastAsia="arial" w:hAnsi="arial" w:cs="arial"/>
          <w:color w:val="000000"/>
          <w:sz w:val="20"/>
          <w:lang w:val="en-US" w:eastAsia="en-US" w:bidi="ar-SA"/>
        </w:rPr>
        <w:t xml:space="preserve"> (S.C.C.). Estey J. emphasized (at p. 399) that in both types of conspiracy there must be actual damage suffered by the plaintiff. It follows that in an unlawful act conspiracy the damage must be caused by an unlawful act: otherwise the conspiracy is not actionable, absent a predominant intent to injure the plaintiff which is not alleged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Samos does not ask that the reorganization be set aside. The claim is for damages and equitable relief related to compensation. The conspiracy by the Pattison Defendants is alleged to have extended over the entire period of the reorganization. Inevitably, even on Samos' theory this will require the court to determine what the fair value of the shares would have been at different times over the course of the reorganization if it had been carried out lawfully. The loss to any particular shareholder will depend on the timing of his [purchase and] disposition in relation to the influence of proven unlawful acts on the [purchase and] disposition price of his shares. It is alleged that the unlawful acts have wrongfully diluted the minority shares resulting in share values lower than they would have been without the conspiracy. The conspiracy could only have caused loss through the effect of the unlawful acts on share value. [Conflicts with respect to causation and damage occur between minority shareholders who bought later and benefited from earlier dilution and those who sold early and claim loss from the same dilution that benefited the later shareholder.]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conspiracy plea may assist Samos on other aspects of the claim, for example by widening the number of defendants potentially liable for an unlawful act, but it does not create greater commonality on issues of causation and damages. I do not think that conspiracy overcomes the difficulty with respect to common issues that presents the barrier to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[Square brackets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simply conclude that the proposed new class does not meet the concerns expressed by this court and the Court of Appeal in respect of the first two suggested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more elementary problem presents, however, with the most recent proposed class. It excludes persons who purchased shares between 21 January 1994 and 27 June 1996, whenever they sold the shares and it excludes persons who held shares on 20 January 1994, but who sold them before 30 June 1994. The plaintiff's proposed alternative class (shareholders between 20 January 1994 and 30 June 1994) is even more exclusive.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And recall again, that apparently it would exclude an included shareholder who held shares on 20 January 1994 and who purchased additional shares thereafter, as to those additional shares. (One wonders how the court would ever deal with such a shareholder who as well sells some of his or her shares during the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Yet these excluded shareholders, on the plaintiff's amended pleadings, were detrimentally impacted by the various misrepresentations and fraudulent conduct allegedly engaged in by the defendants over the three-year period. That is expressly pleaded in numerous paragraphs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offer these paragraphs by way of example: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65 - breach of fiduciary duties owed to "minority shareholders" by misrepresentations in the 1994 Information Circular;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71 and 71a - the dilution wrought by the 1994 Debt Restructuring oppressed and unfairly prejudiced all of the "minority shareholders";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100 - misleading statements made in the 1996 Information Circular were made by a failure to disclose to "minority shareholders" certain material facts;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106 and 106a - the dilution wrought by the 1996 Debt Restructuring oppressed and unfairly prejudiced all of the "minority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All minority shareholders were disadvantaged by the alleged tortious conduct of the defendants, but only some of them are included in the plaintiff's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paragraph 45 of its submissions, the plaintiff seeks to justify the exclusion of persons who bought shares after 20 January 1994 in this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persons who bought shares after January 20, 1994, although shareholders before dilution, should not be included in the class for such shares because they bought after the public announcement of the purchase of the DRA debt by the Defendants, and being shares in a public company they either knew or are deemed to have known of the announced purchase of the DRA debt, and therefore may be deemed to have known that the Defendants' purchase of the DRA debt could impact the price to be paid for such shares. They are therefore not in the same position as shareholders who held their shares from January 20, 1994 to dilution on June 30,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in Mr. Robert's letter of 29 November 2003 to the registry of the Court of Appeal, he states: "As for the shareholder who buys shares on January 22, 1994 and holds them to the shareholder vote on June 30, 1994, he is diluted and is therefore 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this takes the lawyerly art of pleading in the alternative to new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All of the foregoing is in aid of this observation: an overly broad class is objectionable, but so too is one which arbitrarily excludes people who share the same interest in the resolution of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was the fatal flaw (amongst others) in the proposed certification before Justice Winkler in the tobacco case, Caputo v. Imperial Tobacco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Justice Winkler held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39 Although Rumley v. British Columbia, </w:t>
      </w:r>
      <w:hyperlink r:id="rId781"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holds that the plaintiffs can arbitrarily restrict the causes of action asserted in order to make a proceeding more amenable to certification (at 201), the same does not hold true with respect to the proposed class. Here the plaintiffs have not chosen to restrict the causes of action asserted but rather attempt to make the action more amenable to certification by suggesting arbitrary exclusions from the proposed class. This is diametrically opposite to the approach taken by the plaintiffs in Rumley, and one which has been expressly disapproved by the Supreme Court in Hollick v. Toronto (City), </w:t>
      </w:r>
      <w:hyperlink r:id="rId782"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There, McLachlin C.J. made it clear that the onus falls on the putative representative to show that the "class is defined sufficiently narrowly" but without resort to arbitrary exclusion to achieve that result. As stated at para.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requirement is not an onerous one. The representative need not show that everyone in the class shares the same interest in the resolution of the asserted common issue. There must be some showing, however, that the class is not unnecessarily broad - that is, the class could not be defined more narrowly without arbitrarily excluding some people who share the same interest in the resolution of the common issue.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same point was made in Pearson v. Inco Ltd. </w:t>
      </w:r>
      <w:hyperlink r:id="rId783" w:history="1">
        <w:r>
          <w:rPr>
            <w:rFonts w:ascii="arial" w:eastAsia="arial" w:hAnsi="arial" w:cs="arial"/>
            <w:i/>
            <w:color w:val="0077CC"/>
            <w:sz w:val="20"/>
            <w:u w:val="single"/>
            <w:shd w:val="clear" w:color="auto" w:fill="FFFFFF"/>
            <w:lang w:val="en-US" w:eastAsia="en-US" w:bidi="ar-SA"/>
          </w:rPr>
          <w:t>(2002), 33 C.P.C. (5th) 264</w:t>
        </w:r>
      </w:hyperlink>
      <w:r>
        <w:rPr>
          <w:rFonts w:ascii="arial" w:eastAsia="arial" w:hAnsi="arial" w:cs="arial"/>
          <w:color w:val="000000"/>
          <w:sz w:val="20"/>
          <w:lang w:val="en-US" w:eastAsia="en-US" w:bidi="ar-SA"/>
        </w:rPr>
        <w:t xml:space="preserve"> (Ont. Sup. Ct. Jus.), affirmed </w:t>
      </w:r>
      <w:hyperlink r:id="rId784" w:history="1">
        <w:r>
          <w:rPr>
            <w:rFonts w:ascii="arial" w:eastAsia="arial" w:hAnsi="arial" w:cs="arial"/>
            <w:i/>
            <w:color w:val="0077CC"/>
            <w:sz w:val="20"/>
            <w:u w:val="single"/>
            <w:shd w:val="clear" w:color="auto" w:fill="FFFFFF"/>
            <w:lang w:val="en-US" w:eastAsia="en-US" w:bidi="ar-SA"/>
          </w:rPr>
          <w:t>[2004] O.J. No. 317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initial certification application the plaintiff was criticized for drawing a broad class which threw up many conflicts between members. It has now endeavoured (I find not successfully) to narrow the class and to avoid the initial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Perhaps the plaintiff may be heard to complain: First we are too broad, now we are too narrow, how can that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reality, the reason the plaintiff simply cannot craft an appropriate class is because it has set itself an impossible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Again, it is proposing to certify a proceeding which pleads many torts over several years, affecting thousands of people in different and significant ways and engendering, if made out, a myriad of different losses, depending on the timing of the sale or dispossession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Caputo, Justice Winkler said ([paragraph]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present action is an amalgam of potential class proceedings that make it impossible to describe a single class sharing substantial "common issues", the resolution of which will significantly advance the claim of each class member, which is the test to be applied according to Hollick. Moreover, this is not a case where the creation of subclasses will address the primary class definition deficiency. Subclasses are properly certified where there are both common issues for the class members as a whole and other issues that are common to some but not all of the class members. This is not the case here. Rather, the plaintiffs have melded a number of potential classes into a single proceeding. The result is an ambitious action that vastly overreaches and which, consequently, is void of the essential element of commonality necessary to obtain certification as a class proceeding. Simply put, the reason that no acceptable class definition has been posited is that no such definition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thrust of those observations is apposite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arbitrary exclusion of shareholders who were adversely impacted by the alleged torts and conspiracy is made more striking when one looks at the relief claimed by the plaintiff for the benefit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its Amended Statement of Claim, the plaintiff effectively seeks, by way of constructive trust, disgorgement of the profits (approximately $500 million) enjoyed by the Pattison Defendants to the members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class excludes all of the thousands of shareholders who, on the plaintiff's own pleadings, were victims of the defendants' tortious machinations.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do not see how a proceeding seeking such a result could ever be certified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result, the plaintiff's application for leave under s. 2(3) of the Act to certify the proceeding in respect of the new class is dismissed. Its application to amend the Statement of Claim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action arises out of the conversion of the defendant Westar Group Ltd. ("Westar") from a widely-held public company to a private company that was indirectly wholly owned by the defendant James Pattison. This conversion was accomplished in several steps between 1994 and 1997. Samos held 1,000 shares of Westar at the beginning of the reorganization and it was a minority shareholder throughout.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Pattison became a director of Westar in 1992. The defendant P. Nicholas Geer was an associate of Mr. Pattison who became the Chief Executive Officer of Westar in 1992. The corporate defendants Jim Pattison Limited, Jim Pattison Industries Ltd., Great Pacific Industries Inc. and Great Pacific Capital Corp. are owned or controlled by Mr. Pattison. The defendant Donald Selman is a chartered accountant who became a director of Westar in 1993 and advised Mr. Pattison and his companies with respect to the restructuring of Westar. These defendants will be referred to collectively as the "Pattison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461847 British Columbia Ltd. ("461") was incorporated in 1994. 50 percent of 461 was owned by a company controlled by Pattison and the other 50 percent was owned by the defendant Canadian Imperial Bank of Commerce ("CIBC").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gravamen of Samos' complaint is that the Westar reorganization was accomplished through unlawful acts and a conspiracy of Mr. Pattison and the defendants associated with him to deprive Samos and other minority shareholders of the fair value of their shares by diluting their equity in Westar. The CIBC is alleged to have knowingly assisted the conspiracy and some unlawful acts.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step in the reorganization involved the restructuring of Westar's debt in 1994. At the time there were approximately 193 million Westar shares already outstanding and approximately 450 million new shares were issued through rights attached to the restructured debt. In 1996 more shares were issued when the restructured debt was converted to shares. Approximately 10 million shares (the "Bearer Shares") held by small shareholders, mainly under bearer certificates, were eliminated by a 125 to 1 share consolidation in 1995. The Pattison companies increased their share of the equity from 14.3 percent to 80 percent between 1994 and 1996. They acquired the remaining 20 percent when Westar was taken private in 1997. Mr. Pattison and his associates were insiders of Westar throughout the reorganization.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Westar shares were actively traded between 1994 and 1997 and consequently the minority shareholders were a fluctuating group during that period.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Questions about the fair value of the minority shares have been prompted by the contrast between Westar and its subsidiary Westshore Terminals Ltd. ("Westshore") in 1994, when those companies were in default on secured debts of more than $300 million, and 1997 when Westar sold Westshore to an income fund for $663.6 million in cash.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Westshore operated a coal storage and bulk loading terminal at Roberts Bank, B.C. and it was Westar's only active business during the reorganization period. Westshore's fair value depended upon actual and forecast coal tonnage transhipped through the terminal from independently-owned coal mines to Asian markets. The fair value of Westshore as a going concern at particular times during the course of the reorganization is likely to be one of the most contentious aspects of this litigation.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amended statement of claim alleges that between 1992 and 1997 the Pattison Defendants acted fraudulently and in a civil conspiracy to increase their ownership of Westar by acquiring shares at less than fair value to the detriment of Westar's minority shareholders, and that in so doing they unlawfully abused their management and insider positions in Westar.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statement of claim also sets out at least 52 allegations of misrepresentation or concealment of material facts by the Pattison Defendants to the detriment of the minority shareholders. These allegations range over the whole of the period from the commencement of the 1994 debt restructuring to the completion of the privatization in 1997. These allegations are pleaded individually as unlawful acts against the various Pattison Defendants and framed in fraud, breach of fiduciary duty or equitable obligation, and negligent misrepresentation and concealment of material facts.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now turn to a more detailed outline of the facts necessary for consideration of the common issues and preferable procedure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Westar Reorganization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Westar was incorporated as the British Columbia Resources Investment Corporation ("BCRIC") by the British Columbia government in 1978. British Columbia residents were each given five free bearer shares, approximately 10 million shares in total, at a value of $6 per share. The public enthusiastically subscribed for additional shares at the $6 price. The company name was changed to Westar in 1988. There were approximately 193 million shares outstanding at the beginning of the reorganization, of which 10,289,355 were represented by bearer share certificates.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Westar had been engaged in forest products operations, coal mining, and oil and gas exploration and development. Following financial difficulties, it disposed of all of its operations except Westshore through a series of divestitures in 1992 and 1993.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end of 1992, Westar was in default on secured debt of $220 million. Westshore had a separate debt of $99.3 million which was also in default.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1994 Master Restructuring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reorganization commenced with 461's announcement on 20 January 1994 that it had purchased Westar's $220 million secured debt (the "DRA debt") from Westar's lenders at a discount of $98 million.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15 April 1994, Westar and 461 concluded a Master Restructuring Agreement (the "MRA"). Under its terms, Westar agreed to pay down the DRA debt by $4 million and then convert the balance of $216 million to notes issued to 461 (the "Notes"). 461 intended to retain half the Notes and offer the other half for sale to Westar shareholders. The Notes provided for an annual rate of interest of 12 percent but interest was to be waived for the first five years of the Notes' seven year term. Rights for the issue of new voting and non-voting common shares of Westar were attached to the Notes, in consideration of the waiver of interest and modifications of the credit facility. Approximately 450 million new common and non-voting shares were issued, amounting to 70 percent of Westar's total equity after the issue. Westar shareholders approved the MRA on 30 June 1994.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 result of the 1994 MRA and the issuance of the new shares, the Pattison Defendants increased their equity interest in Westar from 14.3 percent to 46.24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December 1994, Westar arranged a refinancing of the Westshore debt that included removal of a covenant prohibiting Westshore from distributing excess cash flow to Westar.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1995 Share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16 March 1995, Westar issued a notice calling a meeting to seek shareholder approval to consolidate Westar shares 125 to 1 (the "1995 Share Consolidation"). Westar shareholders approved the consolidation on 28 April 1995. Shareholders holding less than 125 shares received script certificates payable in cash in exchange for their share certificates.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1995 Share Consolidation eliminated the Bearer Shares. Upon consolidation, the Pattison Defendants' equity interest in Westar increased marginally from 46.2 percent to 46.99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 September 1995, Great Pacific Industries Inc. acquired CIBC's Westar shares and the Pattison Defendants' equity interest in Westar increased to 64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iii) The 1996 Debt Restructuring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17 May 1996, Westar issued a notice soliciting shareholders' approval of a final restructuring of Westar's debt (the "1996 Debt Restructuring"), whereby at the holder's election the Notes would be exchanged for shares of Westar or repaid in cash. It was approved by Westar shareholders on 28 June 1996. By October 1996, the Pattison Defendants increased their equity ownership of Westar to 80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Westshore Income Fund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16 December 1996, Westar called a shareholders meeting to approve the sale of Westshore to an income fund. On 27 January 1997, the shareholders approved the sale of Westshore to the income fund for $663.6 million in cash.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Going Private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27 May 1997, Westar called a shareholders' meeting to approve a plan to take the company private (the "1997 Going Private Transaction"). The shareholders approved the plan on 27 June 1997 and the plan obtained requisite court approval on 30 June 1997. As a result of the 1997 Going Private Transaction, the Pattison Defendants acquired 100 percent of the equity of Westar.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Westar shares had been actively traded. For example: nearly 110 million shares, or 66 percent of the total held by shareholders other than the Pattison Defendants, were traded between 20 January and 6 July 1994. 153 percent of those same minority shares were traded between September 1994 and May 1996, and 48 percent of the minority shares were traded between May 1996 and May 1997.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Samos alleges that the fair value of the shares of minority shareholders was misrepresented and concealed through the various unlawful acts alleged at each stage.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Searchlight Systems Ltd. v. Liu, [2006] B.C.J. No. 467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L051159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C.P.C. (6th)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Searchlight Systems Ltd., plaintiff, and Phil Liu, John McCallum, Minister of National Revenue, Her Majesty the Queen in Right of Canada as represented by the Minister of National Revenue, Irwin Cotler, Minister of Justice, Her Majesty the Queen in Right of Canada as represented by the Minister of Justice,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27"/>
      <w:bookmarkEnd w:id="235"/>
      <w:r>
        <w:rPr>
          <w:rFonts w:ascii="arial" w:eastAsia="arial" w:hAnsi="arial" w:cs="arial"/>
          <w:b/>
          <w:color w:val="000000"/>
          <w:sz w:val="20"/>
          <w:lang w:val="en-US" w:eastAsia="en-US" w:bidi="ar-SA"/>
        </w:rPr>
        <w:t>Civil procedure — Pleadings — Striking out pleadings or allegations — Grounds — Failure to disclose a cause of action or defence — Application by defendants to strike plaintiff's writ of summons on ground that it disclosed no reasonable cause of action allowed — It was plain and obvious that writ of summons disclosed no reasonable cause of action — Writ contained no facts upon which one could infer the kind of relationship between plaintiff and defendants giving rise to obligation by defendants to make payment to plaintiff — Nothing allowed defendants to infer type of case they had to meet.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26"/>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to strike plaintiff's writ of summons on ground that it disclosed no reasonable cause of action -- Defendant Minister of Revenue commenced collection proceedings in respect of tax owing by plaintiff -- Plaintiff issued writ of summons seeking recovery of fees incurred by plaintiff in connection with litigation support afforded by plaintiff to accused persons and due by the Minister of Justice -- Plaintiff had not filed statement of claim -- HELD: Application allowed -- It was plain and obvious that writ of summons disclosed no reasonable cause of action -- It was impossible to tell whether plaintiff claiming for payment of debt, in tort or in contract -- Plaintiff failed to plead facts disclosing how and when debt arose -- Writ contained no facts upon which one could infer the kind of relationship between plaintiff and defendants giving rise to obligation by defendants to make payment to plaintiff -- Nothing allowed defendants to infer type of case they had to meet -- While plaintiff asserted several causes of action, it did not assert that it possessed facts or evidence supporting a claim -- Writ did not comply with Rules of court, as it did not contain concise statement of the nature of the claim made and relief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Legislation Cited_20"/>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8(2), Rule 19(24), Rule 19(24)(a), Rule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R.S. 1985, c. C-50, s.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8" w:name="Counsel_38"/>
      <w:bookmarkEnd w:id="2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D.F.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McDonald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9" w:name="Judgment_38"/>
      <w:bookmarkEnd w:id="239"/>
      <w:r>
        <w:pict>
          <v:line id="_x0000_s1195"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0" w:name="EHRCKE J."/>
            <w:bookmarkEnd w:id="240"/>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19(24) of the Rules of Court, the defendants apply for the whole of the writ of summons filed by the plaintiff in this action to be struck out and the proceeding dismissed. They submit that the writ of summons discloses no reasonable claim, is unnecessary, scandalous, frivolous or vexatious, and is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19(24) At any stage of a proceeding the court may order to be struck out or amended the whole or any part of an endorsement, pleading, petition or other document on the ground that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rely on clauses (a), (b) and (d) of Rule 19(24). The defendants also ask for increased or special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filed its writ of summons initiating this action on May 10, 2005. At that time the plaintiff was indebted to Her Majesty the Queen for unpaid taxes, and collection activity with respect to those taxes was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writ of summons claims damages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fees and expenses incurred by the plaintiff in connection to litigation support afforded by the plaintiff to accused persons in the course of criminal prosecution and due and payable by the Minister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seeks a declaration of the amount of damages due from time to time, a declaration that those damages can be set off against claims for interest and penalty in relation to its tax obligations, and an interim and interlocutory injunction against the Minister of National Revenue to restrain the collection of interest and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response to the writ of summons, an appearance was entered for the Attorney General of Canada on June 1, 2005. The plaintiff insisted that personal appearances be entered on behalf of Phil Liu, a collections officer with the Canada Revenue Agency ("CRA"), and John McCallum and Irwin Cotler who were, at the time, federal cabinet ministers. Appearances were entered on behalf of Phil Liu and John McCallum on June 24, 2005, and on behalf of Irwin Cotler on June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not served a statement of claim, despite repeated requests from the defendants to do so. It was due on June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Accordingly, the only pleadings from which one may attempt to ascertain the nature of the plaintiff's claim against the various defendants is the endorsement on the writ of summons. That endorsement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for: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 Irwin Cotler, Minister of Justice ("MOJ") for fees and expenses incurred by the Plaintiff in connection with litigation support afforded by the Plaintiff to accused persons in the course of criminal prosecution and due and payable by MOJ;</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as to how much of said damages were owing to the Plaintiff from MOJ, from time to time, under court order, Rowbotham order, contract, or otherwise;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as to the amounts of damages due from time to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as against the Defendant, Phil Liu ("Liu"), and John McCallum, Minister of National Revenue ("MNR") that the damages aforesaid can be set-off, legally or equitably, against claims stemming from the slowness of remitting withholdings, i.e., not the withholdings themselves but, rather, interest and penalty associated with withholdings, which withholdings were from employees' wages paid to perform the very work for which a superior court order, Rowbotham order and other obligations obliged the MOJ to pay to the Plaintiff, but which was not paid to the Plaintiff on a timely basis, which delay in payment grossly exceeded, in time and amount, the slowness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and interlocutory injunction to restrain Liu and MNR from employing pre-judgment collection measures in respect of interest and penalty claims (not claims for tax or withholdings of tax) alleged by the Plaintiff to be so set-off;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or in the alternative, pursuant to s. 22 of the Crown Liability and Proceedings Act, R.S. 1985, c. C-50, a declaration of the Plaintiff's rights in lieu of an interim and interlocutory injunction;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the Court Order Interest 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seem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rely on each of clauses (a), (b) and (d) of Rule 19(24). Those clauses provide different bases upon which a pleading may be struck out. They are in the alternative; that is, it will be sufficient to grant relief under Rule 19(24) if the pleading is either one that discloses no reasonable claim, or if the pleading is unnecessary, scandalous, frivolous, or vexatious, or if 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No extrinsic evidence is admissible on an application to strike out a pleading on the ground that it discloses no reasonable claim under Rule 19(24)(a). Such application is based on the facts as alleged in the pleading: Rule 19(27); McNaughton v. Baker, </w:t>
      </w:r>
      <w:hyperlink r:id="rId792"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applications under Rule 19(24)(b) and (d) however, evidence is admissible if it would be helpful in determining whether the pleading is unnecessary, scandalous, frivolous, vexatious or otherwise an abuse of the process of the court: 347202 B.C. Ltd. v. Canadian Imperial Bank of Commerce, </w:t>
      </w:r>
      <w:hyperlink r:id="rId793"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behalf of the defendants, three affidavits have been filed: an affidavit of Philip Liu, sworn June 23, 2005, an affidavit of Robert Keith Wilkins, sworn May 17, 2005, and an affidavit of Marina Karpova, sworn February 7, 2006. The plaintiff filed an affidavit of Gary Procknow, sworn February 16, 2006. Those affidavits and the attachments to them provide some context to that aspect of the defendants' application that falls under clauses (b) and (d)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clauses (b) and (d) of Rule 19(24), the defendants argue that much of the relief sought by the plaintiff is outside the jurisdiction of this court. The defendants argue that since the plaintiff seeks relief relating specifically to the collection of federal tax, this matter should be heard in the Tax Court of Canada, or the Federal Court of Canada. Counsel for the defendants submits that an action commenced outside the jurisdiction of the court is an abuse of process: Weider v. Beco Industries Ltd., </w:t>
      </w:r>
      <w:hyperlink r:id="rId794" w:history="1">
        <w:r>
          <w:rPr>
            <w:rFonts w:ascii="arial" w:eastAsia="arial" w:hAnsi="arial" w:cs="arial"/>
            <w:i/>
            <w:color w:val="0077CC"/>
            <w:sz w:val="20"/>
            <w:u w:val="single"/>
            <w:shd w:val="clear" w:color="auto" w:fill="FFFFFF"/>
            <w:lang w:val="en-US" w:eastAsia="en-US" w:bidi="ar-SA"/>
          </w:rPr>
          <w:t>[1976] 2 F.C. 739</w:t>
        </w:r>
      </w:hyperlink>
      <w:r>
        <w:rPr>
          <w:rFonts w:ascii="arial" w:eastAsia="arial" w:hAnsi="arial" w:cs="arial"/>
          <w:color w:val="000000"/>
          <w:sz w:val="20"/>
          <w:lang w:val="en-US" w:eastAsia="en-US" w:bidi="ar-SA"/>
        </w:rPr>
        <w:t>. Counsel for the defendants submits as well that the affidavit material suggests that the present action was brought for an ulterior and improper purpose in that what the plaintiff is really seeking is relief from its tax debt and hopes by this action to restrain lawful collection activity related to that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will be noted, however, that the relief sought in paragraph (a) of the writ of summons is for damages. The request for a set off and for injunctive relief is subsidiary to that initial claim. If the claim for damages is struck out, there would remain no basis for any of the other relief sought. For that reason, it will be convenient to consider first that aspect of the defendants' argument relating to Rule 19(24)(a). Can it be said that the writ of summons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An application to strike out the endorsement on a writ of summons under Rule 19(24) may be made at any stage of the proceedings; it is not necessary for the defendants to wait until a statement of claim has been filed: Babavic v. Babowech, </w:t>
      </w:r>
      <w:hyperlink r:id="rId79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test for striking out pleadings under Rule 19(24)(a) is whether, assuming the facts alleged in the pleadings can be proved, it is plain and obvious that the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test, and the standard for its application, was described by Wilson J. speaking for the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it is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be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submit that although the threshold for striking out a pleading under Rule 19(24)(a) is high, this is one of those instances where it is "plain and obvious" that the plaintiff's pleadings disclose no reasonable cause of action. The defendants submit that the endorsement on the writ of summons does not disclose facts which, if proven, could result in a judgment in favour of the plaintiff against the defendants. The defendants submit that it is impossible to discern from reading the writ of summons upon what legal basis the plaintiff purports to found its claim or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8(2) sets out the requirements for an endorsement on a writ of summons.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A writ of summons shall be endorsed either with a statement of claim or with a concise statement of the nature of the claim made and the relief required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no statement of claim has been filed, the endorsement on the plaintiff's writ of summons is required to contain "a concise statement of the nature of the claim made and the relief required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Elloway v. B.C. Electric Railway Limited (1956), 19 W.W.R. 408 (S.C.), Clyne J. distinguished between endorsements that are merely inadequate in their description of the cause of action, and those that contain no cause of action and no particulars. He said at p. 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authorities under discussion are distinguishable on the ground that the endorsements did disclose causes of action which were merely inadequately described but which were nevertheless sufficient to bring to the defendant's attention the type of case which he would have to meet whereas in the present case the endorsement contains no cause of action and no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Lambert J.A. referred to this distinction in Hicks v. Beaver Lumber </w:t>
      </w:r>
      <w:hyperlink r:id="rId50" w:history="1">
        <w:r>
          <w:rPr>
            <w:rFonts w:ascii="arial" w:eastAsia="arial" w:hAnsi="arial" w:cs="arial"/>
            <w:i/>
            <w:color w:val="0077CC"/>
            <w:sz w:val="20"/>
            <w:u w:val="single"/>
            <w:shd w:val="clear" w:color="auto" w:fill="FFFFFF"/>
            <w:lang w:val="en-US" w:eastAsia="en-US" w:bidi="ar-SA"/>
          </w:rPr>
          <w:t>(1993), 98 B.C.L.R. (2d) 206</w:t>
        </w:r>
      </w:hyperlink>
      <w:r>
        <w:rPr>
          <w:rFonts w:ascii="arial" w:eastAsia="arial" w:hAnsi="arial" w:cs="arial"/>
          <w:color w:val="000000"/>
          <w:sz w:val="20"/>
          <w:lang w:val="en-US" w:eastAsia="en-US" w:bidi="ar-SA"/>
        </w:rPr>
        <w:t xml:space="preserve"> (C.A.). After observing that "there is no specific wording that must be contained in an endorsement in order to link the concise statement of the facts to a particular cause of action or form of action", he went on to hold that the endorsement on the writ before him complied with Rule 8(2) "because it brings to the defendant's attention the type of case which it would have to meet and the occasion and location on which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endorsement on the writ in the present case does not meet even that low standard. It does not bring to the defendants' attention the type of case it would have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 (a) of the endorsement refers to amounts that are "due and payable by MOJ". This would make it seem that the action is for debt, to collect monies due and owing. On the other hand, the claim is said to be for "damages", which suggests that the nature of the claim is in tort, or perhaps contract. It is impossible to tell from the pleadings which, if any, of these theories of liability are what the plaintiff is really claiming.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action is for debt, the facts pleaded do not disclose how or when that debt is supposed to have arisen. If it is an action based on contract, no specific contract is alleged. If it is in tort, there are no facts from which one could discern why the defendants would have had a duty to the plaintiff and in what manner the defendants are alleged to have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paragraph (b) of the endorsement, there is reference to "damages ... owing to the plaintiff from MOJ, from time to time, under court order, Rowbotham order, contract, or otherwise." The endorsement does not specify what court order, Rowbotham order, or contract it is relying on. It does not allege that any court order, including any Rowbotham order, was ever made requiring the MOJ to make payments to the plaintiff. It does not allege that there was ever a contract to which both the MOJ and the plaintiff were parties. In short, the endorsement does not contain any facts from which one could infer the kind of relationship between the plaintiff and any of the defendants that would give rise to an obligation by the defendants to make payments to the plaintiff, or that would support a claim for damages by the plaintiff against the defendants. There is nothing from which the defendants could infer the type of case they are being asked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plaintiff submits that the defects in the endorsement to the writ can be remedied when a statement of claim is filed. He explains that the plaintiff has not yet filed a statement of claim because it is still investigating facts that will help it to particularize its claim. Although evidence is not to be admitted on an application under Rule 19(24)(a), counsel for the plaintiff asks that I consider the affidavit of Gary Procknow. He submits that this affidavit will demonstrate why the defendants' application should be deferred until after the plaintiff has filed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Procknow deposes that he is the president of Searchlight Systems Ltd. (which he mistakenly describes as "the Defendant herein"). He explains that Searchlight is a data management firm that employs proprietary software to assist counsel in managing large volumes of records in the context of complex litigation. He says that Searchlight provided services for defence counsel on criminal prosecutions in Edmonton, Vancouver, and elsewhere. He says that there were court Rowbotham orders to fund that litigation, and he alleges that there have been delays in the payments made to defence counsel which in turn have resulted in delays in Searchlight being paid for its services to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paragraph 24 of his affidavit, Mr. Procknow sets out a list of "potential causes of action" based on his "perceptions." He says: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launched this action against the Defendants based on advice that if my perceptions are justified, that this Court has jurisdiction to entertain the claims under the following potential causes of action: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of debt against the Department of Justice;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damages for breach of contract against the Department of Justice;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in quasi-contract, quantum meruit;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legal set off in respect of claims, from time to time by CCRA for interest;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equitable set off in respect of those claims by CCRA and redress restitution of sums paid or required to be paid on account of interest and penalty, in the past;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 in respect of tactical manipulation of cash flow on the part of both the Department of Justice and CCRA;</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intentional infliction economic harm;</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in respect of the foregoing matters;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Statutory duty;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Statutory standard of care, 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Trust,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causes of action in contract, tort, in equity, and in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"potential causes of action" however, remain purely hypothetical. The plaintiff does not at this time assert that it is in possession of facts or evidence that would necessarily support one or more of those claims. Rather, the position of the plaintiff is that it needs more time to investigate which, if any, of those claims it might be able to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course, the simple answer to the plaintiff's submission is that an application under Rule 19(24)(a) must be determined simply on the basis of the pleadings. If the plaintiff had wanted to augment its pleadings by filing a statement of claim, it has had ample opportunity to do so. Pursuant to Rule 20(2), the statement of claim should have been filed more than eight months ago. It is not reasonable to expect the defendants to defer their application to dismiss the claim under Rule 19(24)(a) while the plaintiff tries to decide what, if any, legal claim it wishes to advance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purpose of a writ of summons is not to notify the defendants that the plaintiff might, at some time in the future, be in a position to advance some unspecified legal claim against them. Rather, a writ of summons commences an action. Rule 8(2) requires that the writ be endorsed either with a statement of claim or with a concise statement of the nature of the claim made and the relief required in the action. The writ in the present case does not comply with that requirement. The endorsement on the writ does not bring to the defendants' attention the type of case which it has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Applying the test in Hunt, assuming that all the facts pleaded in the endorsement of the writ of summons could be proved, but not assuming any additional facts, it is plain and obvious that the writ of summons discloses no reasonable cause of action against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Accordingly, the whole of the writ of summons is struck out, and the plaintiff's action is dismissed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seek special costs of this application pursuant to Rule 57(3). Rule 19(24) specifically provides that the court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Relying on the facts set out in the affidavits filed, the defendants submit that a number of factors support an award of special costs in this case: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their legal position known to the plaintiff in a letter on June 2, 2005.</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insisted on personal appearances being entered on behalf of Phil Liu, John McCallum and Irwin Cotler.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application under Rule 19(24) was served on June 24, 2005.</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requested on numerous occasions that the plaintiff provide a statement of claim, all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the defendants submits that since the defects in the pleadings were pointed out to counsel for the plaintiff from the outset, and since the plaintiff has taken no steps to file a statement of claim despite repeated requests, the conduct of the plaintiff is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support of their application for special costs, the defendants rely on Concord Industrial Services Ltd. v. 371773 B.C. Ltd., </w:t>
      </w:r>
      <w:hyperlink r:id="rId796" w:history="1">
        <w:r>
          <w:rPr>
            <w:rFonts w:ascii="arial" w:eastAsia="arial" w:hAnsi="arial" w:cs="arial"/>
            <w:i/>
            <w:color w:val="0077CC"/>
            <w:sz w:val="20"/>
            <w:u w:val="single"/>
            <w:shd w:val="clear" w:color="auto" w:fill="FFFFFF"/>
            <w:lang w:val="en-US" w:eastAsia="en-US" w:bidi="ar-SA"/>
          </w:rPr>
          <w:t>[2002] B.C.J. No. 1318</w:t>
        </w:r>
      </w:hyperlink>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I am not persuaded that the circumstances here are as egregious as they were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I have not had full submissions from the plaintiff on the issue of costs. If either party wishes to make further submissions on costs, therefore, they are at liberty to file written submissions on or before March 8, 2006. If no submissions are filed by that date, then the defendants shall be entitled to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Sebastian v. Golden Capital Securities Ltd., [2006] B.C.J. No. 506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38578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 Sebastian, James Petersen and Tim Sebastian, plaintiffs, and Golden Capital Securities Limited, Jason Shull and Leo Wong,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1" w:name="Keywords_28"/>
      <w:bookmarkEnd w:id="241"/>
      <w:r>
        <w:rPr>
          <w:rFonts w:ascii="arial" w:eastAsia="arial" w:hAnsi="arial" w:cs="arial"/>
          <w:b/>
          <w:color w:val="000000"/>
          <w:sz w:val="20"/>
          <w:lang w:val="en-US" w:eastAsia="en-US" w:bidi="ar-SA"/>
        </w:rPr>
        <w:t>Civil procedure — Costs — Security for costs — Application by the defendants for an order requiring the plaintiffs to post security for costs dismissed — It was not established that plaintiffs' claim was certain to fail.</w:t>
      </w:r>
    </w:p>
    <w:p>
      <w:pPr>
        <w:jc w:val="both"/>
        <w:rPr>
          <w:rFonts w:ascii="arial" w:eastAsia="arial" w:hAnsi="arial" w:cs="arial"/>
          <w:sz w:val="20"/>
          <w:lang w:val="en-US" w:eastAsia="en-US" w:bidi="ar-SA"/>
        </w:rPr>
      </w:pPr>
      <w:bookmarkStart w:id="242" w:name="Legislation Cited_21"/>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 Corporations Act, s.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380(2), s. 426(1)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 s. 57, s. 57.1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3" w:name="Counsel_39"/>
      <w:bookmarkEnd w:id="2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Plaintiffs/Respondents: G. Holeksa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Defendants/Applicants: J. Forstrom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39"/>
      <w:bookmarkEnd w:id="244"/>
      <w:r>
        <w:pict>
          <v:line id="_x0000_s1200"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HALFYARD J."/>
            <w:bookmarkEnd w:id="245"/>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for an order requiring the plaintiffs to post cash or other security in the amount of $70,000 (or such other amount as may be deemed reasonable by the court) as security for the costs of the defendants in this proceeding, within 30 days of the order, and staying this proceeding pending the posting of such security. The defendants rely on Rule 57 and the inherent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agree that this court has authority under its inherent jurisdiction to order security for costs in this case, and that this discretion must be exercised judicially. There is some disagreement as to what relevant factors must be considered, and how much weight should be attached to each of the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cases where a corporation is the plaintiff, s. 236 of the Business Corporations Act empowers the court to require security for costs to be given by the corporation "... if it appears that the corporation will be unable to pay the costs of the defendant if the defendant is successful in the defence ....". For individual plaintiffs, before February 1, 1977, the Rules of Court authorized the court to require individual plaintiffs who were not residents of British Columbia to post security for costs. That rule no longer exists, but the court retains inherent jurisdiction to do so. See Shiell v. Coach House Hotel Ltd. (l982) </w:t>
      </w:r>
      <w:hyperlink r:id="rId804" w:history="1">
        <w:r>
          <w:rPr>
            <w:rFonts w:ascii="arial" w:eastAsia="arial" w:hAnsi="arial" w:cs="arial"/>
            <w:i/>
            <w:color w:val="0077CC"/>
            <w:sz w:val="20"/>
            <w:u w:val="single"/>
            <w:shd w:val="clear" w:color="auto" w:fill="FFFFFF"/>
            <w:lang w:val="en-US" w:eastAsia="en-US" w:bidi="ar-SA"/>
          </w:rPr>
          <w:t>37 B.C.L.R. 254</w:t>
        </w:r>
      </w:hyperlink>
      <w:r>
        <w:rPr>
          <w:rFonts w:ascii="arial" w:eastAsia="arial" w:hAnsi="arial" w:cs="arial"/>
          <w:color w:val="000000"/>
          <w:sz w:val="20"/>
          <w:lang w:val="en-US" w:eastAsia="en-US" w:bidi="ar-SA"/>
        </w:rPr>
        <w:t xml:space="preserve"> (C.A.). However, while the discretion remains, "... there is no longer the power to demand security for costs simply because the plaintiff resides out of the jurisdiction and has no assets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also a rule of law that applications for security for costs should be made promptly, and that undue delay can be a significant factor weighing against making the order, in certain circumstances. See Officine Vittorio Ceccoli, S.P.A. v. B.C. Hydro and Power Authority </w:t>
      </w:r>
      <w:hyperlink r:id="rId805" w:history="1">
        <w:r>
          <w:rPr>
            <w:rFonts w:ascii="arial" w:eastAsia="arial" w:hAnsi="arial" w:cs="arial"/>
            <w:i/>
            <w:color w:val="0077CC"/>
            <w:sz w:val="20"/>
            <w:u w:val="single"/>
            <w:shd w:val="clear" w:color="auto" w:fill="FFFFFF"/>
            <w:lang w:val="en-US" w:eastAsia="en-US" w:bidi="ar-SA"/>
          </w:rPr>
          <w:t>[1971] 3 W.W.R. 81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general principle in assessing and weighing the relevant factors on an application of this kind is that the court must "... attempt to balance the possible injustice of stifling the ... plaintiffs claim against the possible injustice of exposing the defendants to a lawsuit where they could not recover their costs if successful". See Kropp et al v. Swaneset Bay Golf Course Ltd. </w:t>
      </w:r>
      <w:hyperlink r:id="rId430" w:history="1">
        <w:r>
          <w:rPr>
            <w:rFonts w:ascii="arial" w:eastAsia="arial" w:hAnsi="arial" w:cs="arial"/>
            <w:i/>
            <w:color w:val="0077CC"/>
            <w:sz w:val="20"/>
            <w:u w:val="single"/>
            <w:shd w:val="clear" w:color="auto" w:fill="FFFFFF"/>
            <w:lang w:val="en-US" w:eastAsia="en-US" w:bidi="ar-SA"/>
          </w:rPr>
          <w:t>[1997] B.C.J. No. 593</w:t>
        </w:r>
      </w:hyperlink>
      <w:r>
        <w:rPr>
          <w:rFonts w:ascii="arial" w:eastAsia="arial" w:hAnsi="arial" w:cs="arial"/>
          <w:color w:val="000000"/>
          <w:sz w:val="20"/>
          <w:lang w:val="en-US" w:eastAsia="en-US" w:bidi="ar-SA"/>
        </w:rPr>
        <w:t xml:space="preserve"> (C.A.)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GROUNDS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in this case are individuals. Two of them are residents of the province of Saskatchewan and one lives in Alberta. They have no assets within British Columbia. While these are relevant factors, the defendants recognize that standing alone, they would not justify making the order they seek. The additional grounds advanced by the defendants are these:</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plaintiffs are so weak that they are almost certain to fail;</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establish that they will be able to pay the costs of the defendants, if their claim is dismissed; and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establish that they will be unable to proceed with this lawsuit if they are required to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evidence before me, I conclude without difficulty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establish (and made no attempt to establish) that they would be unable to proceed with the lawsuit if security for costs is ordered;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on the part of the defendants in bringing this application is not a factor that weighs against making the order sought (although it could affect the amount of security that might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my further opinion that the evidence shows only a possibility that the plaintiffs would not be able to pay the costs of the defendants, in the event that their claim is dismissed at trial. Two of the plaintiffs have assets in Saskatchewan and Alberta which I think may properly be characterized 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circumstances existing here, my opinion is that the defendants cannot succeed on this application unless they establish their allegation that the plaintiffs' claim is almost certain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test set up by counsel appears to be similar to, but not as stringent as, the test required of an applicant under Rule 19(24)(a) who seeks dismissal of an action on the ground that the statement of claim fails to disclose a reasonable claim. Under Rule 19(24)(a), the applicant must show that the claim is bound to fail, on the basis of the pleadings alone. Here, the defendants say that the plaintiffs' claim is almost certain to fail. They are not prohibited from presenting evidence to support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essence of the defendants' argument is that the plaintiffs' claim is almost certain to fail, because it is based on an alleged contract which is illegal. Counsel for the applicants contends that, in substance, the plaintiffs are alleging that the defendants breached an agreement to assist them in manipulating the market for shares of Westsphere Asset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plaintiffs submits that Mr. Forstrom has misinterpreted the pleadings of the plaintiffs, and that there is no evidence whatever to support his alleged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summarize my understanding of the plaintiffs' pleadings, which include the statement of claim filed July 9, 2003 and the particulars delivered February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Fred Sebastian is a businessman, who lives in Regina, Saskatchewan. James Petersen is retired, and also lives in Regina. Tim Sebastian is a lawyer who lives and practices law in Edmonton,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Golden Capital Securities Limited ("Golden Capital") is a company incorporated under the laws of British Columbia, which has its registered and records offices in Vancouver. Jason Shull is a stockbroker who lives in Kelowna, B.C. Leo Wong is a compliance officer who lives in Vancouver. Mr. Shull was employed by Golden Capital as an investment adviser, and Mr. Wong was employed by Golden Capital as a compliance officer,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Westsphere Asset Corporation ("Westsphere") is a company incorporated in the state of Colorado, U.S.A. It is a public company which is traded on the "Over the Counter Bulletin Board"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May 2001, each of the three plaintiffs opened trading accounts with Golden Capital. It was agreed, inter alia, that the defendants would act in good faith and in the best interests of the plaintiffs, would comply with the plaintiffs' instructions, and would comply with all applicable laws and the policies of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or about July 2001, Fred Sebastian "provided" one million shares of Westsphere to the defendants. It was agreed that Mr. Shull would operate the James Petersen account as a market-making account, would promote Westsphere shares to Mr. Shull's clients, and would arrange financing for Westsphere. It was further agreed that the one million shares of Westsphere were given as consideration for brokerage services to be provided by the defendants, including the operation of the Petersen account as a market-making account, the promotion of Westsphere to Mr. Shull's clients, and the arranging of financing for Westsphere.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July 2001, James Petersen had 762,696 Westsphere shares in his account, and Tim Sebastian had 334,153 Westsphere shares in his account. Fred Sebastian had no Westsphere shares in his account,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breach of their fiduciary duty to the plaintiffs, commencing in July 2001, the defendants sold the Westsphere shares provided to them by Fred Sebastian. This activity constituted a breach of fiduciary duty, in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Jason Shull purchased Westsphere shares for the accounts of Fred Sebastian and Tim Sebastian, to enable the defendants to sell the shares of Westsphere that they (the defendants) had obtained from Fred Sebastian;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of their own Westsphere shares by the defendants was an activity which conflicted with their agreement to operate the James Petersen account as a market-making account;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effect, the defendants sold their Westsphere shares to the plaintiffs (although the sales were indirect);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result, the defendants used the trading accounts of the plaintiffs to enable them to earn a profit on the sale of their own Westsphere shares at the expense of the plaintiffs;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not only failed to disclose to the plaintiffs that they were selling their own Westsphere shares, but also Jason Shull falsely represented to the plaintiffs, in August 2001, that the defendants would not sell their Westsphere shares for six months, and falsely represented on November 27, 2001 that the defendants had not yet sold any of the one million Westsphere shares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also allege that the defendant Jason Shull made many purchases of Westsphere shares for the accounts of the plaintiffs, without their authority or instructions, and contrary to their best interest. (It is unclear whether the plaintiffs are alleging that Jason Shull acted entirely on his own in making these purchases, or whether he dishonestly obtained their authorization by concealing the defendants' sales of Westsphere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also an allegation that Golden Capital failed to properly supervise Jason Shull's activities in the plaintiffs' trading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it is alleged that in May and June 2001, the defendants wrongly and negligently advised Fred Sebastian to purchase shares in two other companies, that he did purchase such shares, and that he lost a total of almost $21,000 U.S. as a result of the negligent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claim an accounting, and damages for breach of fiduciary duty,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their statement of defence filed March 3, 2004, the defendants make allegations which include the following (my paraphrasing):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admit that the plaintiffs opened trading accounts with Golden Capital in May 2001;</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deny the agreement alleged by the plaintiffs, and deny almost every other fact relied on by the plaintiffs, including the allegation that the defendants received one million shares of Westsphere from Fred Sebastian (by way of general denial);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deny any breach of agreement, breach of fiduciary duty, or representations, as alleged;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allege that all of the transactions they conducted in the trading accounts of the plaintiffs, were carried out with the authority of the plaintiffs, or in the alternative the transactions were later ratified by the plaintiffs, or were accepted by acquiescence;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defendants say that if they breached a fiduciary duty owed to the plaintiffs, the plaintiffs are barred from obtaining an equitable remedy because: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plaintiffs and each of them opened accounts with Golden Capital for the purpose of carrying out a trading scheme involving illegality, moral turpitude and inequitable conduct towards the defendants and others." (Para. 20)</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final alternative, the defendants deny that any unlawful conduct of theirs caused loss to the plaintiffs, and if it did, then the plaintiffs failed to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core of the argument of counsel for the defendants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the principal claims advanced by the plaintiffs in this action are almost certain to fail, because they are founded upon enforcement of an illegal contract. In effect, the plaintiffs allege that the defendants breached an agreement to assist them in manipulating the market for Westsphere."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also assert that the plaintiffs cannot escape the conclusion from the statement of claim (particularly para. 22) and the particulars given: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they paid Shull a secret commission in order to assist them in creating a market, or the appearance of a market, in Westsphere shares ... by operating Petersen's account as a market-making account, and promoting Westsphere shares to his other clients (in breach of his duty to them) .... Their complaint is that Shull and Wong failed to discharge these (illegal)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defendants referred me to Scott v. Brown et al [1892] 2 Q.B. 724 (C.A.). He relied upon the following passage in the judgment of Lindley, L.J. (at pp. 728-729):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sole object of the plaintiff in ordering shares to be bought for him at a premium was to impose upon and to deceive the public by leading the public to suppose that there were buyers of such shares at a premium on the Stock Exchange, when in fact there were none but himself. The plaintiff's purchase was an actual purchase, not a sham purchase: that is true, but it is also true that the sole object of the purchase was to cheat and mislead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Scott v. Brown et al, the court refused to enforce the contract sued upon, on the ground that it had an illegal purpose. Lindley, L.J. said that he agreed with the judgment of A.L. Smith, L.J., whose judgment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sole object of such purchase being that the public might thereby be induced to believe that there was a real market for the shares, and that they were at a real premium, whereas in truth and in fact, as the plaintiff and the defendant McNab well knew, they were not." (pp. 732-733)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the payment made [by the plaintiff] ... for the sole purpose of creating therewith a fictitious premium, in order to induce the public to purchase shares in the company, and thereby benefit the plaintiff and McNab at the expense of the buyer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concurring judgment of Lopes, L.J. included this statement (at p. 730):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it was an agreement between the plaintiffs and defendants to induce would-be buyers of shares in this company, contrary to the fact, to believe there was a market for its shares, and that the shares were of greater value than they really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Forstrom referred me to s. 57 and s. 57.1 of the Securities Act, and s. 380(2) of the Criminal Code, as being offences which could include potential illegal market manipulation by the plaintiffs, and which encompass the scenario found to exist in Scott v. Brown et al. He referred to s. 426(1) of the Criminal Code in support of his position that the plaintiffs had paid an illegal secret commission to Jason Shull as payment for market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plaintiffs submits that, in their pleadings, the plaintiffs allege that their agreement with the defendants contemplated only lawful market-making activity by the defendants, and only in the account of James Petersen. It is argued that the pleadings allege that the defendants breached the agreement (and breached their fiduciary obligation) by using all of the plaintiffs' trading accounts to engage in market manipulation in respect of the shares of Westsphere, for their own benefit, without the knowledge of the plaintiffs. Counsel relies on Re Cycomm International Inc. (1994) 17 O.S.C.B. 21, which distinguished between illegal market manipulation and lawful market-making activity, in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manipulation of a stock causes it to trade at prices different from that which would exist as a result of normal market forces of supply and demand and the manipulator profits from the dishonest market at the expense of the investor."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market-maker ... [is] a person ... who buys and sells shares of an issuer as principal or for his own account on a continuous basis with a view to creating or maintaining an orderly market for the shares. Their function is to take the other side of the transaction when none is apparent, that is, to buy a stock when someone wishes to sell and there are no apparent buyers and vice versa. The market-maker also attempts to prevent undue variations in the price of a stock by selling into a rising market or buying in a declining market. ... The purpose of a market maker is to provide liquidity and to maintain an orderly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essence, counsel for the plaintiffs argues that "The suggestion that the arrangements are illegal misinterprets the plaintiffs' claims." Counsel further points out that the defendants have failed to present any evidence to prove the unlawful purpose which they say is apparent from the plaintiffs' pleadings. Counsel says that this lack of evidence is crucial, because in order to present such evidence (assuming it exists), the defendants would have to admit their own involvement in a criminal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REASONING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appears that the distinguishing feature between lawful market-making and illegal market manipulation lies in the purpose of the trading activity. If the objective is to provide market liquidity, the trading will be lawful. If the purpose is to induce action by others out of a desire to benefit, then the trading activity will be unlawful market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Examinations for discovery have not been conducted. There is no evidence which goes to the issue of the intent of the plaintiffs. It seems to me that, in order to succeed on this application, the defendants must show that, by their pleadings, the plaintiffs have alleged, as the main cause of action, a scheme that amounts to illegal market manipulation. But it is an essential element of unlawful manipulation that the plaintiffs must have had the unlawful intent to manipulate. Clearly, the plaintiffs have not admitted by their pleadings that they had such unlawful intent. As I see it, the defendants cannot establish that the claim of the plaintiffs is almost certain to fail, unless the unlawful intent may be conclusively inferred from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such an inference could be entertained I would have to first conclude that the pleadings allege an unlawful conspiracy to manipulate the market for Westsphere shares. I am asked to draw this first essential conclusion, in the context of a contest over the interpretation of the pleadings, in the absence of any meaningful evidence and in the face of the strenuous denials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case advanced by the defendants on this application may be a plausible theory, worthy of investigation. But I am not persuaded that, on the pleadings, the plaintiffs have effectively admitted to engaging in unlawful market manipulation or to paying an illegal secret commission to Jason Shull to carry out such manipulation. Accordingly, I am not satisfied that the plaintiffs' claim is almost certain to fail. As stated earlier, it is my opinion that, in the absence of that factor, the application for security for costs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will have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Speckling v. Communications, Energy and Paperworkers' Union of Canada, [2005] B.C.J. No. 515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and November 23 - 26,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S013606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953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Bernardus J. Speckling, plaintiff, and Local 76 of the Communications, Energy, and Paperworkers' Union of Canada, Communications, Energy, and Paperworkers' Union of Canada, Michael Verdiel, Clark Banks, Al Bartley, John Belrose, Grant Campbell, John P. Campbell, Marvin Coe, Elvio Cramaro, Jerome Desilets, Al Fougere, Ron Gordey, George Orchiston, Joe Osmond, Harry Raimondo, Bill Spence, Ian Thompson, Dave Wainwright, Brad Wilson, Dave Coles Brian Payne, Fred Pomeroy, and Others Yet Unknown,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29"/>
      <w:bookmarkEnd w:id="246"/>
      <w:r>
        <w:rPr>
          <w:rFonts w:ascii="arial" w:eastAsia="arial" w:hAnsi="arial" w:cs="arial"/>
          <w:b/>
          <w:color w:val="000000"/>
          <w:sz w:val="20"/>
          <w:lang w:val="en-US" w:eastAsia="en-US" w:bidi="ar-SA"/>
        </w:rPr>
        <w:t>Civil procedure — Pleadings — Striking out pleadings or allegations — Grounds — Lack of jurisdiction — Courts — Jurisdiction — Labour law — Unions — Liability in tort — Members — Discipline — Labour relations boards — Jurisdiction.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27"/>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Speckling, for summary judgment allowing his claim against the defendants, Communications, Energy and Paperworkers' Union of Canada and others. The plaintiff's employment with a forestry company was terminated because he was no longer a member in good standing of the union. After the employer announced extensive layoffs, the union advised members that they were required to refuse overtime if other members who were on layoff could do the work. The union believed that the collective agreement required the employer to provide available work to qualified laid off employees rather than using overtime and passed a motion to fine members found working unnecessary overtime. The plaintiff continued to work overtime and was charged and fined by the union. He refused to pay the fine and lost his membership in good standing. The union requested that the employer terminate the plaintiff. After a grievance by the union was settled and the plaintiff continued to refuse to pay the fine, the employer refused to allow him to return to work. The plaintiff had commenced proceedings before the Labour Relations Board. The plaintiff's claims were for conspiracy, breach of fiduciary duty and intentional interference with contractual relations. He sought a declaration that he was a member in good standing of the union and that the Labour Relations Board did not have jurisdiction over the tort claims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21"/>
            <w:bookmarkEnd w:id="24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declined jurisdiction to hear the action. The essential character of the claims advanced in the statement of claim fell within the jurisdiction of the Board. The basis of the issues were that the employer and union wrongfully reached an agreement which required the plaintiff to pay the fine and that the union did not arbitrate his grievance for wrongful discharge. Under ss. 10 and 12 of the Labour Relations Code, the Board had discretion to deal with disputes between a union and union member. The plaintiff chose not to bring a s. 10 complaint before the Board. The facts the plaintiff relied on before the Board were essentially the same as those set out in the statement of claim. The substance of his complaints was dealt with by the Board. The allegations in the action were based on the conduct of the union or within the collective agreement. The plaintiff did not establish that the Board was unable to award appropriate remedies including the remedies sought in the statement of claim. The Board had exclusive jurisdiction over issues governed by the Code.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2"/>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18A(11),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Code, R.S.B.C. 1996, c. 224, ss. 10, 10(2)(b), 12, 14(4), 89(a), 136, 147.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40"/>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his own behalf: B.J. Speckling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Local 76 of the Communications, Energy and Paperworkers' Union of Canada, Michael Verdiel, Clark Banks, Al Bartley, John Belrose, Grant Campbell, John P. Campbell, Marvin Coe, Elvio Cramaro, Jerome Desilets, Al Fougere, Ron Gordey, George Orchiston, Joe Osmond, Harry Raimondo, Bill Spence, Ian Thompson, Dave Wainwright and Brad Wilson: J.D.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Communications, Energy and Paperworkers' Union of Canada, Dave Coles, Brian Payne and Fred Pomeroy: C.P. Dennis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40"/>
      <w:bookmarkEnd w:id="251"/>
      <w:r>
        <w:pict>
          <v:line id="_x0000_s1205"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GEROW J."/>
            <w:bookmarkEnd w:id="252"/>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Speckling's employment was terminated in 2000 because he was no longer a member in good standing in Local 76 of the Communications, Energy and Paperworkers' Union (the Local Union). Following his termination Mr. Speckling commenced a number of proceedings before the Labour Relations Board (the Board) and in this Court. Currently there are three applications before the court: one by Mr. Speckling under Rule 18A of the Rules of Court seeking an order that the court has jurisdiction over the claims in his statement of claim, and one by each set of defendants under Rule 19(24) of the Rules of Court to strike Mr. Speckling's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of jurisdiction suitable for determination by summary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this court or the Board have jurisdiction over the claims advanced in the statement of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statement of claim be struck on the basis that it does not disclose a reasonable cause of action?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does the doctrine of issue estoppel apply and should the pleadings be struck to the extent they make allegations inconsistent with the findings of the Board in its decisions in related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Speckling was a member of the Local Union. The origin of this dispute occurred in the spring of 1997 when the employer, MacMillan Bloedel, announced extensive layoffs of mill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Local Union issued Bulletin #2 advising its members that its interpretation of the collective agreement was that the employer was required to provide available work to qualified laid off employees instead of utilizing overtime. The Local Union advised its members that they were required to refuse overtime if other members who were on layoff could do the work. Bulletin #2 was based on the Local Union's interpretation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Article I, section 2 of the collective agreement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Mutual Responsibilities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recognized by this Agreement to be the duty of the Company to explain fully the terms of this Agreement to all of its officers, foremen and others engaged in a supervisory capacity and it is recognized to be the duty of the Union to explain fully to its members, its and their responsibilities and obligations under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1997 the executive of the Local Union presented a motion for the approval of its members regarding the appropriate amount a member should be fined if found guilty of working unnecessary overtime contrary to the Union's interpretation of the collective agreement. The notice of motion was read at the regular membership meeting in September 1997 and voted on at the membership meeting in October 1997. At the October meeting the notice of motion was unanimously passed by the membership. Although Mr. Speckling was provided with notice of the meetings at which the motion was to be discussed and voted on, he did not attend the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motion was passed Mr. Speckling was invited to meet with the executive to discuss the issue of overtime, however, he declined to meet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Speckling continued to work overtime and was charged under the Local Union's constitution and by laws. The charges against Mr. Speckling were that he breached the requirements of Bulletin #2 by working overtime and arose out of the work he performed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Speckling appeared before a disciplinary committee in December 1997 and January 1998. Following the hearings a fine was assessed against Mr. Speckling. The disciplinary decisions were read out and accepted by the membership at the February membership meeting. Although notified of the February meeting, Mr. Speckling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Local Union advised the employer of the fine imposed upon Mr. Speckling. Mr. Speckling refused to pay the fine even though he was advised that in order to maintain his membership in good standing he was required to pay the fine. Although Mr. Speckling was advised of his right to appeal the disciplinary decision within specified time limits he did not do so. He filed an appeal in June 1998 and requested the appeal be dealt with by an Ombudsman. The Ombudsman rejected the appeal as untimely. Mr. Speckling did not challenge the Ombudsman's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Speckling did not pay the fine and lost his membership in good standing the Local Union requested that the employer terminate his employment. The employer initially refused to terminate Mr. Speckling and the Local Union filed a grievance alleging that the employer had failed to comply with Article IV(3) of the collective agreement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Discharge of Non-Members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employee who fails to maintain his membership in good standing in the Union shall be discharged after seven (7) days written notice to the Company by the Union of the employee's failure to maintain his membership in good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collective agreement also contains Article IV(4):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Membership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employee shall be subject to any penalties against his application for membership or reinstatement, except as may be provided for in the Constitution and By-Laws of the National Union and the Union. A copy of such Constitution and By-Laws, and any changes thereto, shall be transmitted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hearing of the grievance was scheduled before an arbitrator on June 28, 1999. Mr. Speckling was granted standing at the hearing but the hearing did not proceed because the Local Union and the employer settled the matter prior to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settlement provided that the Local Union would reinstate Mr. Speckling's membership if he paid the fine of $1,341 and that the employer would not allow him to return to work until he was reinstated. Mr. Speckling refused to pay the fine and has not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his dismissal Mr. Speckling has commenced numerous proceedings before the Board and in this court, including this action against the Local Union, its officials and certain of its members (the Local Union defendants) and the Communications, Energy and Paperworkers' Union of Canada and its officials, Dave Coles, Brian Payne and Fred Pomeroy (the National Union defendants). The claims being advanced in the statement of claim sound in conspiracy, breach of fiduciary duty and intentional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ISSUE OF JURISDICTION BE DETERMINED IN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Speckling is seeking orders that this court has jurisdiction to make a declaration that Mr. Speckling is a member in good standing of the Local and National Unions and that the Board does not have jurisdiction over the tort claims he is advancing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take the position that the statement of claim is, in its essential character, a labour relations matter and, therefore, Mr. Speckling's only means of redress is the statutory arbitration process, subject to the jurisdiction of the Board and judicial review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assert that the issues which Mr. Speckling wishes to pursue in this action were already dealt with by the Board and Mr. Speckling has not filed an application for judicial review of the Board decisions dealing with him. However, his brother, Walter Speckling, has filed an application for judicial review to overturn three decisions of the Board, including those that deal only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parties agree that the issue of whether this court has jurisdiction over the claims advanced in the statement of claim should be determined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18A(11) empowers the court to grant judgment on an issue unless (i) the court is unable on the evidence to find the facts necessary to decide the issue or (ii) the court is of the opinion that it would be unjust to decide the issue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Several of the guiding factors set out in Inspiration Management Ltd. v. McDermid St. Lawrence Ltd. </w:t>
      </w:r>
      <w:hyperlink r:id="rId1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 the amount involved, the complexity of the matter, the cost of a conventional trial in relation to amount involved and the course of the proceedings - commend a ruling early on in this action on the threshold issue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number of additional factors should be considered in deciding whether the determination of an issue in advance of a trial on the rest of the claims is appropriate. Whether the application results in litigating in slices must be considered. Novin v. Novin, </w:t>
      </w:r>
      <w:hyperlink r:id="rId813" w:history="1">
        <w:r>
          <w:rPr>
            <w:rFonts w:ascii="arial" w:eastAsia="arial" w:hAnsi="arial" w:cs="arial"/>
            <w:i/>
            <w:color w:val="0077CC"/>
            <w:sz w:val="20"/>
            <w:u w:val="single"/>
            <w:shd w:val="clear" w:color="auto" w:fill="FFFFFF"/>
            <w:lang w:val="en-US" w:eastAsia="en-US" w:bidi="ar-SA"/>
          </w:rPr>
          <w:t>2004 BCCA 527</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[2004] B.C.J. No. 2092</w:t>
        </w:r>
      </w:hyperlink>
      <w:r>
        <w:rPr>
          <w:rFonts w:ascii="arial" w:eastAsia="arial" w:hAnsi="arial" w:cs="arial"/>
          <w:color w:val="000000"/>
          <w:sz w:val="20"/>
          <w:lang w:val="en-US" w:eastAsia="en-US" w:bidi="ar-SA"/>
        </w:rPr>
        <w:t xml:space="preserve"> (C.A.); Bacchus Agents (1981) Ltd. v. Phillipe Dandurand Wines Ltd. </w:t>
      </w:r>
      <w:hyperlink r:id="rId814" w:history="1">
        <w:r>
          <w:rPr>
            <w:rFonts w:ascii="arial" w:eastAsia="arial" w:hAnsi="arial" w:cs="arial"/>
            <w:i/>
            <w:color w:val="0077CC"/>
            <w:sz w:val="20"/>
            <w:u w:val="single"/>
            <w:shd w:val="clear" w:color="auto" w:fill="FFFFFF"/>
            <w:lang w:val="en-US" w:eastAsia="en-US" w:bidi="ar-SA"/>
          </w:rPr>
          <w:t>(2002), 164 B.C.A.C. 300</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judge should not decide an issue if he or she will be required to make findings of fact that may embarrass a court hearing the subsequent issues, i.e. where there are conflicts on the evidence concerning overlapping issues or where the judge hearing the subsequent part of the case may have difficulty determining what issues remain live. Otter Farm and Home Co-operative v. Sekhon, </w:t>
      </w:r>
      <w:hyperlink r:id="rId815" w:history="1">
        <w:r>
          <w:rPr>
            <w:rFonts w:ascii="arial" w:eastAsia="arial" w:hAnsi="arial" w:cs="arial"/>
            <w:i/>
            <w:color w:val="0077CC"/>
            <w:sz w:val="20"/>
            <w:u w:val="single"/>
            <w:shd w:val="clear" w:color="auto" w:fill="FFFFFF"/>
            <w:lang w:val="en-US" w:eastAsia="en-US" w:bidi="ar-SA"/>
          </w:rPr>
          <w:t>2001 BCCA 636</w:t>
        </w:r>
      </w:hyperlink>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[2001] B.C.J. No. 2338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That is not to say issues cannot be isolated. However, trial judges must be cautious and ensure that the isolation of the issue will assist in the efficient resolution of the whole of the action. The question is: are the issues determinative or are they inextricably interwoven with the issues that must be determined at trial? British Columbia (Attorney General) v. Perry Ridge Water Users Assn. </w:t>
      </w:r>
      <w:hyperlink r:id="rId816" w:history="1">
        <w:r>
          <w:rPr>
            <w:rFonts w:ascii="arial" w:eastAsia="arial" w:hAnsi="arial" w:cs="arial"/>
            <w:i/>
            <w:color w:val="0077CC"/>
            <w:sz w:val="20"/>
            <w:u w:val="single"/>
            <w:shd w:val="clear" w:color="auto" w:fill="FFFFFF"/>
            <w:lang w:val="en-US" w:eastAsia="en-US" w:bidi="ar-SA"/>
          </w:rPr>
          <w:t>(2003), 13 B.C.L.R. (4th) 274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North Vancouver (District) v. Lunde </w:t>
      </w:r>
      <w:hyperlink r:id="rId817"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 the Court held that where an answer to an issue sought to be tried under Rule 18A will only resolve the whole proceeding if one answer is given, but not if a different answer is given, the applicant should be required to demonstrate and the judge should be expected to decide that the administration of justice, as it affects not only the parties to the motion but also the orderly use of the court's time, will be enhanced by dealing with the issue as a separate issue. It cannot be enough that the parties have agreed to a summary trial of one or more issues raised in the proceeding without any consideration of the effective use of court time or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An issue cannot be determined without a proper factual basis. Ferguson v. 569244 British Columbia Ltd. </w:t>
      </w:r>
      <w:hyperlink r:id="rId818" w:history="1">
        <w:r>
          <w:rPr>
            <w:rFonts w:ascii="arial" w:eastAsia="arial" w:hAnsi="arial" w:cs="arial"/>
            <w:i/>
            <w:color w:val="0077CC"/>
            <w:sz w:val="20"/>
            <w:u w:val="single"/>
            <w:shd w:val="clear" w:color="auto" w:fill="FFFFFF"/>
            <w:lang w:val="en-US" w:eastAsia="en-US" w:bidi="ar-SA"/>
          </w:rPr>
          <w:t>(2002), 99 B.C.L.R. (3d) 329</w:t>
        </w:r>
      </w:hyperlink>
      <w:r>
        <w:rPr>
          <w:rFonts w:ascii="arial" w:eastAsia="arial" w:hAnsi="arial" w:cs="arial"/>
          <w:color w:val="000000"/>
          <w:sz w:val="20"/>
          <w:lang w:val="en-US" w:eastAsia="en-US" w:bidi="ar-SA"/>
        </w:rPr>
        <w:t xml:space="preserve"> (C.A.), Strata Plan No. VR 1720 v. Bart Developments Ltd. </w:t>
      </w:r>
      <w:hyperlink r:id="rId819" w:history="1">
        <w:r>
          <w:rPr>
            <w:rFonts w:ascii="arial" w:eastAsia="arial" w:hAnsi="arial" w:cs="arial"/>
            <w:i/>
            <w:color w:val="0077CC"/>
            <w:sz w:val="20"/>
            <w:u w:val="single"/>
            <w:shd w:val="clear" w:color="auto" w:fill="FFFFFF"/>
            <w:lang w:val="en-US" w:eastAsia="en-US" w:bidi="ar-SA"/>
          </w:rPr>
          <w:t>(2000), 137 B.C.A.C. 153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this case Mr. Speckling is unrepresented. That one party is unrepresented may, but need not necessarily, be a factor for the court to consider in determining whether it would be just to grant judgment under Rule 18A: Crnkovic v. Stockdill, </w:t>
      </w:r>
      <w:hyperlink r:id="rId820"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submit that some of the affidavit material filed by Mr. Speckling contains inadmissible evidence based on information and belief, hearsay evidence and attaches as exhibits documents which cannot be admitted through the deponent of the affidavit and are therefore inadmissible. The defendants assert that there is a further problem with the affidavit material to the extent that it adduces evidence of facts that Mr. Speckling is estopped from asserting in this action because of a prior determination, or which are embarrassing or irrelevant because they are the subject of another pending action in this court, that of Mr. Speckling's brother, Walter Speckling. However, the defendants take the position that there is sufficient admissible evidence to determine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Speckling agrees that the matter of jurisdiction can be determined by way of a summary trial. He prepared and presented extensive argument and extensive affidavit material in support of his application in which he seeks orders that the court has jurisdiction over the claims advanced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concluded that the issue of jurisdiction is appropriate for determination by summary trial as it resolves the proceeding and is an issue which must be decided before embarking on an assessment of the merits of the claim. The efficiency of the threshold determination on jurisdiction is apparent where, as here, in the absence of that threshold determination, a trial on the merits would likely be lengthy and the amount involved is likely small. The evidence is that Mr. Speckling, who alleges losses as a result of the termination of his employment, could have retained his employment by accepting his employer's offer to pay the union imposed fine of $1,341 on his behalf, without prejudice to his ability to challenge the union's ability to impose the fine, and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considered the above factors, I conclude that a summary trial to determine the issue of jurisdiction results in the effective use of the court's time and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CLAIMS WITHIN THE JURISDICTION OF THE COURT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 reasons that follow I am of the view that the essential character of the claims advanced in the statement of claim falls within the jurisdiction of the Board. The bases of the issues raised in the statement of claim are that the employer and the Local Union wrongfully reached a settlement which required Mr. Speckling to pay his fine and reinstate himself as a member in good standing within the Local Union, and that the Local Union did not arbitrate Mr. Speckling's grievance for wrongful discharge when the employer subsequently discharged him. These are matters which, in their essential nature, fall within the jurisdiction of an arbitrator and/or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Speckling's position is that this case concerns the loss of his job as a result of his loss of good standing in the Union. Mr. Speckling asserts that the fine imposed was null and void as the offences he was found guilty of do not exist. Mr. Speckling submits that the defendants were aware the offences did not exist but made him a member not in good standing anyway in order to deceive the membership into believing that the Local Union had offences against working overtime. He argues that arbitration is not appropriate in circumstances such as his because the Local Union has the exclusive bargaining authority for membership. Mr. Speckling takes the position that the Board does not have jurisdiction over the arguments made in support of the declarations he is requesting as they concern the application and interpretation of the Union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well, Mr. Speckling asserts the current state of the law invites abuse. He submits that he should be entitled to pursue his remedies in court as the Board has improperly denied him access to arbitration. He argues that the remedies available under s. 10 of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(the Code) are not what he is seeking. Mr. Speckling says he is not seeking damages from the defendants for any lost wages; rather he is claiming damages for breach of fiduciary duty, intentional interference with contractual rights and conspiracy. Finally, he submits that the Board does not have jurisdiction because it cannot order a remedy against the individually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assert that what Mr. Speckling is seeking is a determination that the Board's decisions were wrongly decided without filing an application for judicial review. They say that the dispute at the core of this action arises, expressly or inferentially, out of the collective agreement between Mr. Speckling's former employer and the Local Union. As a result, the court lacks jurisdiction as the essential character of Mr. Speckling's claims falls within the exclusive jurisdiction of a grievance arbitrator or the Board and not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factors a court should consider in determining whether the court has jurisdiction over a dispute arising out of employment are set out in Weber v. Ontario Hydro, </w:t>
      </w:r>
      <w:hyperlink r:id="rId821"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In Weber the Court considered the issue of when the parties to a collective agreement may sue in tort. The employee was employed by Ontario Hydro. Because of health problems he took an extended leave from work. Hydro hired private investigators to investigate its concerns that the employee was malingering. Following the investigation the employee was suspended for abusing his sick leave benefits. The employee's union grieved and settled the grievance. The employee also commenced an action in tort and breach of his charter rights. The motions judge struck out the action on the grounds that the dispute arose out of the collective agreement over which the court had no jurisdiction based on the Ontario Labour Relations Act, R.S.O. 1990, c. L.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dealing with the tort claims the Court considered the effect of a final and binding arbitration clause in the legislation. The Court rejected the concurrent actions model and the overlapping jurisdiction model and held that an exclusive jurisdiction model should be adopted. Under this approach if the difference between the parties arises from a collective agreement the arbitrator has jurisdiction. The question in each case is whether the dispute in its essential character falls within the jurisdiction of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in Weber argued that the dispute fell outside the collective agreement as the act of hiring private investigators who used deception in order to gain access to his home and report on him did not relate to the interpretation, application or administration of the collective agreement. He asserted that the essential nature of the dispute was not labour but rather a matter of common law and his constitutional rights and therefore the courts as opposed to the arbitrator had jurisdiction. The Court noted that viewed in isolation the conduct might fall outside the normal scope of employer-employee relations, but that the collective agreement was broad enough to apply to the conduct in the case and therefore the courts had no jurisdiction. ([paragraph] 69 and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Weber the Court suggested a two step approach. The first step is look at the scope of the arbitrator's jurisdiction set out in the legislation. The second step is to look at the nature of the dispute in order to determine whether the legislation confers exclusive jurisdiction to the arbitrator over the dispute. The second step is necessary in order to ensure that the decision regarding the jurisdictional issues is consistent with the statutory schemes governing the parties. This two step approach was confirmed in Quebec (Commission des droits de la personne et des droits de la jeunesse) v. Quebec (Attorney General), </w:t>
      </w:r>
      <w:hyperlink r:id="rId822" w:history="1">
        <w:r>
          <w:rPr>
            <w:rFonts w:ascii="arial" w:eastAsia="arial" w:hAnsi="arial" w:cs="arial"/>
            <w:i/>
            <w:color w:val="0077CC"/>
            <w:sz w:val="20"/>
            <w:u w:val="single"/>
            <w:shd w:val="clear" w:color="auto" w:fill="FFFFFF"/>
            <w:lang w:val="en-US" w:eastAsia="en-US" w:bidi="ar-SA"/>
          </w:rPr>
          <w:t>[2004] 2 S.C.R. 185</w:t>
        </w:r>
      </w:hyperlink>
      <w:r>
        <w:rPr>
          <w:rFonts w:ascii="arial" w:eastAsia="arial" w:hAnsi="arial" w:cs="arial"/>
          <w:color w:val="000000"/>
          <w:sz w:val="20"/>
          <w:lang w:val="en-US" w:eastAsia="en-US" w:bidi="ar-SA"/>
        </w:rPr>
        <w:t xml:space="preserve"> at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New Brunswick v. O'Leary, </w:t>
      </w:r>
      <w:hyperlink r:id="rId823"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an employer brought an action against an employee for negligent operation of the employer's leased motor vehicle. Even though the collective agreement did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did not contain a provision providing for employer grievances, the Court held that the dispute arose from the collective agreement and therefore "the only means of redress is the statutory arbitration process". ([paragraph]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Speckling asserts that the essential character of the dispute is not labour. He argues he is requesting a declaration that he is a member in good standing with the Union and that his arguments in that regard concern the interpretation and application of the Union constitution over which the Board has no jurisdiction. He relies on Joseph Bogdanich (February 18, 2002) B.C.L.R.B. Decision No. B53/2002 (B.C. Board) and Fred Newart (October 14, 1998), B.C.L.R.B. Decision No. 416/1998 (B.C. Board). However, in both those cases the Board comments that it has some jurisdiction over internal union affairs under s. 10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assert that the provisions of the Ontario Labour Relations Act and the grievance procedure under consideration in Weber are similar to the statutory scheme and the collective agreement in issue in this case. The defendants say that the statutory scheme demonstrates the intention of the legislature that disputes arising from collective agreements fall within the exclusive jurisdiction of arbitrators and that disputes concerning a union's duty of fair representation, and even certain internal union affairs, fall within the exclusive jurisdiction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hearing before the Board Mr. Speckling dealt with most of the issues set out in his statement of claim in this action. Mr. Speckling asserts that if he had paid the fine the issues under the collective agreement would never have arisen and he would have been entitled to have the matter heard in court. As such, he argues, the essential character of the dispute is not labour. Mr. Speckling says the fact that he first tried to have the dispute between him and the Local Union dealt with by an arbitrator does not mean the dispute arises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that argument ignores ss. 10 and 12 of the Code. Sections 10 and 12 gives the Board discretion to deal with disputes between a member and his union: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union affairs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Every person has a right to the application of the principles of natural justice in respect of all disputes relating to</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in the constitution of the trade union,</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membership in a trade union, or</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discipline by a trade union.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trade union must not expel, suspend or impose a penalty on a member or refuse membership in the trade union to a person, or impose any penalty or make any special levy on a person as a condition of admission to membership in the trade union or council of trade unions</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doing so the trade union acts in a discriminatory manner, or</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that member or person has refused or failed to participate in activity prohibited by this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If a trade union charges, levies or prescribes different initiation fees, dues or assessments in respect of a person according to whether the person applies or has applied for membership in the trade union before or after an application for certification by the trade union to represent the person as bargaining agent, the fees, dues or assessments are deemed to be discriminatory for the purpose of subsection (2)(a).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fair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A trade union or council of trade unions must not act in a manner that is arbitrary, discriminatory or in bad faith</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representing any of the employees in an appropriate bargaining unit, or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referral of persons to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employees or persons are members of the trade union or a constituent union of the council of trade unions.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It is not a violation of subsection (1) for a trade union to enter into an agreement under which</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is permitted to hire by name certain trade union members,</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hiring preference is provided to trade union members resident in a particular geographic area, or</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is permitted to hire by name persons to be engaged to perform supervisory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An employers' organization must not act in a manner that is arbitrary, discriminatory or in bad faith in representing any of the employers in the group appropriate for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indicated earlier, Mr. Speckling has brought several claims before the Board; however, he has chosen not to bring a s. 10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Coleman v. OTEU Local 378, B.C.L.R.B. Decision No. B282/95, [paragraph] 111 the Board considered many aspects of the consequences of the introduction of s. 10 to the Code. The Board expressly concluded that s. 10 of the Code moves the review of internal affairs of trade unions in regards to issues of natural justice from the courts to the Board. The Board also determined that issues of bias in internal proceedings fell within the Board's jurisdiction pursuant to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determining the essential character of Mr. Speckling's tort claims it is appropriate to compare the allegations in the statement of claim with the allegations made by Mr. Speckling before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Jadwani v. The Attorney General of Canada et al. </w:t>
      </w:r>
      <w:hyperlink r:id="rId824" w:history="1">
        <w:r>
          <w:rPr>
            <w:rFonts w:ascii="arial" w:eastAsia="arial" w:hAnsi="arial" w:cs="arial"/>
            <w:i/>
            <w:color w:val="0077CC"/>
            <w:sz w:val="20"/>
            <w:u w:val="single"/>
            <w:shd w:val="clear" w:color="auto" w:fill="FFFFFF"/>
            <w:lang w:val="en-US" w:eastAsia="en-US" w:bidi="ar-SA"/>
          </w:rPr>
          <w:t>(2001), 52 O.R. (3d) 660</w:t>
        </w:r>
      </w:hyperlink>
      <w:r>
        <w:rPr>
          <w:rFonts w:ascii="arial" w:eastAsia="arial" w:hAnsi="arial" w:cs="arial"/>
          <w:color w:val="000000"/>
          <w:sz w:val="20"/>
          <w:lang w:val="en-US" w:eastAsia="en-US" w:bidi="ar-SA"/>
        </w:rPr>
        <w:t xml:space="preserve"> (C.A.) the plaintiff initiated grievances pursuant to the collective agreement. The plaintiff also initiated an action in tort alleging "interference with contractual relations, intimidation, conspiracy and discrimination contrary to ss. 15 and 24 of the Charter." ([paragraph] 6). The Court applied Weber and determined that the Court had no jurisdiction to hear the tort claims as the allegations in their essential character arose under the collective agreement and the events which led to the plaintiff's termination ([paragraph] 36). In coming to that conclusion, the Court compared the pleadings in the statement of claim and the allegations made in the adjudication and found that the allegations were essentially the same. ([paragraph]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also dealt with the argument that there was no effective remedy and determined that the fact that arbitrators may not approach the awarding of damages in the same way as the courts does not necessarily determine whether Weber applies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[E]ven if the grievance does not support claims under certain heads of damages that does not lead to the conclusion that the appellant has been deprived of an ultimate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appellant has not demonstrated that the adjudication process precluded him from seeking an appropriate remedy or the remedies that he sought in his statement of claim. Nevertheless the appellant submits that there are personal defendants named in this action and that the motions judge did not consider the extent of the adjudicator's remedial authority with respect to those personal defendants. On the facts of this matter, this submission does not support a finding that the appellant would be deprived of his ultimate remedy. While the personal defendants named in the statement of claim are not parties to the Collective Agreement, the employer who is a party to the Collective Agreement is made vicariously liable in this action. On this basis, the fact that there are now personal defendants named does not put the court in a better position to award the ultimate remedy. The remedy remains as against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compared the pleadings and the allegations made before the Board as set out in its numerous decisions, including the Board's decisions on Mr. Speckling's s. 12 complaint. The facts which Mr. Speckling relied on before the Board and those set out in the statement of claim are essentially the same. The substance of Mr. Speckling's complaints set out in the statement of claim has been dealt with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Speckling's allegations in the statement of claim are based on the conduct of the Local Union in its representation of Mr. Speckling and others (which fall within the Board's exclusive jurisdiction under s. 12 of the Code) and/or within the collective agreement. The allegation that the defendants were in breach of their fiduciary duty does not establish the jurisdiction of the court. If the Local Union and its representatives are fiduciaries, then the extent of that fiduciary duty is invoked in the representation of its members, a matter which is governed by s. 12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well, Mr. Speckling's allegations that the defendants engaged in a conspiracy or intentionally interfered with his contractual relations do not establish the jurisdiction of the court. The issue of conspiracy is based on the allegation that one of the Local Union members, Mr. Banks, had reason to discriminate against Mr. Speckling and was bitter and hostile towards him. The statement of claim alleges that Mr. Banks used his power and influence within the Local Union to exact revenge on Mr. Speckling. If the Local Union and its representatives acted in a discriminatory manner towards Mr. Speckling that is a matter within s. 10(2)(b)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allegation of intentional interference with contractual relations between Mr. Speckling and the employer arises from the Local Union's grievance against the employer relying on the Union security clause in the collective agreement, a matter within the jurisdiction of an arbitrator and/or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Speckling argues that if the court lacks jurisdiction it would leave him without a proper forum for his claims. This is similar to an argument advanced in Allen v. Alberta, </w:t>
      </w:r>
      <w:hyperlink r:id="rId825" w:history="1">
        <w:r>
          <w:rPr>
            <w:rFonts w:ascii="arial" w:eastAsia="arial" w:hAnsi="arial" w:cs="arial"/>
            <w:i/>
            <w:color w:val="0077CC"/>
            <w:sz w:val="20"/>
            <w:u w:val="single"/>
            <w:shd w:val="clear" w:color="auto" w:fill="FFFFFF"/>
            <w:lang w:val="en-US" w:eastAsia="en-US" w:bidi="ar-SA"/>
          </w:rPr>
          <w:t>[2003] 1 S.C.R. 128</w:t>
        </w:r>
      </w:hyperlink>
      <w:r>
        <w:rPr>
          <w:rFonts w:ascii="arial" w:eastAsia="arial" w:hAnsi="arial" w:cs="arial"/>
          <w:color w:val="000000"/>
          <w:sz w:val="20"/>
          <w:lang w:val="en-US" w:eastAsia="en-US" w:bidi="ar-SA"/>
        </w:rPr>
        <w:t>. The Court held that a party cannot choose a forum based on what remedy is available, rather what governs is the essential nature of the dispute. ([paragraph] 16-17) In Allen the Court reconfirmed that the approach to be taken in identifying disputes which are within the scope of an arbitrator's jurisdiction is a flexible and contextual method which seeks to avoid formalistic classification.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Speckling has not established that the Board is unable to award appropriate remedies, or the remedies he seeks in his statement of claim. The Code grants the Board jurisdiction to award a wide range of remedies, including ordering that a union reinstate a person to membership in the trade union and pay to the person a sum equal to wages lost due to his expulsion and the amount of any penalty imposed upon the person (s. 14(4)), and setting the monetary value of an injury or loss suffered by a person as a result of the contravention of a collective agreement and directing payment of that amount (s. 89(a)).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Board has exclusive jurisdiction over issues which are governed by its provisions as set out in the Code. Section 136 of the Code provides that the Board's jurisdiction to hear applications or complaints under the Code is exclusive and s. 137 provides that the court does not have jurisdiction over matters set out in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statement of claim deals with the settlement of the grievance between the employer and the Local Union and the subsequent discharge of Mr. Speckling by the employer. These are matters which fall within the grievance and arbitration procedures contained in Article XXXI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Speckling's claim is also based on the allegation that the Local Union was engaged in an illegal strike. That allegation also falls within the provisions of the collective agreement (Article I(3)). As well, the Board has exclusive jurisdiction to determine whether a union has engaged in an illegal strike. The claim that the Local Union was engaged in an illegal strike was considered and rejected by the Board in dismissing Mr. Speckling's s. 12 application. Further, the Board has exclusive jurisdiction pursuant to s. 10(2)(b) of the Code to deal with a claim that the trade union has disciplined a member because that member has refused or failed to participate in an illegal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Section 10 provides the Board with the exclusive jurisdiction to determine whether the Union discriminated against Mr. Speckling. That jurisdiction also falls to the Board pursuant to s. 12 and was dealt with by the Board in Mr. Speckling's s. 12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Speckling cannot bring claims in court which fall within the Board's jurisdiction pursuant to ss. 10 and 12 by asserting that he is pursuing remedies in tort. Weber, supra, Jadwani,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Speckling argues that National Union defendants are not parties to the collective agreement and as such the Board has no jurisdiction over them. However, his claim against the National Union defendants is based on his interpretation of the Union constitution. He has provided no evidence that the National Union defendants had any involvement in the creating or the posting of Bulletin #2, the motion allowing fines to be levied against members who worked overtime, or in the settlement of the grievance between the Local Union and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Ram v. Prasad </w:t>
      </w:r>
      <w:hyperlink r:id="rId826" w:history="1">
        <w:r>
          <w:rPr>
            <w:rFonts w:ascii="arial" w:eastAsia="arial" w:hAnsi="arial" w:cs="arial"/>
            <w:i/>
            <w:color w:val="0077CC"/>
            <w:sz w:val="20"/>
            <w:u w:val="single"/>
            <w:shd w:val="clear" w:color="auto" w:fill="FFFFFF"/>
            <w:lang w:val="en-US" w:eastAsia="en-US" w:bidi="ar-SA"/>
          </w:rPr>
          <w:t>(1996), 27 B.C.L.R. (3d) 300</w:t>
        </w:r>
      </w:hyperlink>
      <w:r>
        <w:rPr>
          <w:rFonts w:ascii="arial" w:eastAsia="arial" w:hAnsi="arial" w:cs="arial"/>
          <w:color w:val="000000"/>
          <w:sz w:val="20"/>
          <w:lang w:val="en-US" w:eastAsia="en-US" w:bidi="ar-SA"/>
        </w:rPr>
        <w:t xml:space="preserve"> (C.A.) dealt with a plaintiff who was involved in a dispute with his foreman and shop steward about scheduling. The plaintiff was dismissed as a result of various infractions. The firing went to a grievance settlement meeting and it was agreed the plaintiff was only to be suspended for six months. In the interim the plaintiff commenced an action for defamation. In declining jurisdiction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The issues which the plaintiff now seeks to litigate could have been dealt with on arbitration. McLachlin J. in Weber at p. 601 identified as one of the flaws of the overlapping spheres model that it would leave it open to innovative pleaders to evade the legislative prohibition on parallel court actions by raising new and imaginative causes of action. That is somewhat akin to what is being done here by seeking to sue officers or employees of the employer or fellow members of the union.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fact that these defendants are fellow union members is, in my view, of no greater significance than the fact that Mr. Weber was a union member. The scope of the rule precluding the bringing of actions is not limited in its effect to the immediate parties to the collective agreement, i.e. the union and employer. I see no reason in principle why it should not apply to union members, whether they seek to be plaintiffs or are joined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fact that some of the defendants to an action are not a party to the collective agreement will not automatically lead the court to assume jurisdiction. In this case three of the individuals named as defendants are members of the National Union: Dave Cole, Brian Payne and Fred Pomeroy. All were or are officers of the National Union. That the National Union and its officials are not parties to the collective agreement is not determinative under the Weber analysis. The jurisdiction of the court may nevertheless be ousted. In my view, the inclusion of the National Union and its officials in this action does not permit Mr. Speckling to overcome Weber, particularly since there is a complete absence of evidence to support the allegations made by Mr. Speckling against the National Union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Speckling asserts that the dispute arises from the interpretation of the Union constitution over which the Board has no jurisdiction. Following the dismissal of his appeal, Mr. Speckling did not initiate an action in court claiming a breach of contract based on the Union constitution. The court has jurisdiction to determine issues involving the interpretation of the Union constitution, except for claims based on allegations that the Union breached the principles of natural justice, or imposed a penalty against Mr. Speckling in a discriminatory manner or because Mr. Speckling refused or failed to participate in an activity prohibited by the Code. Instead, Mr. Speckling sought to make his claim for damages against the Local Union and its members part of the arbitration which was scheduled to deal with the Local Union's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This action was commenced in September 2002 and does not contain a claim for breach of contract based on the Union constitution. Having reviewed the claims alleged in the statement of claim, I have concluded that the essential character of the dispute arises under the collective agreement in that it concerns the loss of Mr. Speckling's employment and the claimed relationship between that and the Union security clause in the collective agreement. The conduct complained of in the statement of claim arose in response to the Local Union's interpretation of the collective agreement, the Local Union's grievance requiring the employer to comply with the Union security clause in the collective agreement, the settlement of that grievance and the eventual discharge of Mr. Speckling.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fact that the Local Union settled its grievance with the employer and did not pursue a grievance on behalf of Mr. Speckling concerning his discharge does not give the Court jurisdiction. The appropriate forum for Mr. Speckling in such circumstances is the Board pursuant to ss. 10 and 12 of the Code. Mr. Speckling failed to pursue the former remedy and unsuccessfully pursued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the essential character of the claims set out in the statement of claim fall within the exclusive jurisdiction of the Board pursuant to the provisions of the Code. As a result, I have concluded that the court should decline jurisdiction and grant a declaration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Having concluded that the court does not have jurisdiction in this matter I need not consider the issues raised by the defendants regarding the adequacy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Strata Plan LMS 1212 v. Coquitlam (City), [2004] B.C.J. No. 1307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17,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25,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L013696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1307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852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31 B.C.L.R. (4th) 356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131 A.C.W.S. (3d) 1044</w:t>
      </w:r>
    </w:p>
    <w:p>
      <w:pPr>
        <w:spacing w:before="120" w:line="260" w:lineRule="atLeast"/>
        <w:rPr>
          <w:lang w:val="en-US" w:eastAsia="en-US" w:bidi="ar-SA"/>
        </w:rPr>
      </w:pPr>
      <w:r>
        <w:rPr>
          <w:rFonts w:ascii="arial" w:eastAsia="arial" w:hAnsi="arial" w:cs="arial"/>
          <w:color w:val="000000"/>
          <w:sz w:val="20"/>
          <w:lang w:val="en-US" w:eastAsia="en-US" w:bidi="ar-SA"/>
        </w:rPr>
        <w:t>Between The Owners, Strata Plan LMS 1212, plaintiff, and City of Coquitlam, Polygon Town Centre, Development Limited (previously known as Polygon Development VII Limited), Polygon Construction Ltd., Graham F. Crockart, Graham F. Crockart, Architect Inc. and John Doe One through John Doe Nine,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7"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3" w:name="Keywords_30"/>
      <w:bookmarkEnd w:id="253"/>
      <w:r>
        <w:rPr>
          <w:rFonts w:ascii="arial" w:eastAsia="arial" w:hAnsi="arial" w:cs="arial"/>
          <w:b/>
          <w:color w:val="000000"/>
          <w:sz w:val="20"/>
          <w:lang w:val="en-US" w:eastAsia="en-US" w:bidi="ar-SA"/>
        </w:rPr>
        <w:t>Civil procedure — Parties — Adding or substituting — Necessary or proper — Limitation of actions — Statutory limitation periods — Adding party after expiry 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54" w:name="Case Summary_28"/>
            <w:bookmarkEnd w:id="25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Strata Plan LMS 1212 (1212), for leave to add Winchester Investments and John Doe Ten as defendants. 1212 sought to add Winchester, formerly known as Polygon Group Limited, to plead Winchester acted as developer and general contractor of The Madison, a 71 residential unit condominium owned by 1212. 1212 also sought to plead Winchester was a partner, together with certain other defendants, and their businesses were inextricably interwoven in that each of these defendants carried on the business of real estate development and construction, including the design, development and construction of The Madison, under the name of Polygon, and maintained for that purpose a common office. Complaints of leaks at The Madison occurred as early as April 1994. 1212 engaged a company to provide reports relating to the building envelope in 1998. The reports suggested significant problems with leaks. </w:t>
            </w:r>
            <w:r>
              <w:rPr>
                <w:lang w:val="en-US" w:eastAsia="en-US" w:bidi="ar-SA"/>
              </w:rPr>
              <w:cr/>
            </w:r>
          </w:p>
          <w:p>
            <w:pPr>
              <w:spacing w:before="120" w:line="260" w:lineRule="atLeast"/>
              <w:ind w:left="240"/>
              <w:jc w:val="both"/>
              <w:rPr>
                <w:lang w:val="en-US" w:eastAsia="en-US" w:bidi="ar-SA"/>
              </w:rPr>
            </w:pPr>
            <w:bookmarkStart w:id="255" w:name="Holdings of Court_22"/>
            <w:bookmarkEnd w:id="25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1212 was granted permission to add Winchester and John Doe Ten as defendants and to amend the Writ of Summons. John Doe Ten could be added because of an error in the numbering on the writ of summons. 1212 showed that a question existed between Winchester and 1212 relating to a matter at issue in the proceeding. 1212 needed only establish that there was a possible cause of action between it and Winchester. Certain of the defendants were wholly owned and operated by Winchester, shared records, registered offices and place of business, shared many of the same directors and officers, and were all involved in the real estate development and construction business. These facts and a sales brochure linking the Madison project as part of the Polygon Group suggested a sufficient interrelationship to satisfy the threshold requirement. It was just and convenient to join Winchester as a party. Winchester argued that because of a lengthy delay which the plaintiff failed to sufficiently explain, Winchester would suffer prejudice through loss of a limitation defence. It was not until the 1998 reports that a systemic leak problem was realized. 1212 adequately explained all but one of the various delays and Winchester was not prejudiced by the unexplained delay. </w:t>
            </w:r>
            <w:r>
              <w:rPr>
                <w:lang w:val="en-US" w:eastAsia="en-US" w:bidi="ar-SA"/>
              </w:rPr>
              <w:cr/>
            </w:r>
          </w:p>
          <w:p>
            <w:pPr>
              <w:rPr>
                <w:lang w:val="en-US" w:eastAsia="en-US" w:bidi="ar-SA"/>
              </w:rPr>
            </w:pPr>
          </w:p>
        </w:tc>
      </w:tr>
    </w:tbl>
    <w:p>
      <w:pPr>
        <w:jc w:val="both"/>
        <w:rPr>
          <w:lang w:val="en-US" w:eastAsia="en-US" w:bidi="ar-SA"/>
        </w:rPr>
      </w:pPr>
      <w:bookmarkStart w:id="256" w:name="Legislation Cited_23"/>
      <w:bookmarkEnd w:id="25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8"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15(5)(a)(iii), 18A.</w:t>
      </w:r>
      <w:r>
        <w:rPr>
          <w:lang w:val="en-US" w:eastAsia="en-US" w:bidi="ar-SA"/>
        </w:rPr>
        <w:cr/>
      </w:r>
    </w:p>
    <w:p>
      <w:pPr>
        <w:keepNext/>
        <w:spacing w:before="240" w:line="340" w:lineRule="atLeast"/>
        <w:rPr>
          <w:lang w:val="en-US" w:eastAsia="en-US" w:bidi="ar-SA"/>
        </w:rPr>
      </w:pPr>
      <w:bookmarkStart w:id="257" w:name="Counsel_41"/>
      <w:bookmarkEnd w:id="25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9" style="position:absolute;z-index:251803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V.P. Franco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 Basham, Q.C.</w:t>
      </w:r>
      <w:r>
        <w:rPr>
          <w:lang w:val="en-US" w:eastAsia="en-US" w:bidi="ar-SA"/>
        </w:rPr>
        <w:cr/>
      </w:r>
    </w:p>
    <w:p>
      <w:pPr>
        <w:spacing w:after="240"/>
        <w:rPr>
          <w:lang w:val="en-US" w:eastAsia="en-US" w:bidi="ar-SA"/>
        </w:rPr>
      </w:pPr>
      <w:bookmarkStart w:id="258" w:name="Judgment_41"/>
      <w:bookmarkEnd w:id="258"/>
      <w:r>
        <w:pict>
          <v:line id="_x0000_s1210" style="position:absolute;z-index:25184460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9" w:name="DILLON J."/>
            <w:bookmarkEnd w:id="259"/>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to add two parties to this action, John Doe Ten, and Winchester Investments Ltd., formerly known as Polygon Group Limited. The application to add John Doe Ten is allowed as there was an error in the numbering on the writ of summons.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to add Winchester Investments Ltd. (hereafter "Winchester") is based on Rule 15(5)(a)(iii) of the Rules of Court. The plaintiff seeks to add Winchester to plead that Winchester acted as developer and general contractor of "The Madison", a 71 residential unit condominium owned by the plaintiff and located at 2990 Princess Crescent, Coquitlam, B.C. The plaintiff also seeks to plead that Winchester, as one of the "Polygon defendants", "was at all material times a partner together with the other Polygon Defendants in a partnership and their businesses were inextricably interwoven together as a partnership, in that each of the Polygon Defendants carried on the business of real estate development and construction, including, without limitation, the design, development and construction of The Madison, in common with each other with a view to a profit, under the name of "Polygon" and maintained for that purpose a common office at 1800 Spyglass Place, Vancouver, British Columbia, V5Z 4K8."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claims against all Polygon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of care, negligent misrepresentation, breach of warranty and breach of duty to warn.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Winchester opposes the application and says that there is only a bald assertion of a partnership between Winchester and the Polygon Defendants, so that the plaintiff has failed to establish a cause of action against Winchester. Winchester further says that if there exists a real issue or question to be tried, it is not just and convenient in all of the circumstances for Winchester to be joined.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 Strata Corporation commonly known as Harbour House and located at 2990 Princess Crescent, Coquitlam, British Columbia (the "Madison"). The Madison consists of 71 residential units and was constructed between July 1993 and March 1994. Complaints of leaks were noted as early as April 26, 1994. Throughout 1994, 1995, 1996, and early 1997, the Strata Corporation relied upon the Polygon Weather Shield Warranty to deal with the water leaks that had appeared. Because the efforts of the developer and general contractor failed to adequately address the water leakage problems that were occurring at the Madison, the Strata Corporation retained Morrison Hershfield ("MH") in the spring of 1998 to review the condition of the building envelope. On September 14, 1998, MH provided its Building Envelope Report, which suggested significant problems with water ingress and associated deterioration. MH suggested further investigations and widespread repairs. The results of MH's further investigations were noted in their report dated December 30, 1998 and entitled "Further Assessment of the Balconies: The Madison". This report confirmed MH's advice that the face sealed stucco cladding on all of the balconies required replacement with a rainscreen or drained cavity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Polygon Town Centre Development Limited ("Polygon Development") and Polygon Construction Ltd. ("Polygon Construction") were given copies of the MH Building Envelope Report and invited to address the water ingress problems. They offered to conduct their own alternate building envelope remediation which was contrary to MH's recommendations. The Strata Corporation did not take them up on their offer. The Strata Corporation retained MH to prepare specifications to remediate the building envelope as per their specifications. Phase I of the repairs were undertaken between October 1999 and August 2000. Phase II of the repairs were undertaken between March 2001 and January 2002. The total cost of the remediation to the building envelope was approximately $900,000.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argued that the earliest the Strata Corporation could have discovered that there was a cause of action with respect to construction deficiencies and resultant damage was with the receipt of the September 14, 1998 MH Building Envelope Report, which revealed the systemic failure of the Madison building envelope. The defendant says that the deficiencies were first apparent in April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action was commenced by a Writ of Summons filed on December 21, 2001 naming the City of Coquitlam, Polygon Town Centre Development Limited and Polygon Construction Ltd., among others. The Writ of Summons was served on the Defendants on or about March 6, 2002. On March 7, 2002, an Amended Writ of Summons was filed. Polygon Development and Polygon Construction filed their appearances on or about March 18, 2002. No other steps were taken before June 17, 2003 when the B.C. Supreme Court issued a Judgment in the case of the The Owners, Strata Plan LMS 888 (the "Jefferson") v. The City of Port Coquitlam and others </w:t>
      </w:r>
      <w:hyperlink r:id="rId834" w:history="1">
        <w:r>
          <w:rPr>
            <w:rFonts w:ascii="arial" w:eastAsia="arial" w:hAnsi="arial" w:cs="arial"/>
            <w:i/>
            <w:color w:val="0077CC"/>
            <w:sz w:val="20"/>
            <w:u w:val="single"/>
            <w:shd w:val="clear" w:color="auto" w:fill="FFFFFF"/>
            <w:lang w:val="en-US" w:eastAsia="en-US" w:bidi="ar-SA"/>
          </w:rPr>
          <w:t>(2003), 15 B.C.L.R. (4th) 154</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2003 BCSC 941</w:t>
        </w:r>
      </w:hyperlink>
      <w:r>
        <w:rPr>
          <w:rFonts w:ascii="arial" w:eastAsia="arial" w:hAnsi="arial" w:cs="arial"/>
          <w:color w:val="000000"/>
          <w:sz w:val="20"/>
          <w:lang w:val="en-US" w:eastAsia="en-US" w:bidi="ar-SA"/>
        </w:rPr>
        <w:t>. That case concluded that the lawsuit was a nullity because the strata corporation had not passed 3/4 vote resolutions authorizing the commencement of the proceedings prior to filing a Writ of Summons in accordance with the Strata Property Act. The Madison was in a similar situation in that a 3/4 vote resolution had not been passed, but the Writ of Summons had been filed. As a result of the Jefferson decision, counsel for the plaintiff decided to hold these proceedings in abeyance pending the appeal of the Jefferson decision. To date, the Jefferson appeal has not been heard. In August 2003, the plaintiff held a special general meeting to obtain 3/4 vote approval for the action. In or about December 2003, new legislation that remedied the problem arising from the fact the 3/4 vote resolution was not approved prior to the commencement of proceedings was enacted.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March 2003, plaintiff's counsel had attended the registered and records office of Winchester, Polygon Homes Ltd., Polygon Construction and Polygon Development. From the affidavit of Cam McTavish, I infer that this search was ongoing to April 2004. The plaintiff delivered its Notice of Motion to join Winchester and John Doe Ten to the within proceedings on May 3,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corporate searches in March 2003 revealed the following. The sole shareholder of Polygon Construction at the time the Madison was constructed was Winchester Investments Ltd. formerly Polygon Group Limited. The sole shareholder of Polygon Development is also Winchester Investments Ltd. formerly Polygon Group Limited. Winchester, Polygon Development, and Polygon Construction all share or have shared certain individuals in common as directors of those companies.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Polygon companies, including Winchester, shared the same registered and record offices and the same place of business. All the companies are involved in the business of real estate development and construction. Polygon Development was the registered owner of the Madison. Polygon Construction provided construction management services during the development and construction of the Madison. Winchester was not a party to any of the contracts of purchase and sale and was not the developer or involved in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sales brochure for the Madison, under the Polygon logo, told "The Polygon Story" and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Madison is built by Polygon Madison Project Limited, part of the Polygon Group of Companies which, since 1977, has created several thousand homes of distinction throughout Greater Vancouver. In collaboration with leading West Coast architects, Polygon specializes in building communities that offer the best in quality and value.</w:t>
      </w:r>
    </w:p>
    <w:p>
      <w:pPr>
        <w:spacing w:before="120" w:line="260" w:lineRule="atLeast"/>
        <w:ind w:left="720"/>
        <w:rPr>
          <w:lang w:val="en-US" w:eastAsia="en-US" w:bidi="ar-SA"/>
        </w:rPr>
      </w:pPr>
      <w:r>
        <w:rPr>
          <w:rFonts w:ascii="arial" w:eastAsia="arial" w:hAnsi="arial" w:cs="arial"/>
          <w:color w:val="000000"/>
          <w:sz w:val="20"/>
          <w:lang w:val="en-US" w:eastAsia="en-US" w:bidi="ar-SA"/>
        </w:rPr>
        <w:t>Polygon is a recipient of the Master Builder Award from the New Home Warranty Program of British Columbia with whom all Polygon homes are registered.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Winchester was formerly known as Polygon Group Limited. The affidavit of a director of Polygon Development said that there was no agreement with Winchester to share any profits received from the Madison. If any profit was received by Polygon Development, Winchester would not have been entitled to it directly but only as a shareholder through dividends if so decided by the directors. It is not in evidence as to whether Winchester actually received such dividends.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evidence before me through affidavits as to the existence, or not, of an issue between the parties. As a result, I do not find it necessary to delve into the legal debate as to whether evidence is required on an application under Rule 15(5)(a)(iii). I am satisfied that the plaintiff has put forth some evidence to take this matter beyond a bare assertion contained in the pleadings, as alleged by Winchester.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For Rule 15(5)(a)(iii) to apply, the plaintiff must show that an issue or question may exist between the person to be added and the party applying to add that person, relating to a matter at issue in the existing proceeding (Lawrence Construction v. Fong, </w:t>
      </w:r>
      <w:hyperlink r:id="rId835" w:history="1">
        <w:r>
          <w:rPr>
            <w:rFonts w:ascii="arial" w:eastAsia="arial" w:hAnsi="arial" w:cs="arial"/>
            <w:i/>
            <w:color w:val="0077CC"/>
            <w:sz w:val="20"/>
            <w:u w:val="single"/>
            <w:shd w:val="clear" w:color="auto" w:fill="FFFFFF"/>
            <w:lang w:val="en-US" w:eastAsia="en-US" w:bidi="ar-SA"/>
          </w:rPr>
          <w:t>[2001] B.C.J. No. 1440</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2001 BCSC 813</w:t>
        </w:r>
      </w:hyperlink>
      <w:r>
        <w:rPr>
          <w:rFonts w:ascii="arial" w:eastAsia="arial" w:hAnsi="arial" w:cs="arial"/>
          <w:color w:val="000000"/>
          <w:sz w:val="20"/>
          <w:lang w:val="en-US" w:eastAsia="en-US" w:bidi="ar-SA"/>
        </w:rPr>
        <w:t xml:space="preserve"> at para. 29). To put it another way, the plaintiff need only establish that there is a possible cause of action between it and Winchester (MacMillan Bloedel Ltd. v. Morgan, </w:t>
      </w:r>
      <w:hyperlink r:id="rId836"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Robson Bulldozing Ltd. v. Royal Bank of Canada </w:t>
      </w:r>
      <w:hyperlink r:id="rId837"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Lawrence Construction v. Fong, supra; The Owners, Strata Plan VR 2603 v. PK Property Management Inc., et al., </w:t>
      </w:r>
      <w:hyperlink r:id="rId838" w:history="1">
        <w:r>
          <w:rPr>
            <w:rFonts w:ascii="arial" w:eastAsia="arial" w:hAnsi="arial" w:cs="arial"/>
            <w:i/>
            <w:color w:val="0077CC"/>
            <w:sz w:val="20"/>
            <w:u w:val="single"/>
            <w:shd w:val="clear" w:color="auto" w:fill="FFFFFF"/>
            <w:lang w:val="en-US" w:eastAsia="en-US" w:bidi="ar-SA"/>
          </w:rPr>
          <w:t>[2003] B.C.J. No. 818</w:t>
        </w:r>
      </w:hyperlink>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2003 BCSC 561</w:t>
        </w:r>
      </w:hyperlink>
      <w:r>
        <w:rPr>
          <w:rFonts w:ascii="arial" w:eastAsia="arial" w:hAnsi="arial" w:cs="arial"/>
          <w:color w:val="000000"/>
          <w:sz w:val="20"/>
          <w:lang w:val="en-US" w:eastAsia="en-US" w:bidi="ar-SA"/>
        </w:rPr>
        <w:t xml:space="preserve"> at para. 8). It is not necessary to demonstrate that the plaintiff would be able to prove the allegations to any other degree beyond showing that there may exist such a question or issue (MacMillan Bloedel v. Binstead </w:t>
      </w:r>
      <w:hyperlink r:id="rId836"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Lawrence Construction v. Fong, supra at para. 21). This is a low threshold. The court should be satisfied that the claim is not entirely frivolous (The Owners, Strata Plan LMS 989 v. Port Coquitlam (City of) et al., </w:t>
      </w:r>
      <w:hyperlink r:id="rId839" w:history="1">
        <w:r>
          <w:rPr>
            <w:rFonts w:ascii="arial" w:eastAsia="arial" w:hAnsi="arial" w:cs="arial"/>
            <w:i/>
            <w:color w:val="0077CC"/>
            <w:sz w:val="20"/>
            <w:u w:val="single"/>
            <w:shd w:val="clear" w:color="auto" w:fill="FFFFFF"/>
            <w:lang w:val="en-US" w:eastAsia="en-US" w:bidi="ar-SA"/>
          </w:rPr>
          <w:t>[2003] B.C.J. No. 2216</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2003 BCSC 1398</w:t>
        </w:r>
      </w:hyperlink>
      <w:r>
        <w:rPr>
          <w:rFonts w:ascii="arial" w:eastAsia="arial" w:hAnsi="arial" w:cs="arial"/>
          <w:color w:val="000000"/>
          <w:sz w:val="20"/>
          <w:lang w:val="en-US" w:eastAsia="en-US" w:bidi="ar-SA"/>
        </w:rPr>
        <w:t xml:space="preserve"> at para. 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am satisfied on this threshold issue that there exists a possible issue to be tried between the plaintiff and Winchester which relates to the same subject matter. In Strata Plan LMS 1816 v. North Fraser Holdings et al., </w:t>
      </w:r>
      <w:hyperlink r:id="rId840" w:history="1">
        <w:r>
          <w:rPr>
            <w:rFonts w:ascii="arial" w:eastAsia="arial" w:hAnsi="arial" w:cs="arial"/>
            <w:i/>
            <w:color w:val="0077CC"/>
            <w:sz w:val="20"/>
            <w:u w:val="single"/>
            <w:shd w:val="clear" w:color="auto" w:fill="FFFFFF"/>
            <w:lang w:val="en-US" w:eastAsia="en-US" w:bidi="ar-SA"/>
          </w:rPr>
          <w:t>[2004] B.C.J. No. 1214</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2004 BCSC 765</w:t>
        </w:r>
      </w:hyperlink>
      <w:r>
        <w:rPr>
          <w:rFonts w:ascii="arial" w:eastAsia="arial" w:hAnsi="arial" w:cs="arial"/>
          <w:color w:val="000000"/>
          <w:sz w:val="20"/>
          <w:lang w:val="en-US" w:eastAsia="en-US" w:bidi="ar-SA"/>
        </w:rPr>
        <w:t>, evidence that the proposed party had the same shareholders, registered offices, and places of business was sufficient to add a party alleged to be a partner or joint venturer. In Strata Plan VR2603 v. PK Property Management Inc. et al, supra, there were two letters written by the property manager addressed in care of the party to be added, the general contractor was the sole officer and direction of the party to be added, and the party to be added had been incorporated during construction of the development.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fact that the defendants, Polygon Development and Polygon Construction, are wholly owned and operated by Winchester, that they share the same records and registered offices and the same place of business, that they share many of the same directors and officers and that they are all involved in the business of real estate development and construction, goes to the reality of a partnership or joint venture issue. These facts plus the sales brochure linking the Madison project as "part of the Polygon Group" suggests a sufficient interrelationship to satisfy the threshold requirement.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finding is made keeping in mind that Winchester denied that a partnership exists and said that it was only a sole shareholder who may or may not have received a share of the profits from Madison through dividends. I appreciate that in Noel Developments Ltd. v. Metro-Can Construction (HS) Ltd., </w:t>
      </w:r>
      <w:hyperlink r:id="rId841" w:history="1">
        <w:r>
          <w:rPr>
            <w:rFonts w:ascii="arial" w:eastAsia="arial" w:hAnsi="arial" w:cs="arial"/>
            <w:i/>
            <w:color w:val="0077CC"/>
            <w:sz w:val="20"/>
            <w:u w:val="single"/>
            <w:shd w:val="clear" w:color="auto" w:fill="FFFFFF"/>
            <w:lang w:val="en-US" w:eastAsia="en-US" w:bidi="ar-SA"/>
          </w:rPr>
          <w:t>[1999] B.C.J. No. 2974</w:t>
        </w:r>
      </w:hyperlink>
      <w:r>
        <w:rPr>
          <w:rFonts w:ascii="arial" w:eastAsia="arial" w:hAnsi="arial" w:cs="arial"/>
          <w:color w:val="000000"/>
          <w:sz w:val="20"/>
          <w:lang w:val="en-US" w:eastAsia="en-US" w:bidi="ar-SA"/>
        </w:rPr>
        <w:t xml:space="preserve">, the plaintiff could not pierce the corporate veil to argue that the contract was actually with the parent company so that the parent could not be made a party to the subsidiary's contract on the facts of that case. That, however, was an application for judgment under Rule 18A where the court must weigh the evidence. The conclusions reached were specific to the facts of that case. The same can be said for Hayes v. British Columbia Television Broadcasting System Ltd., </w:t>
      </w:r>
      <w:hyperlink r:id="rId842" w:history="1">
        <w:r>
          <w:rPr>
            <w:rFonts w:ascii="arial" w:eastAsia="arial" w:hAnsi="arial" w:cs="arial"/>
            <w:i/>
            <w:color w:val="0077CC"/>
            <w:sz w:val="20"/>
            <w:u w:val="single"/>
            <w:shd w:val="clear" w:color="auto" w:fill="FFFFFF"/>
            <w:lang w:val="en-US" w:eastAsia="en-US" w:bidi="ar-SA"/>
          </w:rPr>
          <w:t>[1992] B.C.J. No. 2784</w:t>
        </w:r>
      </w:hyperlink>
      <w:r>
        <w:rPr>
          <w:rFonts w:ascii="arial" w:eastAsia="arial" w:hAnsi="arial" w:cs="arial"/>
          <w:color w:val="000000"/>
          <w:sz w:val="20"/>
          <w:lang w:val="en-US" w:eastAsia="en-US" w:bidi="ar-SA"/>
        </w:rPr>
        <w:t xml:space="preserve"> and Embrace-Air Inc. (c.o.b. Thiessen Group, an operating division of Embrace-Air Inc.) v. Western Star Trucks Holding Ltd., </w:t>
      </w:r>
      <w:hyperlink r:id="rId843" w:history="1">
        <w:r>
          <w:rPr>
            <w:rFonts w:ascii="arial" w:eastAsia="arial" w:hAnsi="arial" w:cs="arial"/>
            <w:i/>
            <w:color w:val="0077CC"/>
            <w:sz w:val="20"/>
            <w:u w:val="single"/>
            <w:shd w:val="clear" w:color="auto" w:fill="FFFFFF"/>
            <w:lang w:val="en-US" w:eastAsia="en-US" w:bidi="ar-SA"/>
          </w:rPr>
          <w:t>[2000] B.C.J. No. 386</w:t>
        </w:r>
      </w:hyperlink>
      <w:r>
        <w:rPr>
          <w:rFonts w:ascii="arial" w:eastAsia="arial" w:hAnsi="arial" w:cs="arial"/>
          <w:color w:val="000000"/>
          <w:sz w:val="20"/>
          <w:lang w:val="en-US" w:eastAsia="en-US" w:bidi="ar-SA"/>
        </w:rPr>
        <w:t>. While these cases suggest that the plaintiff's chance for success against Winchester at trial may be low, they do not establish that the plaintiff should be barred from adding Winchester as a defendant on the facts of this case. I am satisfied that the plaintiff has met the minimal evidential standard required by Rule 15(5)(a)(iii) to link Winchester to it and the claims raised in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Is it just and convenient in all of the circumstances to join Winchester as a party? Winchester has argued that there has been a lengthy delay for which the plaintiff has failed to provide sufficient explanation and that Winchester will suffer prejudice through loss of a limitation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Winchester has submitted that the limitation expired within 6 years of the first discovery of water leaks in 1994. The plaintiff has argued that the limitation period did not begin to run at least until the building envelope report was received on September 14,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Owners, Strata Plan VR2603 v. PK Property Management Inc. et al., supra at paras. 17-19, Madam Justice Sinclair Prowse considered a very similar situation and decided not to exercise her discretion under the Rule so that she was not satisfied that it would be just and convenient to dismiss the plaintiff's application on the basis that it would be statute barred. An application for leave to appeal this decision was dismissed (The Owners, Strata Plan VR2603 v. Bardi et al., </w:t>
      </w:r>
      <w:hyperlink r:id="rId844" w:history="1">
        <w:r>
          <w:rPr>
            <w:rFonts w:ascii="arial" w:eastAsia="arial" w:hAnsi="arial" w:cs="arial"/>
            <w:i/>
            <w:color w:val="0077CC"/>
            <w:sz w:val="20"/>
            <w:u w:val="single"/>
            <w:shd w:val="clear" w:color="auto" w:fill="FFFFFF"/>
            <w:lang w:val="en-US" w:eastAsia="en-US" w:bidi="ar-SA"/>
          </w:rPr>
          <w:t>[2003] B.C.J. No. 1642</w:t>
        </w:r>
      </w:hyperlink>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2003 BCCA 414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similarly, would not exercise my discretion on the basis of a limitation period in the circumstances here. No steps were taken between 1994 to 1998 because the claims were under the Polygon warranty. It was not until the reports in September and December 1998 that a systemic problem was realized.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Nor will I exercise my discretion because the plaintiff allegedly did nothing further in the action between March 7, 2002 to March 2003. This delay was adequately explained in waiting for correction of the effect of the Jefferson decision. The second delay, from March 2003 to May 2004, was due to the continued corporate searches to determine the relationship between Winchester and the corporate defendants. Although Winchester says that this relationship should have been known sooner through due diligence, it was not. The delay is approximately fourteen months from the initial corporate search to the filing of the application. There are no specific reasons given for this delay. However, this is not fatal (The Owners, Strata Plan LMS 989 v. Port Coquitlam (City of) et al., </w:t>
      </w:r>
      <w:hyperlink r:id="rId839" w:history="1">
        <w:r>
          <w:rPr>
            <w:rFonts w:ascii="arial" w:eastAsia="arial" w:hAnsi="arial" w:cs="arial"/>
            <w:i/>
            <w:color w:val="0077CC"/>
            <w:sz w:val="20"/>
            <w:u w:val="single"/>
            <w:shd w:val="clear" w:color="auto" w:fill="FFFFFF"/>
            <w:lang w:val="en-US" w:eastAsia="en-US" w:bidi="ar-SA"/>
          </w:rPr>
          <w:t>2003 BCSC 1398</w:t>
        </w:r>
      </w:hyperlink>
      <w:r>
        <w:rPr>
          <w:rFonts w:ascii="arial" w:eastAsia="arial" w:hAnsi="arial" w:cs="arial"/>
          <w:color w:val="000000"/>
          <w:sz w:val="20"/>
          <w:lang w:val="en-US" w:eastAsia="en-US" w:bidi="ar-SA"/>
        </w:rPr>
        <w:t xml:space="preserve"> at para. 23). Considering all of the circumstances, I do not find that Winchester has been prejudiced by the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at liberty to add Winchester Investments Ltd. and John Doe Ten as defendants to this proceeding and be granted leave to amend the Writ of Summons as set out in the materials. Costs of this application as against Winchester shall be in the cause against Winchester.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[2005] B.C.J. No. 2381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S76792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2381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et al, plaintiffs, and Homer Street Development Limited Partnership, Formerly Cressey (Homer) Limited Partnership, et al, defendants, and O'Neill Hotels &amp; Resorts Ltd., et al,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31"/>
      <w:bookmarkEnd w:id="260"/>
      <w:r>
        <w:rPr>
          <w:rFonts w:ascii="arial" w:eastAsia="arial" w:hAnsi="arial" w:cs="arial"/>
          <w:b/>
          <w:color w:val="000000"/>
          <w:sz w:val="20"/>
          <w:lang w:val="en-US" w:eastAsia="en-US" w:bidi="ar-SA"/>
        </w:rPr>
        <w:t>Civil procedure — Actions — Case management — The plaintiff's motion to have the trial proceed in stages was successful, as there was a real advantage in terms of saving expenses for all parties and a potential savings in court time no matter how the first stage was decided — Civil procedure — Trials — Severance of issues or parties — The plaintiff's motion to have the trial proceed in stages was successful, as there was a real advantage in terms of saving expenses for all parties and a potential savings in court time no matter how the first stage was decided.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29"/>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were investors who alleged, among other things, the defendant developers had breached express or implied warranties in the disclosure statement of their agreement -- The plaintiffs moved for an order that certain issues in its claims be decided in stages, and sought orders limiting discovery until the first stage was completed -- HELD: The court allowed the investors to go forward at a first stage on the issue of whether there was a negligent misrepresentation by one or more of the defendants in the projections for the inclusion in the disclosure statement and whether the projections constituted collateral contracts or warranties as promises of fulfillment -- The court did not allow the issue of faulty management and faulty construction to go forward at the first stage as they would unduly complicate things -- There was no need for any document production by the plaintiffs nor any examination for discovery of any plaintiff, as all of the evidence on the projections would come through documents and examinations of the defendants -- There was a real advantage to proceeding in stages regardless of the outcome of the first stage in terms of saving expenses for all parties, and a potential savings in court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4"/>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 Rule 39(29)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440" w:history="1">
        <w:r>
          <w:rPr>
            <w:rFonts w:ascii="arial" w:eastAsia="arial" w:hAnsi="arial" w:cs="arial"/>
            <w:i/>
            <w:color w:val="0077CC"/>
            <w:sz w:val="20"/>
            <w:u w:val="single"/>
            <w:shd w:val="clear" w:color="auto" w:fill="FFFFFF"/>
            <w:lang w:val="en-US" w:eastAsia="en-US" w:bidi="ar-SA"/>
          </w:rPr>
          <w:t>R.S.B.C. 1996, c. 397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Services Act, S.B.C. c. 42 s. 146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42"/>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plaintiffs:B.W. Dixon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O'Neill Hotels &amp; Resorts Ltd., OHR Grand Management, Robert F. O'Neill and John C. O'Neill: A.D. Borrell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Developers: D.C. Harbottle J.H. Bryant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MM&amp;R Valuation Services, Inc. doing business as HVS Hospitality Valuation Services, Canada: C.M. York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2"/>
      <w:bookmarkEnd w:id="264"/>
      <w:r>
        <w:pict>
          <v:line id="_x0000_s1215"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TRUSCOTT J."/>
            <w:bookmarkEnd w:id="265"/>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at a case management conference for an order that certain issues in its claims be determined at a first stage before other issues that are to be deferred for later determination at a second stage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connection with its application the plaintiffs seek orders deferring or restricting examinations for discovery and discovery of documents from them until the first stage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rely upon a number of British Columbia, Rules of Court in this application including Rule 26(15) which provides the court with the authority to order that issues or questions be determined before discovery or inspection of documents, and Rule 39(29) that authorizes the court to order one or more questions of fact or law be tried and determined before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Rule 1(5) is also relevant. It states the object of the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opposition to the plaintiffs' applications, the defendant developers apply for document discovery and examination for discovery of six individual plaintiffs. By previous order of the court, that application had been stayed pending determination by the case management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defendants oppose the plaintiffs' applications and generally support the developer's application with variations.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in this action consist of "The Owners, Strata Plan LMS 3851", a strata corporation, and 181 individual plaintiffs (referred to hereafter as "the investors") who apparently own 131 strata lots or hotel suites in a hotel development in Vancouver known as the Westin Grand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alleged that the strata units in the hotel were marketed by the developers in a disclosure statement dated November 8, 1996 issued by the developers and authorized by the Real Estate Act, </w:t>
      </w:r>
      <w:hyperlink r:id="rId440"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as rep. by Real Estate Services Act, S.B.C., c. 42, s. 146, effective Jan.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disclosure statement attached Exhibit M, a financial projection for the years ending December 31, 1999 through December 31, 2003 and the disclosure statement described the financial projection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Financial Projection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financial projection (the "Projection") attached as Exhibit M to this Disclosure Statement was prepared by O'Neill for approval by the management committee of the Developer on November 8, 1996. The Projection has been prepared based on assumptions and hypotheses which reflect the course of action planned by the Developer and O'Neill for the period covered by the Projection (the "Projection Period") given the judgment of the management committee of the Developer and management of O'Neill as of November 8, 1996, as to the most probable set of economic conditions. The Projection has been prepared solely to provide information to prospective purchasers of the Hotel Lots. An Auditor's Report on the Projection is included as part of Exhibit M and a hotel appraiser's opinion letter as to the reasonableness of the Projection is included as Exhibit 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reader is cautioned that some of the assumptions and hypotheses used in the preparation of the Projection, although considered reasonable by the Developer and O'Neill at the time of preparation, may prove to be incorrect. The actual results achieved for the Projection Period will vary from the Projection and the variations may be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Exhibit M projected a cash return to an investor on certain assumptions at over 10% for each of the years 1999-2003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notes to the financial projections in Exhibit M, included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accompanying financial projection has been prepared on the basis of the following hypotheses and assumptions provided by the management of O'Neill Hotels &amp; Resorts, Ltd. and the management committee of The Grand Development Partnership as of November 8, 1996. The assumptions used in the preparation of the financial projection are based on management's judgment as to the most probable set of economic conditions if the hypotheses below are realized. The hypotheses are assumptions which are consistent with management's intended course of action and represent plausible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assumptions disclosed herein are those that management believes are significant to the projection. The assumptions are inherently subject to uncertainty and variations depending on evolving events and circumstances occurring subsequent to the date of this projection. This financial projection is based on hypotheses and there is a risk that actual results will vary, perhaps materially, from the results projected.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projection is prepared for inclusion in the disclosure statement dated November 8, 1996 with respect to an offering of 207 hotel strata lots by The Grand Development Partnership and may not be appropriate for other purposes. Management does not intend to update this projection subsequent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disclosure statement required each hotel lot owner to enter into a hotel management and rental pool agreement with O'Neill Hotels &amp; Resorts, Ltd., (referred to hereafter as "OHR") substantially in a form attached as Exhibit K to the disclosure statement. The investors allege they entered into this agreement with a subsidiary of OHR, being OHR Grand Management Ltd. (referred to hereafter as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disclosure statement also attached as Exhibit N, a letter of November 8, 1996 from MM&amp;R Valuation Services, Inc., doing business as HVS Hospitality Valuation Services, Canada (referred to hereafter as "HVS"). The letter stated that the hotel's annual operating projections for the initial five years (only as to the operating income before debt service) had been reviewed and the opinion was given that they were reasonable and achievable.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disclosure statement was amended twice, once on July 8, 1997 and once on March 19, 1999, before completion of the sales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investors allege that the developers, their directors and OHR expressly or impliedly represented and warranted to them by the disclosure statement that:</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on investment would be sufficient to cover each Investor's assumed 75% mortgage plus cash returns on an assumed 25% down payment of 11.5% in 1999, 10.4% in 2000, 13.1% in 2001, 11.5% in 2002, and 11.5% in 2003 (the "Projections");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undisclosed material facts that would, or might, prevent the Projections from being realized or seriously undermine the accuracy of the Projections;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would, in the absence of a material unforeseeable change in circumstances, be achieved;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assumptions and hypotheses on which the Projections were based were reasonable and reflected circumstances that were likely to exist;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had been prepared in good faith, using reasonable care and skill, objectively and independently and had not been prepared or adjusted so as to unreasonably or artificially increase the projected returns to Investors;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31(a) - (e) of the Amended Statement of Claim filed January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investors also allege that by the disclosure statement the developers and directors expressly or impliedly represented and warranted to the investors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 would be operated in conjunction with the Project, but would be independently owned and operated.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31(f)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Against HVS the investors allege that its opinion letter of November 8, 1996 was intended to form part of the disclosure statement and HVS impliedly represented that its opinion was prepared with reasonable care and skill and there were no undisclosed material facts that would, or might prevent the projections from being reasonable and achievable, or prevent the project from performing well. (Paragraph 36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investors also allege that by the time of the second amendment to the disclosure statement the developers knew or ought to have known that the assumptions underlying the projections, including issues with respect to the restaurant, had been fundamentally changed, and this was not disclosed to the investors. This allegation of failing to disclose facts, circumstances and risks of which they were aware prior to completion is also made against OHR, OHR Grand and HVS. (Paragraphs 49-53; 54(c), and 56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investors allege that the same representations and warranties were also made to them in marketing brochures and newsletters distributed by the developer's sales agents in 1996 and 1998. (Paragraph 34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Each of the individual investors say that they entered into sales agreements with the developer, and the disclosure statement and its representations and warranties were incorporated by reference to become part of the sales agreement. Alternatively it is alleged they became warranties or contracts collateral to the sales agreement. (Paragraphs 40-41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further alleged that the sales agreements or the collateral agreements contained implied terms that developers would at all times act in good faith and not do anything to jeopardize the projections and use their best efforts to see that the projections were achieved. (Paragraphs 42-43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alleged that following completion of their purchases the actual returns to the investors never approached the projections that they say they relied upon in entering into their contracts and it is alleged that the projections, representations and warranties and HVS representations were false, inaccurate and misleading and the defendants breached their duties to the investors. (Paragraphs 45-53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Against the developers and their directors the investors claim the benefit of s. 75 of the Real Estate Act that states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"prospectus" includes every statement and report and summary of report required to be filed with the prospectus under this Part.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prospectus has been accepted for filing by the superintendent under this Part,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purchaser of any part of the subdivided land, shared interests in land or time share interests to which the prospectus relates is deemed to have relied on the representations made in the prospectus whether the purchaser has received the prospectus or not,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material false statement is contained in the prospectus,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director of the developer at the time of the issue of the prospectus,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having authorized the naming, is named in the prospectus as a director of the developer,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developer,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has authorized the issue of the prospectus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is liable to compensate all persons who have purchased the subdivided land, shared interests in land or time share interests for any loss or damage those persons may have sustained, unless it is proved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consented to become a director of the developer, the person withdrew the consent before the issue of the prospectus, and that the prospectus was issued without the person's authority or consent,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prospectus was issued without the person's knowledge or consent, and that, on becoming aware of its issue, the person immediately gave reasonable public notice that it was so issued,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after the issue of the prospectus and before a sale of the subdivided land, shared interests in land or time share interests the person, on becoming aware of any untrue statement in it, withdrew the person's consent to it and gave reasonable public notice of the withdrawal and of the reason for it.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not purporting to be made on the authority of an expert, or of a public official document or statement, the person had reasonable grounds to believe and did, up to the time of the sale of the subdivided land, shared interests in land or time share interests believe that the statement was true.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purporting to be a statement by or contained in what purports to be a copy of or extract from a report or valuation of an expert, it fairly represented the statement, or was a correct and fair copy or extract from a report or valuation, but the director, person named as director, developer or person who authorized the issue of the prospectus is liable to pay compensation as aforesaid if it is proved that he, she or it had no reasonable grounds to believe that the person making the statement, report or valuation was competent to make it, or</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purporting to be a statement made by an official person or contained in what purports to be a copy of or extract from a public official document, it was a correct and fair representation of the statement or copy of or extract from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investors also allege a breach of the hotel management agreement by OHR Grand and a breach of fiduciary duties owed by OHR Grand to them. (Paragraphs 61-68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they allege against the developers that they were in breach of contract and negligent in relation to defects in the building. (Paragraphs 69-72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investors seek an order that issues of actual reliance on representations by the investors and issues of damages or other remedies be deferred until after the trial of all other issues, submitting that all other issues do not require evidence from individual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consider it more appropriate to look at what exactly is proposed to be tried first as opposed to what is proposed to be tried second, in order to determine what issues may require evidence from individual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understand it the plaintiffs wish to have tried first the following issues: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projections in the disclosure statement can constitute representations or warranties actionable at law;</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projections can constitute representations or warranties actionable at law what duty of care and standard of care did the developers owe to the investors in making those projections as part of the disclosure statement;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projections can constitute representations or warranties actionable at law, what duty of care and standard of care did OHR and HVS owe to the investors with respect to the projections contained within the disclosure statement;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satisfy their duties of care with respect to the making of the projections and did any of them breach their duties of care;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projections form part of the sales agreements or constitute collateral contracts or warranties;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relevant express and implied terms of the sales agreements;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express and implied terms of the hotel management agreement with OHR Grand and were they breached. Did OHR Grand owe any fiduciary duties to the individual investors and were they breached;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sales agreements contain express or implied terms or warranties as to the standard of construction of the project and were they breached by the developer. Was the developer negligent in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developers in their amended statement of defence filed February 15, 2005 inter alia deny that all the investors were original purchasers, deny that the investors actually relied on the projections in the disclosure statement, deny that the investors are entitled to the deemed reliance under s. 75 of the Real Estate Act because one or more of them recognized before completion that the projections would not be achievable, and allege that the investors themselves were totally or partly responsible for the failure of the projections to be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developers submit before me that the critical issue in this case is why the projections were not realized. They rely on the decision of this court in Litwin Construction (1973) Ltd. v. Kiss </w:t>
      </w:r>
      <w:hyperlink r:id="rId852" w:history="1">
        <w:r>
          <w:rPr>
            <w:rFonts w:ascii="arial" w:eastAsia="arial" w:hAnsi="arial" w:cs="arial"/>
            <w:i/>
            <w:color w:val="0077CC"/>
            <w:sz w:val="20"/>
            <w:u w:val="single"/>
            <w:shd w:val="clear" w:color="auto" w:fill="FFFFFF"/>
            <w:lang w:val="en-US" w:eastAsia="en-US" w:bidi="ar-SA"/>
          </w:rPr>
          <w:t>(1986), 4 B.C.L.R. (2d) 83</w:t>
        </w:r>
      </w:hyperlink>
      <w:r>
        <w:rPr>
          <w:rFonts w:ascii="arial" w:eastAsia="arial" w:hAnsi="arial" w:cs="arial"/>
          <w:color w:val="000000"/>
          <w:sz w:val="20"/>
          <w:lang w:val="en-US" w:eastAsia="en-US" w:bidi="ar-SA"/>
        </w:rPr>
        <w:t>, where Macdonald J. found that the investment failed because of the risks inherent in it and not because of any fault of Litwin. He found that the projections in the marketing brochure were not facts and the investors had to establish misrepresentation of facts. Because they were mere projections they could not support the defence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to be observed, however, as the investors counsel pointed out, that Macdonald J. went on to say that there was no evidence that the projections were anything but honestly entertained by its authors and they were reasonable at the time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Litwin was a 1986 decision of this court. The investors rely upon a 2004 decision of the Ontario Supreme Court of Justice in Kerr v. Danier Leather Inc. </w:t>
      </w:r>
      <w:hyperlink r:id="rId853" w:history="1">
        <w:r>
          <w:rPr>
            <w:rFonts w:ascii="arial" w:eastAsia="arial" w:hAnsi="arial" w:cs="arial"/>
            <w:i/>
            <w:color w:val="0077CC"/>
            <w:sz w:val="20"/>
            <w:u w:val="single"/>
            <w:shd w:val="clear" w:color="auto" w:fill="FFFFFF"/>
            <w:lang w:val="en-US" w:eastAsia="en-US" w:bidi="ar-SA"/>
          </w:rPr>
          <w:t>(2004), 23 C.C.L.T. (3d) 77</w:t>
        </w:r>
      </w:hyperlink>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46 B.L.R. (3d) 167</w:t>
        </w:r>
      </w:hyperlink>
      <w:r>
        <w:rPr>
          <w:rFonts w:ascii="arial" w:eastAsia="arial" w:hAnsi="arial" w:cs="arial"/>
          <w:color w:val="000000"/>
          <w:sz w:val="20"/>
          <w:lang w:val="en-US" w:eastAsia="en-US" w:bidi="ar-SA"/>
        </w:rPr>
        <w:t xml:space="preserve"> (Ont. Ct. of Justice), where the court imposed standards of honest and reasonable belief and reasonable care and skill on the preparation of projections in a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developers say that this application is not the time to argue the merits of Kerr over Litwin and the investors agree with this. The investors suggest that the issue of the status of these projections can be determined as part of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developers say that they have possession of undisclosed documentation of a group of investors from 1997 that indicates that they were already questioning the basis for the projections, and therefore the actual reliance by the investors on the projections through to completion in 1999 must be relevant to a consideration of the deemed reliance set out in s. 75 of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investors respond that the developers can take the position that s. 75 is not operable because of no actual reliance after the first trial that will not involve any issues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investors say that why the projections were not realized is irrelevant to the primary issue of whether the projections contained actionable representations and whether the duty of care in preparing them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They say that if the projections contained actionable representations and the duty of care in preparing them was not met, then the investors have a foundation for going on to prove that they did actually rely on the projections in entering into the sales agreements or they are entitled to the deemed reliance against the developers and their directors set out in s. 75 of the Real Estate Act, and they would never have entered into the sales agreements and suffered the losses that they did, regardless of the ultimate reasons for those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other hand, the investors say that if the projections contained actionable representations and the required duty of care was met in the preparation of the projections, then all they will be left with in the lawsuit is the claim against OHR Grand for hotel mismanagement and the claim against the developers for faulty construction. The investors say that the alleged representations and warranties in the marketing material are the same and no different than the representations and warranties in the disclosure statement and therefore determining the reasonableness of the representations and warranties in the disclosure statement will determine that issue for the marketing brochures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I agree with this analysis by the investors as far as the claim of negligent misrepresentation against the defendants is made for the projections in the disclosure statement, the investors have also pleaded warranty against the developers, their directors and OHR with respect to the projections in [paragraph]31 of the amended statement of claim, and have pleaded breach of the sales agreements and warranties and agreements collateral thereto with respect to the projections, against the developers in [paragraph]58 of the amended statement of claim, including the allegation in (a) that it was a breach of the sales agreements, warranties or agreements collateral thereto that the returns to the investors set out in the projections were not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claim of warranty or contract suggests that a party promised a result and a claim of breach of warranty or contract requires proof that the party breached the warranty or contract by failing to produce the result promised. This would bring into consideration why the projections were never realized, including the investors'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OHR and OHR Grand deny in their statement of defence filed March 11, 2005 that they were responsible for any representations and warranties in the disclosure statement, that they owed the investors any duties of care with respect to the alleged representations and warranties, and that the investors relied on them. In any event they also say that their representations and warranties were reasonably achievable when made, were made with reasonable care and skill, and were made objectively, independently, honestly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issue of the management of the hotel, OHR Grand denies any breach of any express or implied terms of the management agreement and denies any fiduciary duties to the investors. It says that all expenditures were within the scope of the operating plan and budget for each year approved by the strata council representing each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building deficiency claim it is alleged that individual investors may have made observations and had input and that may have been important for the decisions that were made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OHR and OHR Grand allege that any misrepresentation for which it has any responsibility must have been reasonably relied upon by each investor in turn because the investors are not entitled to any deemed reliance against them by virtue of s. 75 of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investors respond that most of the submissions of OHR and OHR Grand relate to the issue of reliance by the investors which is proposed for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investors submit that if OHR and OHR Grand have responsibility for the representations and warranties in the disclosure statement and they breached a duty of care with respect to their preparation then again the issue of the investors' reliance on the representations and warranties in the disclosure statement will be part of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investors submit on the building deficiency claims, against the developers only, that any involvement of them would have flowed through the strata council for the strata corporation and the defendants are entitled to examine a representative of the strata council on this issue and make application afterwards for a second examination if that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investors take the same position with respect to the issue of mismanagement by OHR Grand. The disclosure statement required the operating plan and budget for the following year to be reviewed by the manager with the strata corporation, being the strata council on its behalf, and if there was any responsibility of the owners for the operating plan and budget they say it would have been through the strata council. Again, the investors offer the defendants documents and discovery from the strata council through a representative with the right to apply for further examination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HVS adopts the submissions of OHR. It points out that the investors must prove reasonable reliance against it for any representations and warranties for which it has responsibility. It also submits that the reasons why the projections were not achieved and the role of the plaintiffs in that are important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HVS submits that the issue of actual reliance is part of the duty of care issue at law, on the authority of Hercules Management Ltd. v. Earnst &amp; Young, </w:t>
      </w:r>
      <w:hyperlink r:id="rId44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investors point out, however, that Hercules defined a duty of care to exist where (a) the defendant ought reasonably to have foreseen that the plaintiff would rely on his representation and (b) reliance by the plaintiff, in the circumstances, would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They submit that actual reliance is not involved in the duty of care but only the issue of what would be reasonable reliance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agree with the investors on this issue. I recognize that in Hercules two further requirements were spoken of as being added to the duty of care for policy reasons, but I do not see how those two further requirements are of any assistance on the circumstances of this case as I understand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persuaded to allow the investors to go forward at a first stage on the issue of whether there was a negligent misrepresentation by one or more of the defendants in the projections for inclusion in the disclosure statement and whether the projections constituted collateral contracts or warranties as promises of fulfillment. I am assuming that the plaintiffs intended to allege a duty to fulfill the projections, by their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not persuaded to allow the claims of mismanagement and breach of fiduciary duty against OHR Grand and faulty construction by the developers to go forward at the first stage. Including the issue of management and faulty construction at the first stage would unduly complicate the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issue of negligent misrepresentation by any of the defendants by the projections, I see no need for any document production by the plaintiffs nor any examination for discovery of any plaintiff. All of the evidence on the projections would come through documents and examinations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see a real advantage to this procedure in terms of saving legal expense for all parties, particularly the investors at the first stage. It also may result in a saving of significant court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the investors are successful at the first stage in proving a negligent misrepresentation against any of the defendants, then a second stage dealing with any more than the issue of actual reliance and damages, may not be necessary, because on the negligent misrepresentation plea the result claimed on actual reliance or deemed reliance under s. 75 of the Real Estate Act, is that the investors would not have entered into the sales agreements in the first place and therefore seek a return of some or all of their purchase monies, regardless of the issue of construction of the development or the actual running of the hotel. If the investors can prove the projections are elevated to constitute collateral contracts or warranties as promises of fulfillment, any breach can be determined at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Alternatively, if the investors are not successful at the first stage in proving a negligent misrepresentation against any of the defendants or a contract or warranty as a promise of fulfillment, then they would be left at a second stage with only the claims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developers in the construction of the development and breach of the hotel management agreement and/or breach of fiduciary duty by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give liberty to any of the parties to bring to my attention any issue in these reasons that has not been canvassed but I am not prepared to change my decision on what will be involved at the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also give liberty to any of the parties to revisit these reasons if the amended statement of claim should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Surespan Structures Ltd. v. Lloyds Underwriters, [2020] B.C.J. No. 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W.K. Branch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11-12 and October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S1810530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CarswellBC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Surespan Structures Ltd., Plaintiff, and Lloyds Underwriters, QBE Lloyd's Syndicate 1886 and QBE Lloyd's Syndicate DCH 386,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jc w:val="both"/>
        <w:rPr>
          <w:rFonts w:ascii="arial" w:eastAsia="arial" w:hAnsi="arial" w:cs="arial"/>
          <w:sz w:val="20"/>
          <w:lang w:val="en-US" w:eastAsia="en-US" w:bidi="ar-SA"/>
        </w:rPr>
      </w:pPr>
      <w:bookmarkStart w:id="266" w:name="Counsel_43"/>
      <w:bookmarkEnd w:id="2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Johanson, D. Miachika.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Smith, E. Barchuk.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Stantec Architecture Ltd.: J. Singleton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43"/>
      <w:bookmarkEnd w:id="267"/>
      <w:r>
        <w:pict>
          <v:line id="_x0000_s1218"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Parkade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Parkade Remediation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QBE's Response to Surespan's Request for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Stantec's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QBE's Own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 Remaining at the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Principles of Insurance Policy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Applicability of the Limit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Generally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Applicability of the Limit to Certain Coverages Only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Limits of Liability Clause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Declarations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Limit Requirement Preamble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Declarations Limit Language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CLAIM v. claim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 Aggregate"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Costs and Expenses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Redundancy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Case Law and Academic Commentary on the Treatment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Declarations</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Insurer Intention and Mistake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if the Policy is Properly Found to be Ambiguous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Reductions to the Available Limit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Generally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did Stantec and Surespan's Expenses Pass the Post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 the Amount Payable be Determined at this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Rest of the Horse Race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QBE's Claim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 Financing and Legal Fee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this Judgment on Stantec's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W.K. BRANCH J."/>
            <w:bookmarkEnd w:id="268"/>
            <w:r>
              <w:rPr>
                <w:rFonts w:ascii="arial" w:eastAsia="arial" w:hAnsi="arial" w:cs="arial"/>
                <w:b/>
                <w:color w:val="000000"/>
                <w:sz w:val="30"/>
                <w:lang w:val="en-US" w:eastAsia="en-US" w:bidi="ar-SA"/>
              </w:rPr>
              <w:t>W.K. BRANCH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summary trial application seeks the interpretation of a construction project insurance policy. The core issue is whether any limit exists on the amount payable under the policy's "mitigation of loss" coverage. For the reasons expressed below, I find that the insurer failed to provide for a limit on this type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Surespan Structures Ltd. ("Surespan"), is a design-build contractor. Its work includes designing, manufacturing, and erecting precast concrete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25, 2014, the Vancouver Island Health Authority entered into an agreement with THP Partnership ("Project Co.") whereby Project Co. agreed to design, build, finance, maintain and perform life cycle rehabilitation for two new acute care facilities and associated parkades in Campbell River and Comox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Project Co. subcontracted the design-build portion of the Project to Graham Design Builders LP ("Graham"), pursuant to a design services agreement (the "DSA").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Graham in turn engaged Stantec Architecture Ltd. ("Stantec") to undertake the design portion of the Project and to retain the necessary sub-consultants. Graham also entered into subcontracts with Surespan whereby Surespan agreed to provide services regarding the parkade structures, including the design, supply and installation of all the precast concrete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Surespan then entered into its own subcontracts with HGS Limited ("HGS"), whereby HGS agreed to perform professional services with respect to the design of the parkades.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Parkade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November and early December 2016, Graham advised Surespan of the discovery of cracks in the load-bearing precast elements of the parkades (the "Parkade Defects") and asked Surespan to investigate. Surespan notified HGS of the Parkade Defects and sought its input on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24, 2017, Graham demanded that Surespan repair the Parkade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Surespan engaged a structural engineer, Kassian Dyck &amp; Associates ("KDA"), to review HGS's design and remediation recommendations. KDA prepared a report that identified a series of errors made by HGS.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Parkade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HGS produced designs for the remedial work to address the Parkade Defects. KDA reviewed and revised these recommendations (the "Remediation Design"). Graham requested that Surespan perform remediation work in accordance with the Remediation Design in order to satisfy its obligations under its subcontract and to mitigate the Project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Surespan undertook the remedial work. Surespan incurred over $9.9 million in this effort. Surespan borrowed money to help finance this work and incurred financing charges as a result. Surespan sought reimbursement for the amounts it expended under an insurance policy issued by the defendants ("QBE").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Pursuant to the DSA, Graham was required to obtain project specific professional liability insurance to cover not just Stantec and its sub-consultants, but all other consultants providing services to Graham. Graham obtained the Project Professional Liability Policy No. SPRO10778 (the "Policy") from QBE covering all parties providing professional services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Policy has a series of declarations pages (the "Declarations"). On the top of each Declarations page is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COMMERCIAL INSURANCE POLICY CONSISTS OF THIS (THESE) DECLARATION PAGE(S) ALONG WITH THE "GENERAL CONDITIONS" (OR "STATUTORY CONDITIONS"), AS WELL AS ALL COVERAGE WORDINGS, RIDERS OR ENDORSEMENTS THAT ARE ATTACHED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certain other heading language, the following appears near the top of each Declarations page, in very small type: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IS PROVIDED ONLY FOR THOSE COVERAGES FOR WHICH A SPECIFIC LIMIT OF INSURANCE IS SHOWN - ON TERMS AND CONDITIONS CONTAINED IN THE FORMS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other material aspects of the Declarations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Professional Liability (Claims Made)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Type of professional services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Consultant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Limit of Liability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Any one claim and in the aggregate including costs and expenses 10,000,000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Deductible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Any one claim including costs and expenses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provision of insurance coverage is found in the body of the Policy, which follows the Declarations: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 II - </w:t>
      </w:r>
      <w:r>
        <w:rPr>
          <w:rFonts w:ascii="arial" w:eastAsia="arial" w:hAnsi="arial" w:cs="arial"/>
          <w:color w:val="000000"/>
          <w:sz w:val="20"/>
          <w:u w:val="single"/>
          <w:lang w:val="en-US" w:eastAsia="en-US" w:bidi="ar-SA"/>
        </w:rPr>
        <w:t>INSURANCE COVERAGE</w:t>
      </w:r>
      <w:r>
        <w:rPr>
          <w:rFonts w:ascii="arial" w:eastAsia="arial" w:hAnsi="arial" w:cs="arial"/>
          <w:color w:val="000000"/>
          <w:sz w:val="20"/>
          <w:lang w:val="en-US" w:eastAsia="en-US" w:bidi="ar-SA"/>
        </w:rPr>
        <w:t xml:space="preserve"> THE INSURER'S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 is formally undertaking to fulfil the following four (4) obligations for the INSURED'S benefit. The INSURED'S POLICY EXCESS applies to all the obligations.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excess of the INSURED'S EXCESS, THE INSURER will pay on behalf of the INSURED all sums which the INSURED becomes liable to pay as DAMAGES arising out of a CLAIM In regard to the PROJECT, providing the INSURED'S liability is the result of an error, omission or negligent act of the INSURED or those employees or sub-consultants or sub-contractors for whom the INSURED is legally liable, in the performance of PROFESSIONAL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maximum amount THE INSURER will pay for each CLAIM and in the aggregate for all CLAIMS made against the INSURED during the POLICY PERIOD and covered by this POLICY is, no matter how many INSUREDS there are under this POLICY or how many persons or organizations make a CLAIM, as shown on the SCHEDULE page of this POLICY as the Limits of Liability per CLAIM and Aggregate Amount Payable respectively.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 OF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INSURERS will additionally indemnify the INSURED against the costs of remedying defects in the WORKS in order to fulfil contracts undertaken for others where such costs are necessarily incurred prior to SUBSTANTIAL COMPLETION with the prior written consent of THE INSURER (such consent not to be unreasonably withheld).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Provided that such defect in the WORKS must result from an error, omission or negligent act in the performance of PROFESSIONAL SERVICES by the INSURED or those employees or sub-consultants for whom the INSURED is legally liable and the onus of satisfying this provision rests with the INSURED.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INSURER has the obligation and right to defend the INSURED in any civil suit or arbitration proceeding arising out of a CLAIM in regard to the PROJECT for which coverage is provided by this POLICY, even if the allegations against the INSURED are groundless, false or fraudulent. THE INSURER will conduct such investigation, negotiations and defence as it deems expedient. THE INSURER'S obligations to defend the INSURED cease as soon as THE INSURER'S Limits of Liability have been exhausted.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SUPPLEMENTARY PAYMENTS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Until THE INSURER'S Limits of Liability have been exhausted, THE INSURER will pay, for each CLAIM covered by this POLICY, the following: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EXPENSES;</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premiums on appeal bonds and bonds to release attachments, where such bonds are in regard to judgements which ought reasonably to be appealed and which fall within the remaining Limits of Liability at the time of appeal or attachment. THE INSURER has no obligation to furnish such bonds but only to pay the premiums thereon;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taxed against the INSURED, all court and arbitration costs owed by the INSURED, and all interest upon that part of the judgement which falls within the remaining Limits of Liability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refer to the coverages numbered 1 to 4 as the "Damage Coverage", the "Mitigation of Loss Coverage", the "Defence Costs Coverage" and the "Supplementary Payments Coverage"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subsequent clause in the body of the Policy speaks to the question of the limits of liability (the "Limits of Liability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LIMITS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maximum amount THE INSURER will pay for each CLAIM and in the aggregate for all CLAIMS made against the INSURED during the POLICY PERIOD and covered by this POLICY are, no matter how many INSUREDS there are under this POLICY or how many persons or organizations make a CLAIM, as shown in the Schedule Page of this POLICY as the Limits of Liability per CLAIM and in the aggregate for the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obligations to defend and make supplementary payments is included in the INSURER'S Limits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relevant part of the schedule referenced in the Limits of Liability Clause (the "Schedule") states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Project Specific Professional Liability Insurance Schedule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 of indemnity: CAD $10,000,000 any one claim and in the aggregate including costs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policy has a provision addressing the time when actions can be brought against the insurer (the "Action Against Insurer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AGAINST THE INSURER: No action shall lie against THE INSURER unless as a condition precedent thereto ... the amount of the INSURED'S obligation to pay has been finally determined either by judgment against the INSURED after actual trial or by written agreement between the INSURED, THE INSURER and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policy includes a clause regarding the policy period (the "Policy Period Clause") the material terms of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covers CLAIMS made against the INSURED for the first time during the POLICY PERIOD no matter when the actual or alleged error, omission or negligent act took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for the protection of the INSURED, if during the POLICY PERIOD circumstances of an error, omission, or negligent act which any reasonable person or organization would expect to subsequently give rise to a CLAIM are reported to THE INSURER, then THE INSURER will consider these a CLAIM even if a formal demand is advanced against the INSURED only after the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such CLAIM shall be subject to the Limits of Liability and EXCESS in effect at the time the circumstances were reported to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Policy defines the material terms as follows (the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 1 - </w:t>
      </w:r>
      <w:r>
        <w:rPr>
          <w:rFonts w:ascii="arial" w:eastAsia="arial" w:hAnsi="arial" w:cs="arial"/>
          <w:color w:val="000000"/>
          <w:sz w:val="20"/>
          <w:u w:val="single"/>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this POLICY certain words have been capitalized to indicate that they have a specific meaning as shown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or an oral demand for money or services, or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or an oral allegation of breach in the rendering or failure to render PROFESSIONAL SERVICES; received by the INSURED and resulting from a single error, omission or negligent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arising from a single error, omission or negligent act shall be considered a single CLAIM regardless of the number of INSUREDS or the number of persons or organizations making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expenses THE INSURER incurs to investigate, defend, mitigate, settle, arbitrate, or litigate a CLAIM covered by this POLICY. This includes costs and fees for the hiring of investigators, adjusters, experts, consultants, arbitrators, mediators, and lawyers and also court and arbitration costs and costs for the attendance of witnesses other than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 payable to claimants but does not include interest, fines, penalties (whether contractual or other), or liquidated, punitive or exemplary damages, or fees which have either not been paid to the INSURED or which the INSURED has been asked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PROFESSIONAL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as part of or incidental to the INSURED's business as building or engineering contractors ... the PROFESSIONAL SERVICES ... shall be defined as those services specifically described in the application which THE INSURED is legally qualified to perform for others, including but not limited to PROFESSIONAL SERVICES as an: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architect or engineer;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specialist engaged in a building science related to the construction process.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QBE's Response to Surespan's Request for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13, 2017, Surespan gave notice to QBE of potential costs that would need to be incurred to remediate the parkades. Surespan sought QBE's consent to incur repair costs without prejudice to the QBE's other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30, 2017, having received no response, Surespan again wrote to QBE requesting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QBE did not respond until March 31, 2017 when it wrote to Surespan acknowledging the request, but denying coverage on the basis that Surespan was not a named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August 2, 2017, Surespan brought an action against HGS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"HGS Litigation"). HGS then advanced third party claims against Stantec and KDA on September 8, 2017. Graham was added as a defendant on April 24, 2018. On November 21, 2018, Graham advanced a third party claim against HGS and a counter-claim against Surespan.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29, 2017, Surespan filed a Petition (the "Surespan Petition"), seeking a declaration that it was insured under the Policy. HGS filed a similar petition. On June 27, 2018, Justice Winteringham issued an order (the "Winteringham Order"), declaring that: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Surespan and HGS are each an insured under the Policy;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30 January 2017, QBE received a notice of a claim and a claim for coverage under the Policy from Surespan and HGS;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QBE, having received Surespan's notice of claim, was required to provide its written position on coverage and the reasons for it, and pay all covered claims within 60 days of the order, i.e. by 27 August 2018;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consent, Surespan would receive special costs for the hearing of the Surespan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15, 2018, on behalf of QBE, Charles Taylor Adjusting (the "Adjuster") contacted Surespan for the first time. The Adjuster requested additional information. Surespan provided that information. Thereafter, the Adjuster requested, and Surespan provided, further information about Surespan's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20, 2018, QBE requested from Surespan an extension of the time to pay the claim under the Winteringham Order. Surespan agreed to extend the deadline to September 10,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10, 2018, QBE wrote to Surespan suggesting that it would be necessary for a court to first pronounce judgment on Surespan's claim against HGS in the HGS Litigation in order to determine whether its expenditures arose from professional services under the Policy. QBE did provide Surespan with a cheque for $47,978.71, but this was only for Surespan's defence costs incurred to defend the allegations made by Graham against Surespan in the HGS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September 28, 2018, Surespan filed this action to enforce the Winteringham Order and obtain payment under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Stantec's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explained further below, there is an issue as to whether certain other commitments made by QBE under the Policy reduce any policy limit available to pay Surespan. The key commitment relates to amounts said to be payable to or on behalf of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November 4, 2016, Stantec advised QBE that Stantec had been put on notice of Graham's intention to advance a claim for loss or damage allegedly arising from Stantec's provision of design services (the "Graham Claim"). Stantec also advised QBE that it would potentially be making a claim under the mitigation of loss provisions of the Policy (the "Stantec Mitigation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31, 2017, Stantec provided QBE with details of the Stantec Mitigation Loss Claim expenses incurred totalling $477,646.75.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August 31, 2017, QBE authorized Stantec to settle the Graham Claim for up to $1.2 million (with QBE to contribute $700,000, and Stantec to pay the $500,000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March 7, 2019, Stantec and Graham entered into an agreement in principle to settle the Graham Claim for $1,409,000.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6, 2019, Stantec provided the terms of the agreement in principle to QBE. Stantec's position was that QBE should now pay $909,000 towards the settlement amount ($1,409,000 less the $500,000 deductible). In addition, Stantec sought confirmation that QBE would pay the $477,646.75 in satisfaction of the Stantec Mitigation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12, 2019, QBE confirmed that it would pay the amounts requested by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July 4, 2019, counsel for QBE wrote to counsel for Stantec, Surespan, and others stating: Stantec Architecture submitted a claim for coverage under the Policy in relation to its potential liability to Graham Design Builders LP arising out of alleged defects occurring at the hospital buildings. Graham alleged errors, omissions, and negligent acts on the part of Stantec, and asserted damages in the amount of $7,063,492. Stantec is the named insured on the face of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Stantec submitted the Graham claim to QBE for coverage consideration. QBE investigated and confirmed coverage under the Policy for Stantec's exposure. The claim was ultimately resolved for $1,886,646.75, of which QBE paid $1,386,646.75 (i.e. the settlement sum less the deductible)...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the Supplementary Payments and the Stantec Settlement, $1,702,830.79 has been eroded.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QBE is prepared to accept the invitation of defence counsel for Surespan and pay the Remaining Limits into Owen Bird's trust account to allow those making claims for coverage under the Policy to determine a mechanism for payment of their respective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QBE's agreed amount has not yet been delivered to Stantec. The funds said to be payable to Stantec remain in trust with QBE's counsel. QBE's counsel advised the court that QBE was reluctant to pay out the amount to Stantec given that others were also making requests for payment that could impinge on a $10 million limit under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above, HGS advanced its own request for payment from QBE, which was addressed as part of the Winteringham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13, 2018, Graham delivered to Surespan its own interim proof of loss under the Policy and demanded that it be indemnified for its losses arising from the HGS Design Errors. Graham claimed $2,914,862 for labour, material, equipment, supervision, and legal costs related to the parkade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order to simplify the number of competing claims, Surespan was able to come to certain agreements with these other insureds before the hearing of this matter. HGS advised that it abandoned any claim it may have made on its own behalf for further recovery from QBE. Graham also agreed to refrain from making any objection to Surespan's summary trial effort, and agreed not to pursue HGS for amounts exceeding the available insurance from QBE. Graham also agreed with Surespan that any funds QBE was ordered to pay to Surespan would be put into trust for the benefit of both Surespan and Graham.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Surespan provided the following chronology of events which was of particular assistance in considering the "first past the post" issues. QBE did not take issue with the chronology: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432.06pt;height:180.03pt">
            <v:imagedata r:id="rId861" o:title=""/>
          </v:shape>
        </w:pict>
      </w:r>
      <w:r>
        <w:rPr>
          <w:rFonts w:ascii="arial" w:eastAsia="arial" w:hAnsi="arial" w:cs="arial"/>
          <w:sz w:val="20"/>
          <w:lang w:val="en-US" w:eastAsia="en-US" w:bidi="ar-SA"/>
        </w:rPr>
        <w:t xml:space="preserve">  </w:t>
      </w:r>
      <w:r>
        <w:pict>
          <v:shape id="_x0000_i1220" type="#_x0000_t75" style="width:396.06pt;height:586.58pt">
            <v:imagedata r:id="rId862" o:title=""/>
          </v:shape>
        </w:pict>
      </w:r>
      <w:r>
        <w:pict>
          <v:shape id="_x0000_i1221" type="#_x0000_t75" style="width:432.06pt;height:349.55pt">
            <v:imagedata r:id="rId863" o:title=""/>
          </v:shap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QBE's Own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an issue as to whether QBE should be able to deduct certain of its own Claim Expenses in the determination of any limit. QBE says that it incurred the following Claim Expenses: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 and adjustment by the Adjuster: $112,185.00;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engineering advice from LEA Consulting Ltd. ("LEA"): $8,136.00;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engineering advice from De Simone Consulting Engineers (De Simone"): US$144,995.82/CDN$191,905.06;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Quantity surveying by MKA Canada Inc. ("MKA"): $3,957.98.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Issues Remaining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issues between the parties narrowed somewhat by the time the hearing commenced. For example, save for the financing costs, QBE no longer disputed that the amounts expended by Surespan were reasonably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QBE did still seek to argue that the amounts payable to Surespan must be constrained by:</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$10 million insurance limit, reduced to account for: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QBE's agreement to pay out amounts to or on behalf of Stantec,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Expenses incurred by QBE itself;</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Surespan to establish that the amounts expended were incurred as a result of professional design failures rather than construction failures;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lack of coverage for any financing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outset of the hearing, QBE no longer took the position that the matter was unsuitable for summary trial. However, as the arguments evolved, QBE appeared to reverse course on this issue to some extent. To the extent that this issue was properly resuscitated, I find that this was an appropriate matter for summary determination, in particular given the driving importance of ensuring that the Winteringham Order was respected. Given that (1) the core issue was a point of contractual interpretation; (2) there was a great volume of evidence available covering all issues; and (3) there was no material conflict on the relevant evidence, I am comfortable that the matter can be fairly determined at this time. I discuss this in some further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 of Insurance Policy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general principles governing insurance policy interpretation are summarized in </w:t>
      </w:r>
      <w:r>
        <w:rPr>
          <w:rFonts w:ascii="arial" w:eastAsia="arial" w:hAnsi="arial" w:cs="arial"/>
          <w:i/>
          <w:color w:val="000000"/>
          <w:sz w:val="20"/>
          <w:lang w:val="en-US" w:eastAsia="en-US" w:bidi="ar-SA"/>
        </w:rPr>
        <w:t>Ledcor Construction Ltd. v. Northbridge Indemnity Insurance Co.</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2016 SCC 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parties agree that the governing principles of interpretation applicable to insurance policies are those summarized by Rothstein J.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The primary interpretive principle is that where the language of the insurance policy is unambiguous, effect should be given to that clear language, reading the contract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Where, however, the policy's language is ambiguous, general rules of contract construction must be employed to resolve that ambiguity. These rules include that the interpretation should be consistent with the reasonable expectations of the parties, as long as that interpretation is supported by the language of the policy; it should not give rise to results that are unrealistic or that the parties would not have contemplated in the commercial atmosphere in which the insurance policy was contracted, and it should be consistent with the interpretations of similar insurance policies...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Only if ambiguity still remains after the above principles are applied can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be employed to construe the policy against the insurer...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provides that a corollary of this rule is that coverage provisions in insurance policies are interpreted broadly, and exclusion clauses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Applicability of the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Surespan argues that the Mitigation of Loss Coverage under which it made its demand is outside the scope of any stated limit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sides argued that the Policy is clear and unambiguous on this issue. I also agree that the Policy can be interpreted without a resort to the principles applicable in the case of an ambiguity. However, only one party can be (unambiguously) correct. I find that it is Surespan's proposed interpretation of the Policy that should be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Given that the Winteringham Order already established that Surespan is insured and it is QBE that relies on a limit to its coverage, the burden rests on QBE to establish the extent of any limit: </w:t>
      </w:r>
      <w:r>
        <w:rPr>
          <w:rFonts w:ascii="arial" w:eastAsia="arial" w:hAnsi="arial" w:cs="arial"/>
          <w:i/>
          <w:color w:val="000000"/>
          <w:sz w:val="20"/>
          <w:lang w:val="en-US" w:eastAsia="en-US" w:bidi="ar-SA"/>
        </w:rPr>
        <w:t>PCL Constructors Westcoast Inc. v. Royal &amp; Sun Alliance Insurance Company of Canada</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2019 BCSC 822</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Lombard Canada Ltd. v. Zurich Insurance Co.</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2010 ONCA 292</w:t>
        </w:r>
      </w:hyperlink>
      <w:r>
        <w:rPr>
          <w:rFonts w:ascii="arial" w:eastAsia="arial" w:hAnsi="arial" w:cs="arial"/>
          <w:color w:val="000000"/>
          <w:sz w:val="20"/>
          <w:lang w:val="en-US" w:eastAsia="en-US" w:bidi="ar-SA"/>
        </w:rPr>
        <w:t>, at para. 34.</w:t>
      </w:r>
      <w:bookmarkStart w:id="269"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6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Mitigation of Loss Coverage should be interpreted broadly in favour of coverage: </w:t>
      </w:r>
      <w:r>
        <w:rPr>
          <w:rFonts w:ascii="arial" w:eastAsia="arial" w:hAnsi="arial" w:cs="arial"/>
          <w:i/>
          <w:color w:val="000000"/>
          <w:sz w:val="20"/>
          <w:lang w:val="en-US" w:eastAsia="en-US" w:bidi="ar-SA"/>
        </w:rPr>
        <w:t>Derksen v. 539938 Ontario Ltd.</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2001 SCC 72</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Applicability of the Limit to Certain Coverages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outlined above, there are four separate coverages provided by the Policy:</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Coverage;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 of Loss Coverage;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 Costs Coverage;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Supplementary Payments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Does the $10 million limit apply to all four? I find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First and most importantly, as a matter of pure textual construction, the subparagraphs granting the Damages, Defence Costs, and Supplementary Payments Coverages each expressly refer to and apply a limit of liability. </w:t>
      </w:r>
      <w:r>
        <w:rPr>
          <w:rFonts w:ascii="arial" w:eastAsia="arial" w:hAnsi="arial" w:cs="arial"/>
          <w:color w:val="000000"/>
          <w:sz w:val="20"/>
          <w:u w:val="single"/>
          <w:lang w:val="en-US" w:eastAsia="en-US" w:bidi="ar-SA"/>
        </w:rPr>
        <w:t>Notably, the grant of Mitigation of Loss Coverage includes no such reference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this absence of limits language in one of the four coverages of particular significance to the proper interpretation of the Policy. In the world of statutory interpretation, this is referred to as a "failure to follow a pattern of express reference". Ruth Sullivan describes the principle as follows in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6th ed. (Markham: Lexis Nexis, 2014)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much as possible, drafters strive for uniform and consistent expression, so that once a pattern of words has been devised to express a particular purpose or meaning, it is presumed that the pattern is used for this purpose or meaning each time the occasion arises. This convention naturally creates expectations that may form the basis for an implied exclusion argument. This point is made by Iacobucci J. In </w:t>
      </w:r>
      <w:r>
        <w:rPr>
          <w:rFonts w:ascii="arial" w:eastAsia="arial" w:hAnsi="arial" w:cs="arial"/>
          <w:i/>
          <w:color w:val="000000"/>
          <w:sz w:val="20"/>
          <w:lang w:val="en-US" w:eastAsia="en-US" w:bidi="ar-SA"/>
        </w:rPr>
        <w:t>R. v. Ulybel Enterises Ltd</w:t>
      </w:r>
      <w:r>
        <w:rPr>
          <w:rFonts w:ascii="arial" w:eastAsia="arial" w:hAnsi="arial" w:cs="arial"/>
          <w:color w:val="000000"/>
          <w:sz w:val="20"/>
          <w:lang w:val="en-US" w:eastAsia="en-US" w:bidi="ar-SA"/>
        </w:rPr>
        <w:t>. when he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Parliament intended the phrase "any proceeds of its disposition" [in s. 72(1)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to be limited to proceeds of [seized] perishables, it could have done so expressly, as it did in... ss. 72(2) and 72(3). Instead, a pattern in the use of the phrase at issue is evident whereby in some sections it is expressly limited to the proceeds of perishables and in other sections it refers more generally to all forms of property seized under the Act and proceeds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Patterns in legislation are assumed to be intended rather than inadvertent. Once a pattern has been established, it becomes the basis for expectations about legislative intent.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"Just as in statutory interpretation, so also in contract interpretation.":</w:t>
      </w:r>
      <w:r>
        <w:rPr>
          <w:rFonts w:ascii="arial" w:eastAsia="arial" w:hAnsi="arial" w:cs="arial"/>
          <w:i/>
          <w:color w:val="000000"/>
          <w:sz w:val="20"/>
          <w:lang w:val="en-US" w:eastAsia="en-US" w:bidi="ar-SA"/>
        </w:rPr>
        <w:t>Jacobsen v Bergman</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2002 BCCA 102</w:t>
        </w:r>
      </w:hyperlink>
      <w:r>
        <w:rPr>
          <w:rFonts w:ascii="arial" w:eastAsia="arial" w:hAnsi="arial" w:cs="arial"/>
          <w:color w:val="000000"/>
          <w:sz w:val="20"/>
          <w:lang w:val="en-US" w:eastAsia="en-US" w:bidi="ar-SA"/>
        </w:rPr>
        <w:t xml:space="preserve"> at para 4. See also </w:t>
      </w:r>
      <w:r>
        <w:rPr>
          <w:rFonts w:ascii="arial" w:eastAsia="arial" w:hAnsi="arial" w:cs="arial"/>
          <w:i/>
          <w:color w:val="000000"/>
          <w:sz w:val="20"/>
          <w:lang w:val="en-US" w:eastAsia="en-US" w:bidi="ar-SA"/>
        </w:rPr>
        <w:t>Hanna Collision Repair (1984) Ltd. v. Insurance Corp. of British Columbia</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2010 BCCA 490</w:t>
        </w:r>
      </w:hyperlink>
      <w:r>
        <w:rPr>
          <w:rFonts w:ascii="arial" w:eastAsia="arial" w:hAnsi="arial" w:cs="arial"/>
          <w:color w:val="000000"/>
          <w:sz w:val="20"/>
          <w:lang w:val="en-US" w:eastAsia="en-US" w:bidi="ar-SA"/>
        </w:rPr>
        <w:t xml:space="preserve">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see no grammatical or textual reason why the Mitigation of Loss Coverage would not also require an express reference to the limit, had that been a proper expression of the parties'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QBE suggests the limits language may have been omitted because the Mitigation of Loss Coverage is subsidiary to the Damage Coverage, i.e. the Mitigation of Loss Coverage is designed to avoid the potential for a Damage Claim, and hence is subsidiary to that coverage and can effectively "free ride" on the reference to the limit in the Damage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were that analysis correct, the Defence Costs Coverage would be even more subsidiary. Indeed, there is never a need for defence costs to be incurred unless and until a claim for damages is made against an insured. Nonetheless, the Defence Costs Coverage still specifically references the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Mitigation of Loss Coverage is less subsidiary than the other coverages. As QBE acknowledged, it is more in the nature of first party coverage. Under this coverage, expenses incurred by the insured are reimbursed to the insured, rather than being losses of a third party paid to a third party. There is no need for a claim by a third party in order to trigger the coverage. The amount paid under such coverage does not reflect damages suffered by another, but rather the "costs of remedying defects in the WORKS in order to fulfil contracts".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Limits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second basis supporting Surespan's interpretation is the language of the Limits of Liability Clause. This clause specifically refers to the limit being applicable in the case of "CLAIMS made against the INSURED". However, in the case of the Mitigation of Loss Coverage, there is no need for a "CLAIM" to be made against the insured. Indeed, the purpose of the provision is clearly to </w:t>
      </w:r>
      <w:r>
        <w:rPr>
          <w:rFonts w:ascii="arial" w:eastAsia="arial" w:hAnsi="arial" w:cs="arial"/>
          <w:color w:val="000000"/>
          <w:sz w:val="20"/>
          <w:u w:val="single"/>
          <w:lang w:val="en-US" w:eastAsia="en-US" w:bidi="ar-SA"/>
        </w:rPr>
        <w:t>avoid</w:t>
      </w:r>
      <w:r>
        <w:rPr>
          <w:rFonts w:ascii="arial" w:eastAsia="arial" w:hAnsi="arial" w:cs="arial"/>
          <w:color w:val="000000"/>
          <w:sz w:val="20"/>
          <w:lang w:val="en-US" w:eastAsia="en-US" w:bidi="ar-SA"/>
        </w:rPr>
        <w:t xml:space="preserve"> the prospect of a Claim being advanced against the insured, by allowing defects to be corrected </w:t>
      </w:r>
      <w:r>
        <w:rPr>
          <w:rFonts w:ascii="arial" w:eastAsia="arial" w:hAnsi="arial" w:cs="arial"/>
          <w:color w:val="000000"/>
          <w:sz w:val="20"/>
          <w:u w:val="single"/>
          <w:lang w:val="en-US" w:eastAsia="en-US" w:bidi="ar-SA"/>
        </w:rPr>
        <w:t>before the situation necessarily develops into a Claim</w:t>
      </w:r>
      <w:r>
        <w:rPr>
          <w:rFonts w:ascii="arial" w:eastAsia="arial" w:hAnsi="arial" w:cs="arial"/>
          <w:color w:val="000000"/>
          <w:sz w:val="20"/>
          <w:lang w:val="en-US" w:eastAsia="en-US" w:bidi="ar-SA"/>
        </w:rPr>
        <w:t>. The potential for a claim is precisely what is being "mitigated". Indeed, as QBE conceded, it is possible for a mitigation of loss claim to be made by an insured without the owner or head contractor ever knowing that the problem existed. Further, as noted above, payment under the Mitigation of Loss Coverage is made to the insured, not to a third party who has advanced a claim against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Surespan's position is further supported by the reference in the Limit of Liability Clause to the Schedule. The Schedule again refers to the limit being applicable to "any one claim and in the aggregate".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QBE raises a series of arguments flowing from the language of the Declarations.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Limit Requirement Preamble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QBE relies on the pre-printed very small font statement at the top of each Declarations page (the "Limit Requirement Preamble"):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IS PROVIDED ONLY FOR THOSE COVERAGES FOR WHICH A SPECIFIC LIMIT OF INSURANCE IS SHOWN - ON TERMS AND CONDITIONS CONTAINED IN THE FORMS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QBE's invocation of the Limit Requirement Preamble as support for its position faces two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First, QBE cannot argue that the Limit Requirement Preamble actually </w:t>
      </w:r>
      <w:r>
        <w:rPr>
          <w:rFonts w:ascii="arial" w:eastAsia="arial" w:hAnsi="arial" w:cs="arial"/>
          <w:color w:val="000000"/>
          <w:sz w:val="20"/>
          <w:u w:val="single"/>
          <w:lang w:val="en-US" w:eastAsia="en-US" w:bidi="ar-SA"/>
        </w:rPr>
        <w:t>creates</w:t>
      </w:r>
      <w:r>
        <w:rPr>
          <w:rFonts w:ascii="arial" w:eastAsia="arial" w:hAnsi="arial" w:cs="arial"/>
          <w:color w:val="000000"/>
          <w:sz w:val="20"/>
          <w:lang w:val="en-US" w:eastAsia="en-US" w:bidi="ar-SA"/>
        </w:rPr>
        <w:t xml:space="preserve"> the limit on the Mitigation of Loss Coverage. Rather, applied independently, if there were no Limit of Liability found elsewhere in the Policy, the implication of the Limit Requirement Preamble would be that </w:t>
      </w:r>
      <w:r>
        <w:rPr>
          <w:rFonts w:ascii="arial" w:eastAsia="arial" w:hAnsi="arial" w:cs="arial"/>
          <w:color w:val="000000"/>
          <w:sz w:val="20"/>
          <w:u w:val="single"/>
          <w:lang w:val="en-US" w:eastAsia="en-US" w:bidi="ar-SA"/>
        </w:rPr>
        <w:t>there would be no Mitigation of Loss Coverage at all</w:t>
      </w:r>
      <w:r>
        <w:rPr>
          <w:rFonts w:ascii="arial" w:eastAsia="arial" w:hAnsi="arial" w:cs="arial"/>
          <w:color w:val="000000"/>
          <w:sz w:val="20"/>
          <w:lang w:val="en-US" w:eastAsia="en-US" w:bidi="ar-SA"/>
        </w:rPr>
        <w:t xml:space="preserve">. However, QBE does not go this far. QBE agrees that the Policy must be interpreted so as to </w:t>
      </w:r>
      <w:r>
        <w:rPr>
          <w:rFonts w:ascii="arial" w:eastAsia="arial" w:hAnsi="arial" w:cs="arial"/>
          <w:color w:val="000000"/>
          <w:sz w:val="20"/>
          <w:u w:val="single"/>
          <w:lang w:val="en-US" w:eastAsia="en-US" w:bidi="ar-SA"/>
        </w:rPr>
        <w:t>maintain</w:t>
      </w:r>
      <w:r>
        <w:rPr>
          <w:rFonts w:ascii="arial" w:eastAsia="arial" w:hAnsi="arial" w:cs="arial"/>
          <w:color w:val="000000"/>
          <w:sz w:val="20"/>
          <w:lang w:val="en-US" w:eastAsia="en-US" w:bidi="ar-SA"/>
        </w:rPr>
        <w:t xml:space="preserve"> the Mitigation of Loss Coverage. As such, QBE is left arguing that this preamble is more in the nature of an interpretative aid, rather than driving QBE's proposed result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Hence this case is not akin to that in </w:t>
      </w:r>
      <w:r>
        <w:rPr>
          <w:rFonts w:ascii="arial" w:eastAsia="arial" w:hAnsi="arial" w:cs="arial"/>
          <w:i/>
          <w:color w:val="000000"/>
          <w:sz w:val="20"/>
          <w:lang w:val="en-US" w:eastAsia="en-US" w:bidi="ar-SA"/>
        </w:rPr>
        <w:t>Yip v. Davies</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[1999] B.C.J. No. 1836</w:t>
        </w:r>
      </w:hyperlink>
      <w:r>
        <w:rPr>
          <w:rFonts w:ascii="arial" w:eastAsia="arial" w:hAnsi="arial" w:cs="arial"/>
          <w:color w:val="000000"/>
          <w:sz w:val="20"/>
          <w:lang w:val="en-US" w:eastAsia="en-US" w:bidi="ar-SA"/>
        </w:rPr>
        <w:t xml:space="preserve"> (S.C.), where the court allowed a broad exclusion to cover a situation where there were also specific exclusions governing specific situations. Here, there is no overarching limit clause that overlays the Mitigation of Loss Coverage. At best the Limit Requirement Preamble sets out what would happen if there is no limit. It does not impose an overarching limit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QBE's second difficulty is that the Limit Requirement Preamble itself states that it applies "on terms and conditions contained in the forms indicated". In other words, it is subject to the rest of the Policy. This makes sense since, as QBE acknowledged, the Declarations pages are only a summary of some of the Policy's key terms: Alan S. Rutkin and Robert Tugander,</w:t>
      </w:r>
      <w:r>
        <w:rPr>
          <w:rFonts w:ascii="arial" w:eastAsia="arial" w:hAnsi="arial" w:cs="arial"/>
          <w:i/>
          <w:color w:val="000000"/>
          <w:sz w:val="20"/>
          <w:lang w:val="en-US" w:eastAsia="en-US" w:bidi="ar-SA"/>
        </w:rPr>
        <w:t>The Reference Handbook on the Commercial General Liability Policy</w:t>
      </w:r>
      <w:r>
        <w:rPr>
          <w:rFonts w:ascii="arial" w:eastAsia="arial" w:hAnsi="arial" w:cs="arial"/>
          <w:color w:val="000000"/>
          <w:sz w:val="20"/>
          <w:lang w:val="en-US" w:eastAsia="en-US" w:bidi="ar-SA"/>
        </w:rPr>
        <w:t>, 2nd ed. (Chicago, IL: American Bar Association, 2014) at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Once one accepts that the Policy is to be interpreted as a whole, there is far more detailed and specific language on the applicability of the limit in the body of the Policy itself. We have already carefully examined these detailed words in the body of the Policy, and illustrated how the specific language does not favour QBE's interpretation.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Declarations Limit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QBE also seeks to rely on the Declarations' language cited below (the "Declarations Limit Language"):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2" type="#_x0000_t75" style="width:414pt;height:184.5pt">
            <v:imagedata r:id="rId87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QBE argues that the Declarations Limit Language must be read as creating a limit for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coverages, including the Mitigation of Loss Coverage. However, this argument faces similar challenges to those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First, although this summary language refers to the Policy being "claims made" and the limit applying to "any one claim and in the aggregate", we have already noted that the specific Mitigation of Loss coverage at issue does not in fact require that a claim be made. It is more akin to first party coverage that can be triggered in the absence of a claim. This suggests that the Declarations are not intended to be a comprehensive free-standing statement of the details of the specific coverages provided by the Policy. The Declarations Limit Language is summary, short-form, and not stated in complete sentences. For these reasons, it is difficult for QBE to argue that the Declarations Limit Language should be given greater weight than the comprehensive language found within the Policy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Second, the Declarations Limit Language can in fact be read consistently with the coverage grant language, in that it suggests that the Limit of Liability applies only to those coverages that are in fact "claims made".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CLAIM v.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QBE relies on the fact that the word "claim" is in lower case in the Declarations. QBE argues that Surespan cannot rely on the defined term in upper case ("CLAIM") to assist its position. Indeed, QBE suggests that the use of lower case in the Declarations must mean that "claim" is actually intended to have a different and broader meaning that includes the Mitigation of Loss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QBE places too much weight on the form of the Definitions language. The Definitions do not affirmatively state that the same word cannot have the same meaning absent capitalization when used outside the core Policy language. This interpretation is supported by the fact that the Declarations do not use capitalized terms outside of its headings. For example, it uses the words "Insurer", "Insured" and "Professional Services", all without using the capitalized form found in the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Surespan argued, an insurer who uses an undefined term to exclude or limit coverage does so at its peril. Such terms will generally be construed in favour of coverage for the insured, in order to avoid a "trap for the unwary": </w:t>
      </w:r>
      <w:r>
        <w:rPr>
          <w:rFonts w:ascii="arial" w:eastAsia="arial" w:hAnsi="arial" w:cs="arial"/>
          <w:i/>
          <w:color w:val="000000"/>
          <w:sz w:val="20"/>
          <w:lang w:val="en-US" w:eastAsia="en-US" w:bidi="ar-SA"/>
        </w:rPr>
        <w:t>Axa Insurance (Canada) v. Ani-Wall Concrete Forming Inc.</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2008 ONCA 563</w:t>
        </w:r>
      </w:hyperlink>
      <w:r>
        <w:rPr>
          <w:rFonts w:ascii="arial" w:eastAsia="arial" w:hAnsi="arial" w:cs="arial"/>
          <w:color w:val="000000"/>
          <w:sz w:val="20"/>
          <w:lang w:val="en-US" w:eastAsia="en-US" w:bidi="ar-SA"/>
        </w:rPr>
        <w:t xml:space="preserve"> at para. 17. In my view, allowing "claim" to have a broader scope than "CLAIM" for the benefit of the insurer would be such a trap.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"In the Aggregate"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Next, QBE relies on the language, "in the aggregate", to argue that this must be intended to capture all types of coverage under the Policy. The main problem with this argument is grammatical. I find that the words "in the aggregate" are intended to modify the noun "claim", rather than purporting to alter or add a new noun of a different character.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Costs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QBE argues that the reference to "costs and expenses" in the Declarations must be a reference to the "costs of remedying defects" available through the Mitigation of Loss coverage. However, I find that this expression more logically refers to the Defence Costs and Supplementary Payments Coverages. Because it is in such close proximity to the word "claim", it is more logical that "costs and expenses" refers to these costs and expenses associated with defending a "claim". This is consistent with the language of the coverage grant within the Policy which does impose the limit on the Damage, Defence Costs and Supplementary Payments coverages.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Redundancy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Under QBE's interpretation of the Declarations, there is a redundancy issue. The reference to the limit in three of the four coverages in the coverage grant provision of the Policy would be unnecessary, since the limits protection would already have been created by the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Although redundancy is not fatal, it is preferable to adopt an interpretation in which all words of a contract are given meaning: </w:t>
      </w:r>
      <w:r>
        <w:rPr>
          <w:rFonts w:ascii="arial" w:eastAsia="arial" w:hAnsi="arial" w:cs="arial"/>
          <w:i/>
          <w:color w:val="000000"/>
          <w:sz w:val="20"/>
          <w:lang w:val="en-US" w:eastAsia="en-US" w:bidi="ar-SA"/>
        </w:rPr>
        <w:t>Duncan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Sherman</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2006 BCCA 14</w:t>
        </w:r>
      </w:hyperlink>
      <w:r>
        <w:rPr>
          <w:rFonts w:ascii="arial" w:eastAsia="arial" w:hAnsi="arial" w:cs="arial"/>
          <w:color w:val="000000"/>
          <w:sz w:val="20"/>
          <w:lang w:val="en-US" w:eastAsia="en-US" w:bidi="ar-SA"/>
        </w:rPr>
        <w:t xml:space="preserve"> at paras.14-15.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It is true that where a term of a Policy is clear, unambiguous, and capable of only one interpretation, it will not be ignored merely because it is redundant: </w:t>
      </w:r>
      <w:r>
        <w:rPr>
          <w:rFonts w:ascii="arial" w:eastAsia="arial" w:hAnsi="arial" w:cs="arial"/>
          <w:i/>
          <w:color w:val="000000"/>
          <w:sz w:val="20"/>
          <w:lang w:val="en-US" w:eastAsia="en-US" w:bidi="ar-SA"/>
        </w:rPr>
        <w:t>Yip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Harbour Machine Ltd. v. Guardian Insurance Company of Canada</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(1985), 60 B.C.L.R. 360</w:t>
        </w:r>
      </w:hyperlink>
      <w:r>
        <w:rPr>
          <w:rFonts w:ascii="arial" w:eastAsia="arial" w:hAnsi="arial" w:cs="arial"/>
          <w:color w:val="000000"/>
          <w:sz w:val="20"/>
          <w:lang w:val="en-US" w:eastAsia="en-US" w:bidi="ar-SA"/>
        </w:rPr>
        <w:t xml:space="preserve"> (C.A.). For example, a clearly implemented "belt and suspenders" approach to exclusions may properly support overlapping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But an interpretation that would render certain words "meaningless", "useless or inexplicable", is nonetheless to be avoided: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2009 BCCA 129</w:t>
        </w:r>
      </w:hyperlink>
      <w:r>
        <w:rPr>
          <w:rFonts w:ascii="arial" w:eastAsia="arial" w:hAnsi="arial" w:cs="arial"/>
          <w:color w:val="000000"/>
          <w:sz w:val="20"/>
          <w:lang w:val="en-US" w:eastAsia="en-US" w:bidi="ar-SA"/>
        </w:rPr>
        <w:t xml:space="preserve"> at paras. 77-78, rev'd on other grounds </w:t>
      </w:r>
      <w:hyperlink r:id="rId87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QBE has not adequately explained the alleged redundancy: </w:t>
      </w:r>
      <w:r>
        <w:rPr>
          <w:rFonts w:ascii="arial" w:eastAsia="arial" w:hAnsi="arial" w:cs="arial"/>
          <w:i/>
          <w:color w:val="000000"/>
          <w:sz w:val="20"/>
          <w:lang w:val="en-US" w:eastAsia="en-US" w:bidi="ar-SA"/>
        </w:rPr>
        <w:t>Cabell v. Personal Insurance Co.</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2011 ONCA 105</w:t>
        </w:r>
      </w:hyperlink>
      <w:r>
        <w:rPr>
          <w:rFonts w:ascii="arial" w:eastAsia="arial" w:hAnsi="arial" w:cs="arial"/>
          <w:color w:val="000000"/>
          <w:sz w:val="20"/>
          <w:lang w:val="en-US" w:eastAsia="en-US" w:bidi="ar-SA"/>
        </w:rPr>
        <w:t xml:space="preserve"> at para.22.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Bridgewood Building Corp.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Lombard General Insurance Co. of Canada</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[2006] O.J. No. 1288</w:t>
        </w:r>
      </w:hyperlink>
      <w:r>
        <w:rPr>
          <w:rFonts w:ascii="arial" w:eastAsia="arial" w:hAnsi="arial" w:cs="arial"/>
          <w:color w:val="000000"/>
          <w:sz w:val="20"/>
          <w:lang w:val="en-US" w:eastAsia="en-US" w:bidi="ar-SA"/>
        </w:rPr>
        <w:t xml:space="preserve"> (C.A.) at para. 14, leave to appeal to SCC ref'd </w:t>
      </w:r>
      <w:hyperlink r:id="rId879" w:history="1">
        <w:r>
          <w:rPr>
            <w:rFonts w:ascii="arial" w:eastAsia="arial" w:hAnsi="arial" w:cs="arial"/>
            <w:i/>
            <w:color w:val="0077CC"/>
            <w:sz w:val="20"/>
            <w:u w:val="single"/>
            <w:shd w:val="clear" w:color="auto" w:fill="FFFFFF"/>
            <w:lang w:val="en-US" w:eastAsia="en-US" w:bidi="ar-SA"/>
          </w:rPr>
          <w:t>[2006] S.C.C.A. No. 204</w:t>
        </w:r>
      </w:hyperlink>
      <w:r>
        <w:rPr>
          <w:rFonts w:ascii="arial" w:eastAsia="arial" w:hAnsi="arial" w:cs="arial"/>
          <w:color w:val="000000"/>
          <w:sz w:val="20"/>
          <w:lang w:val="en-US" w:eastAsia="en-US" w:bidi="ar-SA"/>
        </w:rPr>
        <w:t>, Moldaver, J.A.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approach suggested by Lombard is problematic for several reasons. It defies basic principles of contract interpretation -- we are asked to read a host of exclusionary provisions out of the insuring agreement on the ground that they are redundant and thus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such, I find that an interpretation of the Policy that avoids redundancy, and which is still consistent with the language of the Policy, is to be preferred.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Case Law and Academic Commentary on the Treatment of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key authority upon which QBE relies to support its interpretation of the Declarations does not support the principle for which it is advanced. The decision in </w:t>
      </w:r>
      <w:r>
        <w:rPr>
          <w:rFonts w:ascii="arial" w:eastAsia="arial" w:hAnsi="arial" w:cs="arial"/>
          <w:i/>
          <w:color w:val="000000"/>
          <w:sz w:val="20"/>
          <w:lang w:val="en-US" w:eastAsia="en-US" w:bidi="ar-SA"/>
        </w:rPr>
        <w:t>Weyerhauser Co. v. Commercial Union Insurance Co.</w:t>
      </w:r>
      <w:r>
        <w:rPr>
          <w:rFonts w:ascii="arial" w:eastAsia="arial" w:hAnsi="arial" w:cs="arial"/>
          <w:color w:val="000000"/>
          <w:sz w:val="20"/>
          <w:lang w:val="en-US" w:eastAsia="en-US" w:bidi="ar-SA"/>
        </w:rPr>
        <w:t>, 142 Wash.2d 654 (2000) actually supports the view that limits may apply to certain coverages and not others. The court noted at p. 665: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first consider whether the supplemental policy contains a </w:t>
      </w:r>
      <w:r>
        <w:rPr>
          <w:rFonts w:ascii="arial" w:eastAsia="arial" w:hAnsi="arial" w:cs="arial"/>
          <w:i/>
          <w:color w:val="000000"/>
          <w:sz w:val="20"/>
          <w:lang w:val="en-US" w:eastAsia="en-US" w:bidi="ar-SA"/>
        </w:rPr>
        <w:t>property damage</w:t>
      </w:r>
      <w:r>
        <w:rPr>
          <w:rFonts w:ascii="arial" w:eastAsia="arial" w:hAnsi="arial" w:cs="arial"/>
          <w:color w:val="000000"/>
          <w:sz w:val="20"/>
          <w:lang w:val="en-US" w:eastAsia="en-US" w:bidi="ar-SA"/>
        </w:rPr>
        <w:t xml:space="preserve"> aggregate of $1,500,000, limiting the insurer's total liability for property damage to this sum for the policy period. The trial court held that the policy language imposes no aggregate limit for property damage claims, only aggregate limits for products liability and personal injury claims... We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involved claims for property damage under an excess insurance policy for comprehensive environmental response. The excess policy would be triggered if the underlying policy paid the full amount of its liability, stated in the excess policy to be (at p. 666):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$[500,000] ultimate net loss in respect of each occurrence, but $[500,000] in the aggregate for each annual period... separately in respect of Products Liability and separately in respect of Personal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[Square brackets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that point, the excess insurance would be engaged, and the excess insurer would pay up to (at p. 666):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[$1,500,000] ultimate net loss in respect of each occurrence--subject to a limit of [$1,500,000] in the aggregate total for each annual period during the currency of this Policy, separately in respect of </w:t>
      </w:r>
      <w:r>
        <w:rPr>
          <w:rFonts w:ascii="arial" w:eastAsia="arial" w:hAnsi="arial" w:cs="arial"/>
          <w:i/>
          <w:color w:val="000000"/>
          <w:sz w:val="20"/>
          <w:lang w:val="en-US" w:eastAsia="en-US" w:bidi="ar-SA"/>
        </w:rPr>
        <w:t>Products Liability</w:t>
      </w:r>
      <w:r>
        <w:rPr>
          <w:rFonts w:ascii="arial" w:eastAsia="arial" w:hAnsi="arial" w:cs="arial"/>
          <w:color w:val="000000"/>
          <w:sz w:val="20"/>
          <w:lang w:val="en-US" w:eastAsia="en-US" w:bidi="ar-SA"/>
        </w:rPr>
        <w:t xml:space="preserve"> and separately in respect of </w:t>
      </w:r>
      <w:r>
        <w:rPr>
          <w:rFonts w:ascii="arial" w:eastAsia="arial" w:hAnsi="arial" w:cs="arial"/>
          <w:i/>
          <w:color w:val="000000"/>
          <w:sz w:val="20"/>
          <w:lang w:val="en-US" w:eastAsia="en-US" w:bidi="ar-SA"/>
        </w:rPr>
        <w:t>Personal Injury ...</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square brackets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Similar to QBE's position here, the excess insurer argued that the use of the term "aggregate" meant that there must be a limit of $1,500,000 </w:t>
      </w:r>
      <w:r>
        <w:rPr>
          <w:rFonts w:ascii="arial" w:eastAsia="arial" w:hAnsi="arial" w:cs="arial"/>
          <w:i/>
          <w:color w:val="000000"/>
          <w:sz w:val="20"/>
          <w:lang w:val="en-US" w:eastAsia="en-US" w:bidi="ar-SA"/>
        </w:rPr>
        <w:t>for all claims</w:t>
      </w:r>
      <w:r>
        <w:rPr>
          <w:rFonts w:ascii="arial" w:eastAsia="arial" w:hAnsi="arial" w:cs="arial"/>
          <w:color w:val="000000"/>
          <w:sz w:val="20"/>
          <w:lang w:val="en-US" w:eastAsia="en-US" w:bidi="ar-SA"/>
        </w:rPr>
        <w:t>. The appeals court disagreed. The majority found that the clause "imposes an aggregate limit for products liability and personal injury claims but calls out no general aggregate limit for other types of claims, including property damage". The court went on to say at p. 688: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CU had intended to place an aggregate limit on property damage it would have said so. ... If there are multiple occurrences within an annual period the plain language of this policy does not limit the insured's aggregate recovery for property damage or other types of loss aside from products liability and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As such, </w:t>
      </w:r>
      <w:r>
        <w:rPr>
          <w:rFonts w:ascii="arial" w:eastAsia="arial" w:hAnsi="arial" w:cs="arial"/>
          <w:i/>
          <w:color w:val="000000"/>
          <w:sz w:val="20"/>
          <w:lang w:val="en-US" w:eastAsia="en-US" w:bidi="ar-SA"/>
        </w:rPr>
        <w:t>Weyerhauser</w:t>
      </w:r>
      <w:r>
        <w:rPr>
          <w:rFonts w:ascii="arial" w:eastAsia="arial" w:hAnsi="arial" w:cs="arial"/>
          <w:color w:val="000000"/>
          <w:sz w:val="20"/>
          <w:lang w:val="en-US" w:eastAsia="en-US" w:bidi="ar-SA"/>
        </w:rPr>
        <w:t xml:space="preserve"> stands for the proposition that, where a limit of liability clause sets out the specific coverages to which the limit applies, the limit does not necessarily apply to other coverages not mentioned in the limit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More generally, U.S. case law supports the view that a policy's declaration pages are generally subordinate to specific terms in the policy absent specific language to the contrary. In </w:t>
      </w:r>
      <w:r>
        <w:rPr>
          <w:rFonts w:ascii="arial" w:eastAsia="arial" w:hAnsi="arial" w:cs="arial"/>
          <w:i/>
          <w:color w:val="000000"/>
          <w:sz w:val="20"/>
          <w:lang w:val="en-US" w:eastAsia="en-US" w:bidi="ar-SA"/>
        </w:rPr>
        <w:t>Auto-Owners Ins. Co. v. Barnes</w:t>
      </w:r>
      <w:r>
        <w:rPr>
          <w:rFonts w:ascii="arial" w:eastAsia="arial" w:hAnsi="arial" w:cs="arial"/>
          <w:color w:val="000000"/>
          <w:sz w:val="20"/>
          <w:lang w:val="en-US" w:eastAsia="en-US" w:bidi="ar-SA"/>
        </w:rPr>
        <w:t xml:space="preserve"> (1988), 188 Ga. App. 439, the court held that general provisions in the declarations did not control later specific provisions of the policy. The court stated at p. 440: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find the language in the declarations to be merely a general statement as to the type of property covered by the policy, the terms of coverage for which are set out specifically later in the policy... It is well established that "[u]nder the rules of contract construction, a limited or specific provision will prevail over one that is more broadly inclusive"...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Geico Casualty Co. v. Clampitt</w:t>
      </w:r>
      <w:r>
        <w:rPr>
          <w:rFonts w:ascii="arial" w:eastAsia="arial" w:hAnsi="arial" w:cs="arial"/>
          <w:color w:val="000000"/>
          <w:sz w:val="20"/>
          <w:lang w:val="en-US" w:eastAsia="en-US" w:bidi="ar-SA"/>
        </w:rPr>
        <w:t xml:space="preserve">, 521 S.W.3d 290 at p.293 (Mo. Ct. App. 2017); </w:t>
      </w:r>
      <w:r>
        <w:rPr>
          <w:rFonts w:ascii="arial" w:eastAsia="arial" w:hAnsi="arial" w:cs="arial"/>
          <w:i/>
          <w:color w:val="000000"/>
          <w:sz w:val="20"/>
          <w:lang w:val="en-US" w:eastAsia="en-US" w:bidi="ar-SA"/>
        </w:rPr>
        <w:t>Owners Ins. Co. v. Craig</w:t>
      </w:r>
      <w:r>
        <w:rPr>
          <w:rFonts w:ascii="arial" w:eastAsia="arial" w:hAnsi="arial" w:cs="arial"/>
          <w:color w:val="000000"/>
          <w:sz w:val="20"/>
          <w:lang w:val="en-US" w:eastAsia="en-US" w:bidi="ar-SA"/>
        </w:rPr>
        <w:t>, 514 S.W.3d 614 at pp.617-618 (Mo.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Bond v. Liberty Ins. Corp.</w:t>
      </w:r>
      <w:r>
        <w:rPr>
          <w:rFonts w:ascii="arial" w:eastAsia="arial" w:hAnsi="arial" w:cs="arial"/>
          <w:color w:val="000000"/>
          <w:sz w:val="20"/>
          <w:lang w:val="en-US" w:eastAsia="en-US" w:bidi="ar-SA"/>
        </w:rPr>
        <w:t>, 272 F. Supp. 3d 1112 (W.D. Mo. 2017), the court held that a deductible referenced in the declarations did not apply to all coverages.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Liberty, however, contends that the Declarations page, which includes reference to the general Section I deductible, is enough to require Plaintiffs to pay a deductible on all claims. According to Liberty, the Declarations show that the "default" rule is that a deductible always applies to a loss unless expressly excluded... Contrary to Liberty's argument, this provision does not state that the class members' claims are subject to a deductible regardless of the compensation style selected. First, the Declarations' reference to a deductible does not "clearly communicate the coverage" of the deductible to a policy holder's claim because on its face-nothing in the Declarations references under what circumstances the Section I deductible will be applied. Instead, the conditions governing when this deductible is applied are set out in the remainder of the policy. Therefore because the Declarations are not clear standing alone as to when deductible applies, the Court must turn to the terms laid out in the remainder of the policy. And, as described above, the terms of the base policy and Home Protector Plus Endorsement do not require the payment of a deductible on ACY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QBE relies on an excerpt discussing aggregate limits from Craig Brown, Glenn Zakaib and Thomas J. Donnelly,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(Toronto, Ont: Carswell, 2002) (loose-leaf release 2019-7) ch. 18.10 (b) stating "[t]he aggregate limit, as its name implies, caps the total amount available under all the coverages during the period." However, this quote relates to the policy wording found in a standard form IBC 2100 CGL policy also excerpted in the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Limits of Insurance stated in the Declarations and the rules below fix the most we will pay regardless of the number of a. Insureds; b. "Claims made or 'actions' brought'"; or c. Persons or organizations making claims or bringing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Aggregate Limit is the most we will pay for the sum of: a. Medical expenses under coverage C; and b. Compensatory damages under Coverage A, Coverage B, and Coverage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such, the IBC policy carefully provides that the aggregate limit applies to a specific list of available coverages, and expressly incorporates the language of the Declarations. This is different from the Policy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text goes on to state at chapter 18-10(a):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Declarations Page of the CGL specifies the amounts for five types of insurance limits: ... The first clause of Section III [of the policy] sets out rules for interpreting these limits ... </w:t>
      </w:r>
      <w:r>
        <w:rPr>
          <w:rFonts w:ascii="arial" w:eastAsia="arial" w:hAnsi="arial" w:cs="arial"/>
          <w:color w:val="000000"/>
          <w:sz w:val="20"/>
          <w:u w:val="single"/>
          <w:lang w:val="en-US" w:eastAsia="en-US" w:bidi="ar-SA"/>
        </w:rPr>
        <w:t>The limits apply only to the compensatory damages payable under Coverages A, B, and D, and medical expenses payable under Coverage C. The limits do not apply to the costs and expenses incurred in defending claims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This extract illustrates that, even in the standard form IBC policy, it is possible to have an aspect of coverage that is not bound by the limits.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sur-reply, QBE argued that the wording in the Policy Period Clause also supports its position. Specifically, QBE argued that this clause recognizes a situation where expenses are incurred prior to a formal third party claim, but the Clause suggests that the insurer will nonetheless consider this situation a CLAIM, to which must be applied the Limits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that this argument arose very late in the day, I provided Surespan with the opportunity to make further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Upon review of those submissions, I agree with Surespan that this clause was intended to control what it is stated to control -- the timing of claims that will be accepted under the Policy -- and was not created to govern the content or limits to the coverages.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discussed above, three of the four coverages require a CLAIM in order to trigger the policy. Even QBE acknowledges that a CLAIM is not always required under the Mitigation of Loss Coverage. I find that the Policy Period Clause's reference to CLAIMS cannot be read as seeking to govern or amend the language of the Mitigation of Loss Coverage or the Limits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Policy Period Clause states that the Policy applies only to CLAIMS made "for the first time during the Policy Period". There are three preconditions to trigger coverage for "CLAIMS", namely: 1. the Insured must report the CLAIM to the Insurer during the Policy Period; 2. the Insured must have no knowledge of the CLAIM prior to the Policy Period; and 3. there must not be any other collectible insurance available concerning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An additional element said to be added for the "protection of the Insured" states that, if the Insured becomes aware during the policy period of a negligent act which may subsequently "give rise to a CLAIM", and reports it to the insurer during the Policy Period, it will be considered a "CLAIM" even if the formal CLAIM is first made after the Policy Period. This clause is expressly stated to control the management of CLAIMS and concerns the timing of such CLAIMS. Absent this provision, a claim based on a negligent act during the policy period, but not advanced by a third party against the Insured until after the Policy expired, would not meet the conditions for coverage. The Policy Period Clause makes the policy more forgiving in favour of the insureds by providing coverage for any such claim made after expiry if the potential claim is reported during the Policy Period. It was not intended to narrow or limit the Mitigation of Loss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the Policy Period Clause does not convert the first party Mitigation of Loss cover into third party claims-made coverage governed by a limit.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Insurer Intention and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left with a suspicion that the failure to include limits language for the Mitigation of Loss Coverage may have been an oversight on the part of QBE. The available evidence suggests that such coverage is not a common element of Canadian insurance policies. The parties were unable to find any Canadian cases interpreting this type of coverage. The Policy was individually negotiated. The potential for errors and mistakes is heightened in such a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 suspicion that there may have been an underwriting error in granting Mitigation of Loss Coverage in a situation where all professional design professionals were covered under the policy, which impinges on the ability of the insurer to seek subrogation for its mitigation losses against the ultimate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But the potential remedy for any policy drafting mistakes is rectification, which itself is controlled by a strict legal test: </w:t>
      </w:r>
      <w:r>
        <w:rPr>
          <w:rFonts w:ascii="arial" w:eastAsia="arial" w:hAnsi="arial" w:cs="arial"/>
          <w:i/>
          <w:color w:val="000000"/>
          <w:sz w:val="20"/>
          <w:lang w:val="en-US" w:eastAsia="en-US" w:bidi="ar-SA"/>
        </w:rPr>
        <w:t>5551928 Manitoba Ltd. v. Canada (Attorney General)</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2019 BCCA 376</w:t>
        </w:r>
      </w:hyperlink>
      <w:r>
        <w:rPr>
          <w:rFonts w:ascii="arial" w:eastAsia="arial" w:hAnsi="arial" w:cs="arial"/>
          <w:color w:val="000000"/>
          <w:sz w:val="20"/>
          <w:lang w:val="en-US" w:eastAsia="en-US" w:bidi="ar-SA"/>
        </w:rPr>
        <w:t xml:space="preserve">. No such application for rectification was made here. Absent rectification or the applicability of some other equitable doctrine, the unambiguous words of the Policy govern, even if there has been a unilateral mistake by the insurer: </w:t>
      </w:r>
      <w:r>
        <w:rPr>
          <w:rFonts w:ascii="arial" w:eastAsia="arial" w:hAnsi="arial" w:cs="arial"/>
          <w:i/>
          <w:color w:val="000000"/>
          <w:sz w:val="20"/>
          <w:lang w:val="en-US" w:eastAsia="en-US" w:bidi="ar-SA"/>
        </w:rPr>
        <w:t>PCL Constructors</w:t>
      </w:r>
      <w:r>
        <w:rPr>
          <w:rFonts w:ascii="arial" w:eastAsia="arial" w:hAnsi="arial" w:cs="arial"/>
          <w:color w:val="000000"/>
          <w:sz w:val="20"/>
          <w:lang w:val="en-US" w:eastAsia="en-US" w:bidi="ar-SA"/>
        </w:rPr>
        <w:t xml:space="preserve">, at paras.41-43; </w:t>
      </w:r>
      <w:r>
        <w:rPr>
          <w:rFonts w:ascii="arial" w:eastAsia="arial" w:hAnsi="arial" w:cs="arial"/>
          <w:i/>
          <w:color w:val="000000"/>
          <w:sz w:val="20"/>
          <w:lang w:val="en-US" w:eastAsia="en-US" w:bidi="ar-SA"/>
        </w:rPr>
        <w:t>Probyn v. Sovereign Life Assurance Co. of Canada</w:t>
      </w:r>
      <w:r>
        <w:rPr>
          <w:rFonts w:ascii="arial" w:eastAsia="arial" w:hAnsi="arial" w:cs="arial"/>
          <w:color w:val="000000"/>
          <w:sz w:val="20"/>
          <w:lang w:val="en-US" w:eastAsia="en-US" w:bidi="ar-SA"/>
        </w:rPr>
        <w:t xml:space="preserve"> (1952), </w:t>
      </w:r>
      <w:hyperlink r:id="rId881" w:history="1">
        <w:r>
          <w:rPr>
            <w:rFonts w:ascii="arial" w:eastAsia="arial" w:hAnsi="arial" w:cs="arial"/>
            <w:i/>
            <w:color w:val="0077CC"/>
            <w:sz w:val="20"/>
            <w:u w:val="single"/>
            <w:shd w:val="clear" w:color="auto" w:fill="FFFFFF"/>
            <w:lang w:val="en-US" w:eastAsia="en-US" w:bidi="ar-SA"/>
          </w:rPr>
          <w:t>[1953] O.R. 361</w:t>
        </w:r>
      </w:hyperlink>
      <w:r>
        <w:rPr>
          <w:rFonts w:ascii="arial" w:eastAsia="arial" w:hAnsi="arial" w:cs="arial"/>
          <w:color w:val="000000"/>
          <w:sz w:val="20"/>
          <w:lang w:val="en-US" w:eastAsia="en-US" w:bidi="ar-SA"/>
        </w:rPr>
        <w:t xml:space="preserve"> at 363.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if the Policy is Properly Found to be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If I am wrong in concluding that the wording of the Policy is clear, and the Policy is determined to be ambiguous, I would still conclude that a finding should be made in Surespan's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finding of ambiguity does allow for a broader review of extrinsic evidence and commercial reasonableness. Where the language of the insurance policy is ambiguous, the court may prefer an interpretation that is consistent with the reasonable expectations of the parties. However, such an interpretation must still be supported by the text of the policy. Reasonable expectations are simply an interpretive tool that may assist a court in resolving ambiguities. It does not operate to create ambiguity where there is none in the first place: </w:t>
      </w:r>
      <w:r>
        <w:rPr>
          <w:rFonts w:ascii="arial" w:eastAsia="arial" w:hAnsi="arial" w:cs="arial"/>
          <w:i/>
          <w:color w:val="000000"/>
          <w:sz w:val="20"/>
          <w:lang w:val="en-US" w:eastAsia="en-US" w:bidi="ar-SA"/>
        </w:rPr>
        <w:t>Ledcor Construction Ltd. v. Northbridge Indemnity Insurance Co.</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2016 SCC 37</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 it relates to the use of extrinsic evidence, the Supreme Court of Canada stated as follows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While the surrounding circumstances will be considered in interpreting the terms of a contract, they must never be allowed to overwhelm the words of that agreement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at para. 14; and Hall, at p. 30). The goal of examining such evidence is to deepen a decision-maker's understanding of the mutual and objective intentions of the parties as expressed in the words of the contract. 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(1997), 101 B.C.A.C. 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nature of the evidence that can be relied upon under the rubric of "surrounding circumstances" will necessarily vary from case to case. It does, however, have its limits. It should consist only of objective evidence of the background facts at the time of the execution of the contract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at paras. 66 and 70), that is, knowledge that was or reasonably ought to have been within the knowledge of both parties at or before the date of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Extrinsic evidence is not admissible to "insert words into a contract" or re-write the parties' agreement. Evidence of one party's subjective intent is never admissible: </w:t>
      </w:r>
      <w:r>
        <w:rPr>
          <w:rFonts w:ascii="arial" w:eastAsia="arial" w:hAnsi="arial" w:cs="arial"/>
          <w:i/>
          <w:color w:val="000000"/>
          <w:sz w:val="20"/>
          <w:lang w:val="en-US" w:eastAsia="en-US" w:bidi="ar-SA"/>
        </w:rPr>
        <w:t>Le Soleil Hospitality Inc. v. Louie</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2007 BCSC 595</w:t>
        </w:r>
      </w:hyperlink>
      <w:r>
        <w:rPr>
          <w:rFonts w:ascii="arial" w:eastAsia="arial" w:hAnsi="arial" w:cs="arial"/>
          <w:color w:val="000000"/>
          <w:sz w:val="20"/>
          <w:lang w:val="en-US" w:eastAsia="en-US" w:bidi="ar-SA"/>
        </w:rPr>
        <w:t xml:space="preserve"> at para. 7, aff'd </w:t>
      </w:r>
      <w:hyperlink r:id="rId885" w:history="1">
        <w:r>
          <w:rPr>
            <w:rFonts w:ascii="arial" w:eastAsia="arial" w:hAnsi="arial" w:cs="arial"/>
            <w:i/>
            <w:color w:val="0077CC"/>
            <w:sz w:val="20"/>
            <w:u w:val="single"/>
            <w:shd w:val="clear" w:color="auto" w:fill="FFFFFF"/>
            <w:lang w:val="en-US" w:eastAsia="en-US" w:bidi="ar-SA"/>
          </w:rPr>
          <w:t>2008 BCCA 206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Street Pictures Ltd. v. Forefront Releasing Inc.</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2006 BCCA 459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ch. 18-10(b), footnote 328, the authors make the following point about the effect of ambiguity in relation to insurance limits: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uncertainty or vagueness in the drafting of the aggregate limit and its interpretation in the CGL policy will usually be construed against the Insurer, </w:t>
      </w:r>
      <w:r>
        <w:rPr>
          <w:rFonts w:ascii="arial" w:eastAsia="arial" w:hAnsi="arial" w:cs="arial"/>
          <w:i/>
          <w:color w:val="000000"/>
          <w:sz w:val="20"/>
          <w:lang w:val="en-US" w:eastAsia="en-US" w:bidi="ar-SA"/>
        </w:rPr>
        <w:t>per contra proferentem</w:t>
      </w:r>
      <w:r>
        <w:rPr>
          <w:rFonts w:ascii="arial" w:eastAsia="arial" w:hAnsi="arial" w:cs="arial"/>
          <w:color w:val="000000"/>
          <w:sz w:val="20"/>
          <w:lang w:val="en-US" w:eastAsia="en-US" w:bidi="ar-SA"/>
        </w:rPr>
        <w:t xml:space="preserve">, such that each occurrence claim could be interpreted as having a maximum limit equal to the aggregate limit. See e.g. </w:t>
      </w:r>
      <w:r>
        <w:rPr>
          <w:rFonts w:ascii="arial" w:eastAsia="arial" w:hAnsi="arial" w:cs="arial"/>
          <w:i/>
          <w:color w:val="000000"/>
          <w:sz w:val="20"/>
          <w:lang w:val="en-US" w:eastAsia="en-US" w:bidi="ar-SA"/>
        </w:rPr>
        <w:t>Continental Insurance Co. v. Law Society (Alberta)</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(1984), 8 CCLI 13</w:t>
        </w:r>
      </w:hyperlink>
      <w:r>
        <w:rPr>
          <w:rFonts w:ascii="arial" w:eastAsia="arial" w:hAnsi="arial" w:cs="arial"/>
          <w:color w:val="000000"/>
          <w:sz w:val="20"/>
          <w:lang w:val="en-US" w:eastAsia="en-US" w:bidi="ar-SA"/>
        </w:rPr>
        <w:t xml:space="preserve"> (Alta. CA), leave to appeal ref'd, where the insurer was ordered to respond to claims involving its aggregate limits for two separate claims in the same policy year because the aggregate limit was deficiently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proffered certain information from an underwriter who was not directly involved in the negotiation of the Policy, which evidence was designed to suggest that QBE would never write coverage without a limit. Surespan criticized the admissibility and weight of this evidence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Pidduck vaguely refers to an "underwriting philosophy or 'appetite' mandated by QBE European Operations", but he does not explain who mandated it, what it is, or how he knew about it (para. 4). Instead, Mr. Pidduck relies on a document created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Policy was issued (paras. 6-7). Mr. Pidduck does not depose that he was the author of the document, so the paragraphs of his affidavit that purport to interpret it are simply argument (7- 11).</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Policy was admittedly negotiated and it was not a QBE standard form, similar fact evidence of QBE's practice is irrelevant. It is also telling that Mr. Thompson, who was directly involved, has not provided any evidence about QBE's "appetite".</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Pidduck does not establish the source of his knowledge for his assertions at paras. 11-12 or why he would know that QBE "has never" done something. Again, Mr. Pidduck did not underwrite the particular Policy and has not confirmed (and could not confirm) that the Policy was underwritten in accordance with QBE's normal underwriting procedures. In fact, it appears that it was not. The evidence of Mr. Thompson confirms that the Policy was negotiated and it was not a QBE standard form policy.</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Above all, Mr. Pidduck was not involved and does not know whether QBE's normal practice was in fact followed in the case of the Policy. Further:</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Pidduck does not explain in any detail QBE's normal practice and does not confirm that it was an invariable practice;</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Pidduck does not state whether the practice is followed in the U.K. as well as in Toronto;</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Pidduck does not state whether this "practice" was found in any written policy (but since he has sought to enter into evidence a later document, it can be inferred that no such written policy existed at the time the Policy was issued), or whether QBE engages in any training or enforcement of its "normal practice"; and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Pidduck does not provide any detail as to why he believes that this practice was followed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agree that these weaknesses in Mr. Pidduck's evidence greatly reduce its weight. In particular, it does not tilt the scales against the weight of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principle. Specifically, the evidence is insufficient to establish that QBE would never write a policy without a limit upon its Mitigation of Loss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terms of commercial reality, it is worth noting that the decisions in </w:t>
      </w:r>
      <w:r>
        <w:rPr>
          <w:rFonts w:ascii="arial" w:eastAsia="arial" w:hAnsi="arial" w:cs="arial"/>
          <w:i/>
          <w:color w:val="000000"/>
          <w:sz w:val="20"/>
          <w:lang w:val="en-US" w:eastAsia="en-US" w:bidi="ar-SA"/>
        </w:rPr>
        <w:t>Weyerhauser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Bond</w:t>
      </w:r>
      <w:r>
        <w:rPr>
          <w:rFonts w:ascii="arial" w:eastAsia="arial" w:hAnsi="arial" w:cs="arial"/>
          <w:color w:val="000000"/>
          <w:sz w:val="20"/>
          <w:lang w:val="en-US" w:eastAsia="en-US" w:bidi="ar-SA"/>
        </w:rPr>
        <w:t xml:space="preserve"> show that it is not impossible to find examples of insurers writing policies that have no limit on certain aspects of their policies. Further, as QBE accepted, it is common for defence costs not to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Finally, as to the issue of commercial reality, there is evidence of careful consideration of the scope and cost of the Project by QBE as part of its underwriting process. As such, QBE would have known that the Mitigation of Loss Coverage had certain natural limits in terms of the potential worst-case scenario of a complete rebuild. QBE was aware of the costs of construction of the Project as a whole, and the parkades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find that, if there is an ambiguity in the Policy, the concept of reasonable expectations considered alongside the effect of the principle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still, on balance, supports Surespan's proposed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Reductions to the Available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Given that I have found that the limit does not apply to the Mitigation of Loss Coverage, it is not necessary for me to resolve what amounts would need to be deducted from a limit, if it applied. However, as this issue was comprehensively argued, I provide my alternative findings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Both parties agree that the "first past the post" principle should govern. In other words, if amounts have previously been committed under a limit, the insurer is entitled to reduce the amount payable to any remaining insureds by those amounts committed. The insurer can pay out its commitments in the order in which they were incurred without fear of reprisal from subsequent insureds: </w:t>
      </w:r>
      <w:r>
        <w:rPr>
          <w:rFonts w:ascii="arial" w:eastAsia="arial" w:hAnsi="arial" w:cs="arial"/>
          <w:i/>
          <w:color w:val="000000"/>
          <w:sz w:val="20"/>
          <w:lang w:val="en-US" w:eastAsia="en-US" w:bidi="ar-SA"/>
        </w:rPr>
        <w:t>Re: Aviva Canada Inc.</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2006 BCSC 1578</w:t>
        </w:r>
      </w:hyperlink>
      <w:r>
        <w:rPr>
          <w:rFonts w:ascii="arial" w:eastAsia="arial" w:hAnsi="arial" w:cs="arial"/>
          <w:color w:val="000000"/>
          <w:sz w:val="20"/>
          <w:lang w:val="en-US" w:eastAsia="en-US" w:bidi="ar-SA"/>
        </w:rPr>
        <w:t xml:space="preserve"> at paras. 20-23,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Alberta Court of Queen's Bench considered the application of the "first past the post" rule in the context of a project professional liability insurance policy in </w:t>
      </w:r>
      <w:r>
        <w:rPr>
          <w:rFonts w:ascii="arial" w:eastAsia="arial" w:hAnsi="arial" w:cs="arial"/>
          <w:i/>
          <w:color w:val="000000"/>
          <w:sz w:val="20"/>
          <w:lang w:val="en-US" w:eastAsia="en-US" w:bidi="ar-SA"/>
        </w:rPr>
        <w:t>Commerce &amp; Industry Insurance Company Canada, Inc. v. Singleton Associated Engineering Ltd.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2005 ABQB 500</w:t>
        </w:r>
      </w:hyperlink>
      <w:r>
        <w:rPr>
          <w:rFonts w:ascii="arial" w:eastAsia="arial" w:hAnsi="arial" w:cs="arial"/>
          <w:color w:val="000000"/>
          <w:sz w:val="20"/>
          <w:lang w:val="en-US" w:eastAsia="en-US" w:bidi="ar-SA"/>
        </w:rPr>
        <w:t>. While acknowledging that there are potential inequities in the application of the rule, where the ordering of determined claims is established by an insurer fulfilling its duty of utmost good faith to all of its insureds, the court held that such an ordering should be upheld for reasons of commercial efficiency: at paras. 40-41,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When did Stantec and Surespan's Expenses Pass the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Surespan argued that the Mitigation of Loss Coverage created a duty on QBE to indemnify insureds as qualifying expenses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Neither party was able to turn up a decision that considered how to apply the "first past the post" principle in the context of first party insurance. However, Surespan draws an analogy to a type of coverage akin to first party coverage -- that for defence costs. In </w:t>
      </w:r>
      <w:r>
        <w:rPr>
          <w:rFonts w:ascii="arial" w:eastAsia="arial" w:hAnsi="arial" w:cs="arial"/>
          <w:i/>
          <w:color w:val="000000"/>
          <w:sz w:val="20"/>
          <w:lang w:val="en-US" w:eastAsia="en-US" w:bidi="ar-SA"/>
        </w:rPr>
        <w:t>Laidlaw Inc. (Re)</w:t>
      </w:r>
      <w:r>
        <w:rPr>
          <w:rFonts w:ascii="arial" w:eastAsia="arial" w:hAnsi="arial" w:cs="arial"/>
          <w:color w:val="000000"/>
          <w:sz w:val="20"/>
          <w:lang w:val="en-US" w:eastAsia="en-US" w:bidi="ar-SA"/>
        </w:rPr>
        <w:t xml:space="preserve">, 2003 CanLII 24570 (Ont. S.C.J.), the court was asked by the insurer to approve payment of defence costs and settlements and judgments in the order in which they were incurred, agreed to, or obtained. The court granted the declaration. Surespan argues that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xml:space="preserve"> stands for the principle that where an obligation to indemnify arises when the costs are incurred, the post is reached when such costs are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weight of the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xml:space="preserve"> decision is somewhat weakened by the fact that this aspect of the order was not contested (para. 3). The same can be said regarding the decision in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However, these courts did consider the underlying policy basis for the rule, which also applies generally in the case of pure first party insurance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xml:space="preserve">, paras. 14-17;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para. 23). In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this policy was expressed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Such an approach is the fairer option as it encourages early settlement which lessens the burden on the courts; it rewards those claimants who diligently move their claims forward; and it affords judgment creditors the opportunity to realize the fruits of their judgments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More importantly, the findings in these decisions are consistent with the language of the Policy here. The Mitigation of Loss Coverage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INSURERS will additionally indemnify the INSURED against the costs of remedying defects in the WORKS in order to fulfil contracts undertaken for others </w:t>
      </w:r>
      <w:r>
        <w:rPr>
          <w:rFonts w:ascii="arial" w:eastAsia="arial" w:hAnsi="arial" w:cs="arial"/>
          <w:color w:val="000000"/>
          <w:sz w:val="20"/>
          <w:u w:val="single"/>
          <w:lang w:val="en-US" w:eastAsia="en-US" w:bidi="ar-SA"/>
        </w:rPr>
        <w:t>where such costs are necessarily incurred</w:t>
      </w:r>
      <w:r>
        <w:rPr>
          <w:rFonts w:ascii="arial" w:eastAsia="arial" w:hAnsi="arial" w:cs="arial"/>
          <w:color w:val="000000"/>
          <w:sz w:val="20"/>
          <w:lang w:val="en-US" w:eastAsia="en-US" w:bidi="ar-SA"/>
        </w:rPr>
        <w:t xml:space="preserve"> prior to SUBSTANTIAL COMPLETION </w:t>
      </w:r>
      <w:r>
        <w:rPr>
          <w:rFonts w:ascii="arial" w:eastAsia="arial" w:hAnsi="arial" w:cs="arial"/>
          <w:color w:val="000000"/>
          <w:sz w:val="20"/>
          <w:u w:val="single"/>
          <w:lang w:val="en-US" w:eastAsia="en-US" w:bidi="ar-SA"/>
        </w:rPr>
        <w:t>with the prior written consent of THE INSURER (such consent not to be unreasonably withheld)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such, under this coverage, the right to obtain payment from the insurer is contingent on (1) when the expenses are incurred, and (2) when consent is either granted or unreasonably withheld.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Surespan says that it first passed the post by the end of March 2017 when QBE declined to pay Surespan's first invoice submitted under the Mitigation of Loss Coverage. By this date, the two qualifications noted above were met. Expenses had been incurred. Consent was sought and, as is now clear, consent was unreasonably withheld. The denial was based on the position that Surespan was not an insured under the Policy, but Justice Winteringham determined that Surespan was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However, it is only the amounts incurred and refused at that time that passed the post in March 2017, or $262,852.36. The crystallization of Surespan's later expenses is discussed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find that under the Mitigation of Loss Coverage, the passing of the post should generally be deemed to have occurred on the earliest of a formal denial of coverage, or sixty days after the submission of the expense. I apply this time frame as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xml:space="preserve"> effectively gives the insurer sixty days to adjust an expense before it can be subjected to litigation. Section 23(2) reads:</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must not be brought for the recovery of money payable under a contract of insurance until the expiration of 60 days after proof, in accordance with the contract</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loss, or</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happening of the event on which the insurance money is to become payable,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of such shorter period as may be set by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This general rule is subject to potential exceptions. For example, if it is clear that the sequence of submissions to an insurer has been artificially managed in bad faith, a different ordering may be justified: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Commerce</w:t>
      </w:r>
      <w:r>
        <w:rPr>
          <w:rFonts w:ascii="arial" w:eastAsia="arial" w:hAnsi="arial" w:cs="arial"/>
          <w:color w:val="000000"/>
          <w:sz w:val="20"/>
          <w:lang w:val="en-US" w:eastAsia="en-US" w:bidi="ar-SA"/>
        </w:rPr>
        <w:t>, at para.45. However, there is no evidence of such manipulation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Can the Amount Payable be Determined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QBE argues that it is not yet known whether it failed to properly adjust even Surespan's first submtted expense because it remains possible that a court in the HGS Litigation could find that some or all of the problems were caused by difficulties other than those that relate to professional services. Hence, QBE argues that it is possible that Surespan has not yet passed the post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However, the Winteringham Order (and subsequent short extension agreement) required that QBE pay what is covered now. It is not an option for QBE to ignore the timing provided for in the Order. QBE could have appealed the Winteringham Order if it was of the view that it was not possible to determine the amounts owing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Furthermore, I find that whether the amounts were incurred in relation to errors in the performance of professional services can be determined now. Surespan has filed sufficient expert evidence for the Court to conclude that the errors arose as a result of professional services. I rely, in particular, on the April 16, 2019 report from KDA, which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3.17 With respect to precast design services performed by HGS and HGS's failure to meet the standard of practice of a reasonably prudent and competent structural engineer performing precast design services in British Columbia, the above items are not a complete list and there are other HGS errors and omissions that are not included in this opinion.</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Remedial work describe in HGS's 2017 Repair Drawings was reasonably required to ensure the CMX Parkade and CBR Parkade conformed with the BC Building Code 2012 and CSA A23.3...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This evidence is sufficient to establish that there was a "defect in the WORKS ... result[ing] from an error, omission or negligent act in the performance of PROFESSIONAL SERVICES". Surespan's contractual onus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If QBE wished to contest this evidence, they could have done so at this hearing. QBE had an obligation to put its best foot forward: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32. QBE did not file the expert evidence that it did in fact obtain. I find that this failure raises an adverse inference: </w:t>
      </w:r>
      <w:r>
        <w:rPr>
          <w:rFonts w:ascii="arial" w:eastAsia="arial" w:hAnsi="arial" w:cs="arial"/>
          <w:i/>
          <w:color w:val="000000"/>
          <w:sz w:val="20"/>
          <w:lang w:val="en-US" w:eastAsia="en-US" w:bidi="ar-SA"/>
        </w:rPr>
        <w:t>Liu v. Luo</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2018 BCSC 1237</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it is true that in its pleadings in the HGS Litigation, Surespan raises the potential for errors beyond design, I find that this is simply understandably cautious pleading. It does not prevent this court from making the necessary findings to assess Surespan's entitlement to coverage for expenses incurred based on the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Indeed, to suggest that the amount payable under Mitigation of Loss Coverage cannot be determined until the resolution of any underlying litigation, is inconsistent with the purpose of such coverage. This coverage is primarily designed </w:t>
      </w:r>
      <w:r>
        <w:rPr>
          <w:rFonts w:ascii="arial" w:eastAsia="arial" w:hAnsi="arial" w:cs="arial"/>
          <w:color w:val="000000"/>
          <w:sz w:val="20"/>
          <w:u w:val="single"/>
          <w:lang w:val="en-US" w:eastAsia="en-US" w:bidi="ar-SA"/>
        </w:rPr>
        <w:t>to avoid a claim ever being launched</w:t>
      </w:r>
      <w:r>
        <w:rPr>
          <w:rFonts w:ascii="arial" w:eastAsia="arial" w:hAnsi="arial" w:cs="arial"/>
          <w:color w:val="000000"/>
          <w:sz w:val="20"/>
          <w:lang w:val="en-US" w:eastAsia="en-US" w:bidi="ar-SA"/>
        </w:rPr>
        <w:t xml:space="preserve">. As such, it must have been intended that payments might be made before the issue is finally determined in third party litigation. This is consistent with the policy underlying the "first past the post" rule, expressed as follows in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Should those claimants who have diligently brought their claims forward and now wish to negotiate settlements with Aviva be forced to wait until all potential claimants have come forward and had their cases heard? To deny those claimants who wish to enter into negotiated settlements in order to receive their just compensation as soon as possible is to impose upon them a profound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implication of QBE's argument is that no request for payment under the Mitigation of Loss Coverage could ever be paid until all potential tort claims are finally resolved. This cannot be correct, as it would largely defeat the purpose of such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QBE seeks to rely on </w:t>
      </w:r>
      <w:r>
        <w:rPr>
          <w:rFonts w:ascii="arial" w:eastAsia="arial" w:hAnsi="arial" w:cs="arial"/>
          <w:i/>
          <w:color w:val="000000"/>
          <w:sz w:val="20"/>
          <w:lang w:val="en-US" w:eastAsia="en-US" w:bidi="ar-SA"/>
        </w:rPr>
        <w:t>Hertay v. Insurance Corp. of British Columbia</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[1990] B.C.J. No. 1732</w:t>
        </w:r>
      </w:hyperlink>
      <w:r>
        <w:rPr>
          <w:rFonts w:ascii="arial" w:eastAsia="arial" w:hAnsi="arial" w:cs="arial"/>
          <w:color w:val="000000"/>
          <w:sz w:val="20"/>
          <w:lang w:val="en-US" w:eastAsia="en-US" w:bidi="ar-SA"/>
        </w:rPr>
        <w:t>, [1990] B.C.W.L.D. 1932 (S.C.). I note that this decision did not involve an insurer's obligation to pay first party expenses already incurred. Rather it involved a request for an indemnity payment on a third party claim before that third party claim was resolved. Further, other potentially interested parties in that case declined to participate, whereas the other interested parties here were served and either made special arrangements allowing the matter to proceed without their involvement, or, in the case of Stantec, did appear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are other problems with QBE's position that Surespan's coverage is not yet ripe for determination:</w:t>
      </w:r>
      <w:r>
        <w:rPr>
          <w:rFonts w:ascii="arial" w:eastAsia="arial" w:hAnsi="arial" w:cs="arial"/>
          <w:sz w:val="20"/>
          <w:lang w:val="en-US" w:eastAsia="en-US" w:bidi="ar-SA"/>
        </w:rPr>
        <w:cr/>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QBE suggested on the first day that this matter was presently capable of summary determination;</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QBE suggested earlier in the hearing that it was not contesting Surespan's expenses. Their counsel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SMITH: With apologies to my friend and the court. </w:t>
      </w:r>
      <w:r>
        <w:rPr>
          <w:rFonts w:ascii="arial" w:eastAsia="arial" w:hAnsi="arial" w:cs="arial"/>
          <w:color w:val="000000"/>
          <w:sz w:val="20"/>
          <w:u w:val="single"/>
          <w:lang w:val="en-US" w:eastAsia="en-US" w:bidi="ar-SA"/>
        </w:rPr>
        <w:t>What you will not hear from us is, given where our investigation had led us, that there is any grounds upon which to assert that there are construction defects</w:t>
      </w:r>
      <w:r>
        <w:rPr>
          <w:rFonts w:ascii="arial" w:eastAsia="arial" w:hAnsi="arial" w:cs="arial"/>
          <w:color w:val="000000"/>
          <w:sz w:val="20"/>
          <w:lang w:val="en-US" w:eastAsia="en-US" w:bidi="ar-SA"/>
        </w:rPr>
        <w:t>. Those are nowhere in my submissions. They remain an issue in the underlying proceedings, and there has been a certain amount of caution that had dictated, given our obligations to HGS. So we do not take issue with that. We do not take issue that -- with Surespan's expenditures.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Rest of the Horse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next events in the horse race to exhaust any limits were Surespan's submissions of invoices 2, 3 and 4 for $234,599.22, $585,163.34, and $422,985.17 respectively. I find that each of these amounts passed the post upon their submission, given that the earlier denial was still 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next event was the submission of Stantec's Mitigation Loss Coverage expense of $477,646.75. If Surespan's earlier invoice submission qualifies as having passed the post, then so must Stantec's. I did not take Surespan to be seriously contesting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key question is when did the amount QBE agreed to pay towards Stantec's settlement of the Graham Claim reach the post. I find that this did not occur until April 12, 2019. QBE argued that Stantec reached the post in relation to this amount as early as August 31, 2017. However, all that occurred on that date was that QBE authorized a $700,000 contribution towards Stantec's settlement effort. At that time, Graham had not agreed to any particular settlement figure. Indeed, it had advanced a claim for $7,063,492. A claim alone is insufficient to create a drain on a limit. As QBE acknowledged in their own brief: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maintains that the contractual duty undertaken by a liability insurer is to hold harmless the assured against third party liability. No obligation on the part of the insurer arises until the liability of the assured to a third party is established and quantified by judgment, arbitration award or settlement. </w:t>
      </w:r>
      <w:r>
        <w:rPr>
          <w:rFonts w:ascii="arial" w:eastAsia="arial" w:hAnsi="arial" w:cs="arial"/>
          <w:i/>
          <w:color w:val="000000"/>
          <w:sz w:val="20"/>
          <w:lang w:val="en-US" w:eastAsia="en-US" w:bidi="ar-SA"/>
        </w:rPr>
        <w:t>Cox v. Bankside Members Agency Ltd</w:t>
      </w:r>
      <w:r>
        <w:rPr>
          <w:rFonts w:ascii="arial" w:eastAsia="arial" w:hAnsi="arial" w:cs="arial"/>
          <w:color w:val="000000"/>
          <w:sz w:val="20"/>
          <w:lang w:val="en-US" w:eastAsia="en-US" w:bidi="ar-SA"/>
        </w:rPr>
        <w:t xml:space="preserve">. [1995] CLC 180 (Eng QB), at page 8; aff'd </w:t>
      </w:r>
      <w:r>
        <w:rPr>
          <w:rFonts w:ascii="arial" w:eastAsia="arial" w:hAnsi="arial" w:cs="arial"/>
          <w:i/>
          <w:color w:val="000000"/>
          <w:sz w:val="20"/>
          <w:lang w:val="en-US" w:eastAsia="en-US" w:bidi="ar-SA"/>
        </w:rPr>
        <w:t>Cox v. Bankside Members Agency Ltd.</w:t>
      </w:r>
      <w:r>
        <w:rPr>
          <w:rFonts w:ascii="arial" w:eastAsia="arial" w:hAnsi="arial" w:cs="arial"/>
          <w:color w:val="000000"/>
          <w:sz w:val="20"/>
          <w:lang w:val="en-US" w:eastAsia="en-US" w:bidi="ar-SA"/>
        </w:rPr>
        <w:t>, [1995] CLC 671 (Eng CA), at page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was no guarantee that any settlement would ever be arrived at as of August 31, 2017. It would be a strange thing if amounts could be placed off limits by the mere provision of instructions to counsel to try and settle for a certain amount. Such an approach would also be administratively cumbersome. What would happen if no settlement was ever achieved? How and when would the reserved funds come back into the limits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Indeed, as matters came to pass in this claim, this original settlement instruction was insufficient. More money was required. QBE could presumably have withdrawn its earlier instructions at that point if it determined that a settlement at the new higher level was inadvisable.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the court stated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see that there is any provision in the subject Policies which would allow or require [the insurer] to consider claims or potential claims </w:t>
      </w:r>
      <w:r>
        <w:rPr>
          <w:rFonts w:ascii="arial" w:eastAsia="arial" w:hAnsi="arial" w:cs="arial"/>
          <w:color w:val="000000"/>
          <w:sz w:val="20"/>
          <w:u w:val="single"/>
          <w:lang w:val="en-US" w:eastAsia="en-US" w:bidi="ar-SA"/>
        </w:rPr>
        <w:t>which have not been finally determined by judgment or settlement</w:t>
      </w:r>
      <w:r>
        <w:rPr>
          <w:rFonts w:ascii="arial" w:eastAsia="arial" w:hAnsi="arial" w:cs="arial"/>
          <w:color w:val="000000"/>
          <w:sz w:val="20"/>
          <w:lang w:val="en-US" w:eastAsia="en-US" w:bidi="ar-SA"/>
        </w:rPr>
        <w:t xml:space="preserve"> as opposed to its obligation to pay claims which have been finally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Solway v. Lloyd's Underwriters</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75 O.R. (3d) 129</w:t>
        </w:r>
      </w:hyperlink>
      <w:r>
        <w:rPr>
          <w:rFonts w:ascii="arial" w:eastAsia="arial" w:hAnsi="arial" w:cs="arial"/>
          <w:color w:val="000000"/>
          <w:sz w:val="20"/>
          <w:lang w:val="en-US" w:eastAsia="en-US" w:bidi="ar-SA"/>
        </w:rPr>
        <w:t xml:space="preserve"> (S.C.) at paras. 65-69, rev'd in part on other grounds </w:t>
      </w:r>
      <w:hyperlink r:id="rId893" w:history="1">
        <w:r>
          <w:rPr>
            <w:rFonts w:ascii="arial" w:eastAsia="arial" w:hAnsi="arial" w:cs="arial"/>
            <w:i/>
            <w:color w:val="0077CC"/>
            <w:sz w:val="20"/>
            <w:u w:val="single"/>
            <w:shd w:val="clear" w:color="auto" w:fill="FFFFFF"/>
            <w:lang w:val="en-US" w:eastAsia="en-US" w:bidi="ar-SA"/>
          </w:rPr>
          <w:t>80 O.R. (3d) 401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This approach is also consistent with the Action Against Insurer Clause, which provides that no action shall lie against an insurer until the amount of the insured's obligation to pay has been "finally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Here, the Graham Claim was not "finally determined" until April 12, 2019. Surespan's Invoices 5, 6, and 7 were incurred and submitted before the funds required for Stantec to settle the Graham claim were committed. As such, I find that Surespan reached the post first in relation to those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am prepared to accept that the amount required to pay the Graham Claim against QBE passed the post as of April 12,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one complication that must be addressed in relation to the amount that QBE has committed towards the Graham settlement. As part of the settlement, Stantec apparently entered into an agreement with Graham that it would provide Graham with a "discount" in the amount of up to $400,000 if retained on "future projects". Surespan argues that this is a contingent obligation that may never occur and should not take precedence over the mitigation costs that Surespan has actually incurred. I disagree. QBE has agreed to pay an amount that includes $400,000 representing this obligation. As such, it has been paid pursuant to a final settlement. It is more akin to a settlement payable over time. The fact that a settlement is payable over time does not change the fact that the amount has been properly committed so that a final settlement could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such, in the race by the insureds against any limits, the final results are as follows (assuming for the moment that the limit applies to the Mitigation of Loss Coverage, and we disregard Sureplans' financing charges and QBE's own Claim Expenses, discussed in the next sections):</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Surespan's Invoices 1, 2, 3, 4;</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Stantec's Mitigation of Loss Claim;</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Surespan's Invoices 5, 6, 7;</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Stantec's Graham Claim settlement amount;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Surespan invoices submitted after April 12, 2019.</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QBE's Claim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QBE argues that it is also necessary to deduct $316,184.04 from the limit for its own Claim Expenses. This includes expenses incurred by its Adjuster and amounts incurred by various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was unable to determine, on the evidence before me, precisely how much of these amounts are properly deductible from any limit. To the extent that the expenses properly relate to the defence of Surespan's coverage lawsuit, they are not properly within the scope of Claim Expenses reducing the limit. The retainer letters with the firms that incurred the expenses suggest that a component was more in the nature of litigation support. As one example, the De Simone retainer letter is said to be subject to "litigation privilege" and advises that their report should be prepared for use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were also expenses incurred after the Winteringham Order which appear to be more responsive to the litigation rather than being proper Claim Expenses. QBE itself admitted in argument that certain time entries appeared to be more related to the underlying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Nonetheless, I find that sufficient detail was provided to conclude that at least a portion of the expenses would properly fall within the Claim Expense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By failing to carefully segregate the reason for each time entry, and by simply attaching the invoices to a legal assistant's affidavit, QBE made it challenging to determine the proper Claim Expense amount. Although I accept that QBE carried the burden of establishing reductions to the limit, I do not believe that it would be fair or reasonable to deny its claim for expenses completely. Had a limit applied, I would have referred the determination of the proper Claim Expense amount to the Registrar for consideration and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Of the Claim Expenses properly included, I would have directed that they were "past the post" on the date that each was incurred. This is consistent with the approach adopted above for the insured's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Financing and Legal Fee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Surespan says that as of May 2019 it had incurred $626,934.37 in interest and fees (the "Financing Costs"). Surespan estimates that between May 2019 and the date of judgement, it has been incurring $45,525 per month in interest. Surespan also says that it incurred approximately $56,106 in legal fees outside of the present litigation that would not have been incurred absent QBE's wrongful refusal of coverage. At the hearing, Surespan estimated that its total costs under this heading had reached approximately $889,000.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Surespan clarified at the hearing that it sought recovery of these amounts not on the basis that they were covered by the Policy </w:t>
      </w:r>
      <w:r>
        <w:rPr>
          <w:rFonts w:ascii="arial" w:eastAsia="arial" w:hAnsi="arial" w:cs="arial"/>
          <w:color w:val="000000"/>
          <w:sz w:val="20"/>
          <w:u w:val="single"/>
          <w:lang w:val="en-US" w:eastAsia="en-US" w:bidi="ar-SA"/>
        </w:rPr>
        <w:t>per se</w:t>
      </w:r>
      <w:r>
        <w:rPr>
          <w:rFonts w:ascii="arial" w:eastAsia="arial" w:hAnsi="arial" w:cs="arial"/>
          <w:color w:val="000000"/>
          <w:sz w:val="20"/>
          <w:lang w:val="en-US" w:eastAsia="en-US" w:bidi="ar-SA"/>
        </w:rPr>
        <w:t>, but rather as contractual damages flowing naturally from QBE's breach of its contractual duty to promptly adjust the claim and, in particular, its conduct in failing to meet the deadline established in the Winteringham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QBE argues that Surespan only had to incur financing costs as a function of its individual financial situation, which was not a risk factor for which QBE should be obliged to indemnify Surespan. Surespan would not have had to finance the repairs if it had adequate cash on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accept that financing costs should not be routinely paid in an insurance coverage claim: </w:t>
      </w:r>
      <w:r>
        <w:rPr>
          <w:rFonts w:ascii="arial" w:eastAsia="arial" w:hAnsi="arial" w:cs="arial"/>
          <w:i/>
          <w:color w:val="000000"/>
          <w:sz w:val="20"/>
          <w:lang w:val="en-US" w:eastAsia="en-US" w:bidi="ar-SA"/>
        </w:rPr>
        <w:t>British Columbia Buildings Corp. v. Reed Stenhouse Ltd</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(1989), 35 B.C.L.R. (2d) 94</w:t>
        </w:r>
      </w:hyperlink>
      <w:r>
        <w:rPr>
          <w:rFonts w:ascii="arial" w:eastAsia="arial" w:hAnsi="arial" w:cs="arial"/>
          <w:color w:val="000000"/>
          <w:sz w:val="20"/>
          <w:lang w:val="en-US" w:eastAsia="en-US" w:bidi="ar-SA"/>
        </w:rPr>
        <w:t xml:space="preserve"> (S.C.). Otherwise insurers would, for example, be called upon to pay a home insured's credit card interest every time an insured uses their card to replace stolen goods before an insurer's adjustment process is complete. Furthermore, such an approach would create an artificial distinction between insureds with sufficient funds to fund replacement versus those who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That said, I find that it is appropriate to make an order for damages in the unique circumstances of this case. This is driven primarily by the fact that QBE failed to respect the timetable for adjusting the claim required by the Winteringham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There is no basis for the covered amount awarded in this judgment not to have been paid at an earlier date. QBE simply took too long to adjust the claim, longer than QBE agreed to take before this Court. As noted above,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contemplates that adjustment of a claim be completed within 60 days. The Winteringham Order and the extension agreed to by Surespan already provided QBE with more time than the statutory allowance. QBE failed to seek an amendment of the terms of the Winteringham Order. For this, there is no excuse. QBE argues that the claim was difficult to adjust. However, if it were more difficult to adjust than expected, there was a clear route back to court to apply to adjust the date to which it had previously agreed. QBE essentially engaged in "self-help" by adopting its own timetable and disregarding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Furthermore, QBE's reason for delay appears to have been driven in part by its effort to get all the insureds under the Policy to agree on how the funds should be distributed. But this approach is inconsistent with QBE's own position before this Court that "first past the post" principle governs in such a situation. QBE need not, and should not, have waited for all insureds to collectively agree on who should get paid out, in what order, and in what amount. QBE was in a position to pay out amounts as each submission passed the post. It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Surespan argues that such an award need not meet the test for aggravated or punitive damages, or the test for special costs. Rather, this aspect of their claim flows from the breach of contract, and hence is treated as consequential damages. Surespan relies on </w:t>
      </w:r>
      <w:r>
        <w:rPr>
          <w:rFonts w:ascii="arial" w:eastAsia="arial" w:hAnsi="arial" w:cs="arial"/>
          <w:i/>
          <w:color w:val="000000"/>
          <w:sz w:val="20"/>
          <w:lang w:val="en-US" w:eastAsia="en-US" w:bidi="ar-SA"/>
        </w:rPr>
        <w:t>Ferme Gérald Laplante &amp; Fils Ltée. v. Grenville Patron Mutual Fire Insurance Co.</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61 O.R. (3d) 481</w:t>
        </w:r>
      </w:hyperlink>
      <w:r>
        <w:rPr>
          <w:rFonts w:ascii="arial" w:eastAsia="arial" w:hAnsi="arial" w:cs="arial"/>
          <w:color w:val="000000"/>
          <w:sz w:val="20"/>
          <w:lang w:val="en-US" w:eastAsia="en-US" w:bidi="ar-SA"/>
        </w:rPr>
        <w:t xml:space="preserve"> (Ont.C.A.), leave to appeal ref'd, (2003), </w:t>
      </w:r>
      <w:hyperlink r:id="rId896" w:history="1">
        <w:r>
          <w:rPr>
            <w:rFonts w:ascii="arial" w:eastAsia="arial" w:hAnsi="arial" w:cs="arial"/>
            <w:i/>
            <w:color w:val="0077CC"/>
            <w:sz w:val="20"/>
            <w:u w:val="single"/>
            <w:shd w:val="clear" w:color="auto" w:fill="FFFFFF"/>
            <w:lang w:val="en-US" w:eastAsia="en-US" w:bidi="ar-SA"/>
          </w:rPr>
          <w:t>[2002] S.C.C.A. No. 488</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The implied obligation to act in good faith has been extended beyond mutual disclosure requirements in relation to the nature of the risk being undertaken. In particular, the courts have recognized that the insured, having suffered a loss, will frequently be in a vulnerable position and largely dependent upon the insurer to provide relief against the financial pressure occasioned by the loss underlying the claim. </w:t>
      </w:r>
      <w:r>
        <w:rPr>
          <w:rFonts w:ascii="arial" w:eastAsia="arial" w:hAnsi="arial" w:cs="arial"/>
          <w:color w:val="000000"/>
          <w:sz w:val="20"/>
          <w:u w:val="single"/>
          <w:lang w:val="en-US" w:eastAsia="en-US" w:bidi="ar-SA"/>
        </w:rPr>
        <w:t>Hence, the obligation to act in utmost good faith requires an insurer to act promptly and fairly at every step of the claims process</w:t>
      </w:r>
      <w:r>
        <w:rPr>
          <w:rFonts w:ascii="arial" w:eastAsia="arial" w:hAnsi="arial" w:cs="arial"/>
          <w:color w:val="000000"/>
          <w:sz w:val="20"/>
          <w:lang w:val="en-US" w:eastAsia="en-US" w:bidi="ar-SA"/>
        </w:rPr>
        <w:t xml:space="preserve">. See, in particular, the judgment of Laskin J.A. of this court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(1999), 42 O.R. (3d) 641</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170 D.L.R. (4th) 280</w:t>
        </w:r>
      </w:hyperlink>
      <w:r>
        <w:rPr>
          <w:rFonts w:ascii="arial" w:eastAsia="arial" w:hAnsi="arial" w:cs="arial"/>
          <w:color w:val="000000"/>
          <w:sz w:val="20"/>
          <w:lang w:val="en-US" w:eastAsia="en-US" w:bidi="ar-SA"/>
        </w:rPr>
        <w:t xml:space="preserve"> (C.A.) and that of O'Connor J.A. in </w:t>
      </w:r>
      <w:r>
        <w:rPr>
          <w:rFonts w:ascii="arial" w:eastAsia="arial" w:hAnsi="arial" w:cs="arial"/>
          <w:i/>
          <w:color w:val="000000"/>
          <w:sz w:val="20"/>
          <w:lang w:val="en-US" w:eastAsia="en-US" w:bidi="ar-SA"/>
        </w:rPr>
        <w:t>702535 Ontario Inc. v. Lloyd's London</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(2000), 184 D.L.R. (4th) 687</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[2000] I.L.R. 1-3826</w:t>
        </w:r>
      </w:hyperlink>
      <w:r>
        <w:rPr>
          <w:rFonts w:ascii="arial" w:eastAsia="arial" w:hAnsi="arial" w:cs="arial"/>
          <w:color w:val="000000"/>
          <w:sz w:val="20"/>
          <w:lang w:val="en-US" w:eastAsia="en-US" w:bidi="ar-SA"/>
        </w:rPr>
        <w:t xml:space="preserve"> (Ont. C.A.). In </w:t>
      </w:r>
      <w:r>
        <w:rPr>
          <w:rFonts w:ascii="arial" w:eastAsia="arial" w:hAnsi="arial" w:cs="arial"/>
          <w:i/>
          <w:color w:val="000000"/>
          <w:sz w:val="20"/>
          <w:lang w:val="en-US" w:eastAsia="en-US" w:bidi="ar-SA"/>
        </w:rPr>
        <w:t>702535 Ontario Inc.</w:t>
      </w:r>
      <w:r>
        <w:rPr>
          <w:rFonts w:ascii="arial" w:eastAsia="arial" w:hAnsi="arial" w:cs="arial"/>
          <w:color w:val="000000"/>
          <w:sz w:val="20"/>
          <w:lang w:val="en-US" w:eastAsia="en-US" w:bidi="ar-SA"/>
        </w:rPr>
        <w:t>, O'Connor J.A. provided a useful analysis of the insurer's duty of good faith during the claims process. He stated as follows (at paras. 28-30):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part of this duty speaks to the timeliness in which a claim is processed by the insurer. Although an insurer may be responsible to pay interest on a claim paid after delay, delay in payment may nevertheless operate to the disadvantage of an insured. The insured, having suffered a loss, will frequently be under financial pressure to settle the claim as soon as possible in order to redress the situation that underlies the claim. The duty of good faith obliges the insurer to act with reasonable promptness during each step of the claims process. Included in this duty is the obligation to pay a claim in a timely manner when there is no reasonable basis to contest coverage or to withhold payment.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good faith also requires an insurer to deal with its insured's claim fairly. The duty to act fairly applies both to the manner in which the insurer investigates and assesses the claim and to the decision whether or not to pay the claim. In making a decision whether to refuse payment of a claim from its insured, an insurer must assess the merits of the claim in a balanced and reasonable manner. It must not deny coverage or delay payment in order to take advantage of the insured's economic vulnerability or to gain bargaining leverage in negotiating a settlement. A decision by an insurer to refuse payment should be based on a reasonable interpretation of its obligations under the policy. This duty of fairness, however, does not require that an insurer necessarily be correct in making a decision to dispute its obligation to pay a claim. Mere denial of a claim that ultimately succeeds is not, in itself, an act of bad faith: </w:t>
      </w:r>
      <w:r>
        <w:rPr>
          <w:rFonts w:ascii="arial" w:eastAsia="arial" w:hAnsi="arial" w:cs="arial"/>
          <w:i/>
          <w:color w:val="000000"/>
          <w:sz w:val="20"/>
          <w:lang w:val="en-US" w:eastAsia="en-US" w:bidi="ar-SA"/>
        </w:rPr>
        <w:t>Palmer v. Royal Insurance Co. of Canada</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(1995), 27 C.C.L.I. (2d) 249</w:t>
        </w:r>
      </w:hyperlink>
      <w:r>
        <w:rPr>
          <w:rFonts w:ascii="arial" w:eastAsia="arial" w:hAnsi="arial" w:cs="arial"/>
          <w:color w:val="000000"/>
          <w:sz w:val="20"/>
          <w:lang w:val="en-US" w:eastAsia="en-US" w:bidi="ar-SA"/>
        </w:rPr>
        <w:t xml:space="preserve"> (Ont. Gen. Div.).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constitutes bad faith will depend on the circumstances in each case. A court considering whether the duty has been breached will look at the conduct of the insurer throughout the claims process to determine whether in light of the circumstances, as they then existed, the insurer acted fairly and promptly in responding to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 breach of the duty to act fairly and in good faith gives rise to a separate cause of action that is distinct from the cause of action founded on the express terms of the policy and that is not restricted by the limits in the policy. </w:t>
      </w:r>
      <w:r>
        <w:rPr>
          <w:rFonts w:ascii="arial" w:eastAsia="arial" w:hAnsi="arial" w:cs="arial"/>
          <w:color w:val="000000"/>
          <w:sz w:val="20"/>
          <w:u w:val="single"/>
          <w:lang w:val="en-US" w:eastAsia="en-US" w:bidi="ar-SA"/>
        </w:rPr>
        <w:t>Hence, it may result in an award of consequential damages distinct from the proceeds payable under the policy</w:t>
      </w:r>
      <w:r>
        <w:rPr>
          <w:rFonts w:ascii="arial" w:eastAsia="arial" w:hAnsi="arial" w:cs="arial"/>
          <w:color w:val="000000"/>
          <w:sz w:val="20"/>
          <w:lang w:val="en-US" w:eastAsia="en-US" w:bidi="ar-SA"/>
        </w:rPr>
        <w:t xml:space="preserve">. It is important to note, however, that the duty to pay promptly, as a component of the duty of good faith, must be considered in that context; it is not an absolute obligation giving rise to an automatic claim for consequential damages in the event of any failure to make a timely payment in accordance with the policy. The latter contention was made by the insured in </w:t>
      </w:r>
      <w:r>
        <w:rPr>
          <w:rFonts w:ascii="arial" w:eastAsia="arial" w:hAnsi="arial" w:cs="arial"/>
          <w:i/>
          <w:color w:val="000000"/>
          <w:sz w:val="20"/>
          <w:lang w:val="en-US" w:eastAsia="en-US" w:bidi="ar-SA"/>
        </w:rPr>
        <w:t>702535 Ontario Inc</w:t>
      </w:r>
      <w:r>
        <w:rPr>
          <w:rFonts w:ascii="arial" w:eastAsia="arial" w:hAnsi="arial" w:cs="arial"/>
          <w:color w:val="000000"/>
          <w:sz w:val="20"/>
          <w:lang w:val="en-US" w:eastAsia="en-US" w:bidi="ar-SA"/>
        </w:rPr>
        <w:t>. and rejected by this court. O'Connor J.A. stated as follows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broader interpretation urged by the appellants could have far-reaching effects for the insurance industry. In some cases, the risk of being found liable for consequential damages resulting from unsuccessfully contesting a claim under a policy would constitute a substantial disincentive for insurers to deny claims, even those which they reasonably and in good faith consider to be either unfounded or inflated. In a general sense, insurers and insureds have a common interest in ensuring that only meritorious claims are paid. Increased payments by insurers lead to increased premiums for insureds. In order to effectively screen claims, insurers must be free to contest those claims which in good faith they have reason to challenge, without running the risk that if they are ultimately found to be wrong, they will be liable to indemnify the insured for losses not underwritten in the policy contracted for by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702535 Ontario Inc. v. Lloyd's London</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(2000), 184 D.L.R. (4th) 687</w:t>
        </w:r>
      </w:hyperlink>
      <w:r>
        <w:rPr>
          <w:rFonts w:ascii="arial" w:eastAsia="arial" w:hAnsi="arial" w:cs="arial"/>
          <w:color w:val="000000"/>
          <w:sz w:val="20"/>
          <w:lang w:val="en-US" w:eastAsia="en-US" w:bidi="ar-SA"/>
        </w:rPr>
        <w:t xml:space="preserve"> (Ont. C.A.) at para. 58; </w:t>
      </w:r>
      <w:r>
        <w:rPr>
          <w:rFonts w:ascii="arial" w:eastAsia="arial" w:hAnsi="arial" w:cs="arial"/>
          <w:i/>
          <w:color w:val="000000"/>
          <w:sz w:val="20"/>
          <w:lang w:val="en-US" w:eastAsia="en-US" w:bidi="ar-SA"/>
        </w:rPr>
        <w:t>Wilson v. Saskatchewan Government Insurance</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2012 SKCA 106</w:t>
        </w:r>
      </w:hyperlink>
      <w:r>
        <w:rPr>
          <w:rFonts w:ascii="arial" w:eastAsia="arial" w:hAnsi="arial" w:cs="arial"/>
          <w:color w:val="000000"/>
          <w:sz w:val="20"/>
          <w:lang w:val="en-US" w:eastAsia="en-US" w:bidi="ar-SA"/>
        </w:rPr>
        <w:t xml:space="preserve"> at paras. 58-59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Pursuant to the principles set out in </w:t>
      </w:r>
      <w:r>
        <w:rPr>
          <w:rFonts w:ascii="arial" w:eastAsia="arial" w:hAnsi="arial" w:cs="arial"/>
          <w:i/>
          <w:color w:val="000000"/>
          <w:sz w:val="20"/>
          <w:lang w:val="en-US" w:eastAsia="en-US" w:bidi="ar-SA"/>
        </w:rPr>
        <w:t>Ferme Gérald</w:t>
      </w:r>
      <w:r>
        <w:rPr>
          <w:rFonts w:ascii="arial" w:eastAsia="arial" w:hAnsi="arial" w:cs="arial"/>
          <w:color w:val="000000"/>
          <w:sz w:val="20"/>
          <w:lang w:val="en-US" w:eastAsia="en-US" w:bidi="ar-SA"/>
        </w:rPr>
        <w:t>, I agree that damages are appropriate in the unique circumstances of this case. The effect of the Winteringham Order and the present decision is that the amounts claimed should have been paid much earlier. The time taken was unreasonable. The amount required to affect the necessary repairs was in the millions, a figure well beyond what one could reasonably expect a company to have available in the form of cash on hand. It was reasonably foreseeable that the insured would have to obtain financing if payment under the Policy was not made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That said, I find that QBE's conduct in the period prior to the Winteringham Order did not reach a level that supports a claim for compensatory damages. There is insufficient evidence of improper or unreasonable delay before the Winteringham Order: </w:t>
      </w:r>
      <w:r>
        <w:rPr>
          <w:rFonts w:ascii="arial" w:eastAsia="arial" w:hAnsi="arial" w:cs="arial"/>
          <w:i/>
          <w:color w:val="000000"/>
          <w:sz w:val="20"/>
          <w:lang w:val="en-US" w:eastAsia="en-US" w:bidi="ar-SA"/>
        </w:rPr>
        <w:t>Johnson v. AXA Pacific Insurance Co.</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2011 BCSC 305</w:t>
        </w:r>
      </w:hyperlink>
      <w:r>
        <w:rPr>
          <w:rFonts w:ascii="arial" w:eastAsia="arial" w:hAnsi="arial" w:cs="arial"/>
          <w:color w:val="000000"/>
          <w:sz w:val="20"/>
          <w:lang w:val="en-US" w:eastAsia="en-US" w:bidi="ar-SA"/>
        </w:rPr>
        <w:t xml:space="preserve"> at paras. 171-172. Furthermore, I need to be careful to ensure that any award does not address the same conduct that underlay the special costs award made in the Winteringham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it is only the delay after the date for payment in the Winteringham Order (as subsequently extended by the parties) which merits a compensatory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To be clear, in making this award I look only to QBE's contractual breach relating to the conduct of the adjustment process, and not to their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amounts claimed by Surespan under this head of damage were incurred from about March 2017 until the date of judgment, or about 34 months. The problematic period I have identified runs only about 16 months, from September 2018 to date. I find that an appropriate compensatory contractual damages award in all of the circumstances is $250,000. As a mathematical cross-check on the amount of this award, a calculation of pre-judgement interest based on the direct remediation costs in Invoices 1-7 over the 16-months, plus the pre-judgment interest on Invoice 8 over the 9-month delay from its incurrence to the date of this judgment, would be approximately $225,000.</w:t>
      </w:r>
      <w:bookmarkStart w:id="270"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70"/>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Effect of this Judgment on Stantec's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Nothing in this judgment should be treated as determinative of what amounts Stantec is entitled to receive from QBE, either under the Policy, or under other enforceable agreements between Stantec and QBE. I provided Stantec with a limited ability to make submissions at the hearing, not in order to bind them to the result, but simply to obtain their assistance in relation to arguments being advanced, given that certain arguments being advanced had the potential to affect their legal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Neither party provided argument in relation to how or if any deductible should apply to any award. As such, the parties are at liberty to provide for further argument on this point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Surespan is entitled to judgment in an amount calculated as follows:</w:t>
      </w:r>
      <w:r>
        <w:rPr>
          <w:rFonts w:ascii="arial" w:eastAsia="arial" w:hAnsi="arial" w:cs="arial"/>
          <w:sz w:val="20"/>
          <w:lang w:val="en-US" w:eastAsia="en-US" w:bidi="ar-SA"/>
        </w:rPr>
        <w:cr/>
      </w:r>
    </w:p>
    <w:p>
      <w:pPr>
        <w:numPr>
          <w:numId w:val="5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Mitigation of Loss Coverage expense amounts that have been submitted by Surespan to QBE (not including financing or unrela ted legal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$240,000 in additional compensatory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applicable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If the parties are unable to agree on the proper calculation of this figure, the costs payable, or any other collateral issues arising from this judgment, Surespan may file written submissions of no more than thirty pages within thirty days of this judgment. QBE may respond with written submissions of the same length within thirty days of receipt of Surespan's submissions. Surespan may then reply with a further ten pages of reply argument within a further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W.K. BRANCH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23" style="position:absolute;z-index:25180569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71"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71"/>
      <w:r>
        <w:rPr>
          <w:rFonts w:ascii="arial" w:eastAsia="arial" w:hAnsi="arial" w:cs="arial"/>
          <w:sz w:val="20"/>
          <w:lang w:val="en-US" w:eastAsia="en-US" w:bidi="ar-SA"/>
        </w:rPr>
        <w:tab/>
      </w:r>
      <w:r>
        <w:rPr>
          <w:rFonts w:ascii="arial" w:eastAsia="arial" w:hAnsi="arial" w:cs="arial"/>
          <w:color w:val="6D6E71"/>
          <w:sz w:val="18"/>
          <w:lang w:val="en-US" w:eastAsia="en-US" w:bidi="ar-SA"/>
        </w:rPr>
        <w:t>This statement of general principle is subject in this case to Surespan's particular contractual onus to establish that its Mitigation of Loss expenses were the result of professional services, which is discussed further below.</w:t>
      </w:r>
    </w:p>
    <w:p>
      <w:pPr>
        <w:spacing w:before="120" w:after="20" w:line="240" w:lineRule="atLeast"/>
        <w:ind w:left="720" w:hanging="360"/>
        <w:jc w:val="both"/>
        <w:rPr>
          <w:rFonts w:ascii="arial" w:eastAsia="arial" w:hAnsi="arial" w:cs="arial"/>
          <w:sz w:val="20"/>
          <w:lang w:val="en-US" w:eastAsia="en-US" w:bidi="ar-SA"/>
        </w:rPr>
      </w:pPr>
      <w:bookmarkStart w:id="272"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272"/>
      <w:r>
        <w:rPr>
          <w:rFonts w:ascii="arial" w:eastAsia="arial" w:hAnsi="arial" w:cs="arial"/>
          <w:sz w:val="20"/>
          <w:lang w:val="en-US" w:eastAsia="en-US" w:bidi="ar-SA"/>
        </w:rPr>
        <w:tab/>
      </w:r>
      <w:r>
        <w:rPr>
          <w:rFonts w:ascii="arial" w:eastAsia="arial" w:hAnsi="arial" w:cs="arial"/>
          <w:color w:val="6D6E71"/>
          <w:sz w:val="18"/>
          <w:lang w:val="en-US" w:eastAsia="en-US" w:bidi="ar-SA"/>
        </w:rPr>
        <w:t>Sept 2018 to Jan 2020 = 16 months; April 2019 to January 2020 = 9 months.</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Invoices 1-7 submitted prior to Winteringham Order total $9,142,208 and Invoice 8 Submitted April 2019 totals $84,335. Pre-Judgement rates of 1.45% and 1.95% running from September 10, 2018 to January 10, 2020 for the $9,142,208 and for the $84,334 from April 24, 2019 to January 10, 2020 yields $224,197 + $1,180.46 or $225,377.46?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Toronto Dominion Bank v. Pan Pacific Auto and Diesel Services Ltd., [2001] B.C.J. No. 2911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S005458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1841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Toronto Dominion Bank, plaintiff, and Pan Pacific Auto and Diesel Services Ltd. and Jasvir Singh Virdi,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32"/>
      <w:bookmarkEnd w:id="273"/>
      <w:r>
        <w:rPr>
          <w:rFonts w:ascii="arial" w:eastAsia="arial" w:hAnsi="arial" w:cs="arial"/>
          <w:b/>
          <w:color w:val="000000"/>
          <w:sz w:val="20"/>
          <w:lang w:val="en-US" w:eastAsia="en-US" w:bidi="ar-SA"/>
        </w:rPr>
        <w:t>Practice — Pleadings — Striking out pleadings — Grounds, noncompliance with discovery rules — Grounds, failure to obey court order.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0"/>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Toronto Dominion Bank for an order striking the appearance and statement of defence and counterclaim of Virdi. Virdi failed to comply with court orders to deliver a list of documents and particulars by a certain date. He also failed to answer questions and to bring relevant documents with him to the examination for discovery.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23"/>
            <w:bookmarkEnd w:id="27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failure to answer questions on discovery was not a ground for granting the relief sought by the Bank since it had not been determined by the court that the questions had to be answered. However, Virdi's failure to provide the documents and particulars demonstrated persistence in and a flagrant refusal to comply with the Rules of Court and the order of the court. No reasonable explanation was given for failing to comply with the court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25"/>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44"/>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D. Shields, for the plaintiff. Jasvir S. Virdi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44"/>
      <w:bookmarkEnd w:id="278"/>
      <w:r>
        <w:pict>
          <v:line id="_x0000_s1228"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SCARTH J. (orally)"/>
            <w:bookmarkEnd w:id="279"/>
            <w:r>
              <w:rPr>
                <w:rFonts w:ascii="arial" w:eastAsia="arial" w:hAnsi="arial" w:cs="arial"/>
                <w:b/>
                <w:color w:val="000000"/>
                <w:sz w:val="30"/>
                <w:lang w:val="en-US" w:eastAsia="en-US" w:bidi="ar-SA"/>
              </w:rPr>
              <w:t>SCARTH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Toronto Dominion Bank by motion dated May 23, 2001 for an order striking the appearance, statement of defence and counterclaim and for costs of the application in the amount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Mr. Virdi appears on his own behalf and his company Pan Pacific Auto and Diesel Services Ltd. He has handed the Court a letter dated June 1, 2001 from a solicitor, Mr. Markovitz, who says he "would be prepared to represent [Mr. Virdi] and the other defendants on the condition that the dates currently set for hearing are adjourned". Mr. Markovitz advises that he is unable to attend to the application set for June 1st, or for the trial set for June 7th.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basis for seeking this relief is set out in the plaintiff's outline dated May 22, 2001 as follows: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failed to comply with orders of this Court that they deliver a list of documents and particulars by 4:00 p.m. May 18, 2001;</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answer questions on the examination for discovery held on May 21, 2001.</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bring documents relating to this matter to the examination for discovery held on May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factual background to the application is this. The defendants were served with the writ of summons and statement of claim on October 14, 2000. Therein the plaintiff Bank alleges that it issued a money order for $45,000 to the defendants on September 25, 2000 on the strength of two fraudulent cheques deposited to the corporate defendant's account. The Bank seeks reimbursement of the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An appearance was filed on October 23, 2000. A statement of defence was filed November 23, 2000 together with a counterclaim. The defendants allege that the Bank was negligent in advising them that the two cheques alleged by the plaintiff to be fraudulent had cleared. They claim damages arising from the Bank's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18, 2000 the plaintiff's solicitor served a demand for discovery of documents and a demand for particulars. The list of documents has never been delivered. The requested particulars have not been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Plaintiff's solicitors arranged to hold examinations for discovery of the defendants on January 31, 2001 and in February 2001. The defendant Mr. Virdi advised plaintiff's solicitors that he could not attend due to illness. On the third occasion, March 23, 2001, Mr. Virdi attended the examination for discovery but refused to answer questions on the grounds that his lawyer had withdrawn and that he was sick. He then walked out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then moved the Court on April 27, 2001 for an order that the appearance and statement of defence be struck with judgment in favour of the plaintiff for fraud. Mr. Virdi did not appear and was not represented at the hearing on April 27th. The Court granted the plaintiff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Virdi applied to the Court on May 16, 2001 to have the order set aside on the ground he had been served only on April 20, 2001 and had received no notice of hearing for April 27th albeit he had not filed an outline within the week of April 19th.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Court gave Mr. Virdi another chance. It set aside the order made on April 27th and ordered the defendants to:</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list of documents to plaintiff's solicitors no later than 4:00 p.m. on Friday, May 18, 2001;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full particulars of the statement of defence and counterclaim no later than 4:00 p.m. on Friday, May 18, 2001;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 an examination for discovery on Monday, May 21, 2001;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costs of the application in the amount of $1,000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did not deliver a list of documents or the particulars in accordance with the order of May 16, 2001 or at all. Mr. Virdi delivered a copy of one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Virdi did attend the examination for discovery on May 21st as ordered, with his counsel Mr. Gellert.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seeking on this application to have the defendant's appearance, statement of defence and counterclaim struck out, the plaintiff relies in part on the fact Mr. Virdi refused to answer questions on the examination for discovery as to where the $45,000 in question had gone. I would not give effect to the plaintiff's complaint in that regard. No application has been brought by the plaintiff to compel the defendants to answer those questions; nor has the Court ruled that the defendants must answer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the other hand the failure to provide the list of documents and statement of particulars demonstrates on the part of the defendants persistence in and a flagrant refusal to comply with the Rules of Court and the order of this Court made on May 16, 2001. The Toronto Dominion Bank v. Khan, </w:t>
      </w:r>
      <w:hyperlink r:id="rId910" w:history="1">
        <w:r>
          <w:rPr>
            <w:rFonts w:ascii="arial" w:eastAsia="arial" w:hAnsi="arial" w:cs="arial"/>
            <w:i/>
            <w:color w:val="0077CC"/>
            <w:sz w:val="20"/>
            <w:u w:val="single"/>
            <w:shd w:val="clear" w:color="auto" w:fill="FFFFFF"/>
            <w:lang w:val="en-US" w:eastAsia="en-US" w:bidi="ar-SA"/>
          </w:rPr>
          <w:t>[1992] B.C.J. No. 1771</w:t>
        </w:r>
      </w:hyperlink>
      <w:r>
        <w:rPr>
          <w:rFonts w:ascii="arial" w:eastAsia="arial" w:hAnsi="arial" w:cs="arial"/>
          <w:color w:val="000000"/>
          <w:sz w:val="20"/>
          <w:lang w:val="en-US" w:eastAsia="en-US" w:bidi="ar-SA"/>
        </w:rPr>
        <w:t>, No. C916583 Vancouver Registry, August 10, 1992,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demand for the list of documents and request for particulars have been outstanding since December 18, 2000, a period of almost six months. At the hearing on May 16, 2001 Mr. Virdi told the Court that he would provide his list of documents by Friday, May 18th. It is plain from reading the transcript of his examination for discovery held on May 21 that Mr. Virdi has in his possession other relevant documents than the one he produced at the examination for discovery, such as copies of the returned cheques alleged by the plaintiff to be fraudulent, one of the original cheques, the banking records relating to the account in question including the bank statements, a receipt from the exchange bureau where the $45,000 bank draft was cashed and Mr. Virdi's copy of the bank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Telling in my view is Mr. Virdi's response to this question on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when do you suggest that you would be available to be examined on these original documents and the documents you haven't produced?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let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want to know now because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MR. GELLERT: He doesn't know now because he has to go home and find the documents and organize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heard Mr. Virdi in this Court explain the reason for not producing documents during the months of February and March because of his illness and engagement with another proceeding. I have not heard from him any reasonable explanation as to why the order of this Court was not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review of the material before the Court leads me to conclude that Mr. Virdi has no intention of complying with the Rules of Court or of the Court's orders regarding the delivery of a list of documents or statements of particulars or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entitled to an order striking out the appearance, statement of defence and counterclaim and to its costs of this application which I fix in the amount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endorsement of the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Uppal v. Rawlins, [2009] B.C.J. No. 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5-6 and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Pal Uppal and Navjeet Uppal, Plaintiffs, and Michael Gordon Rawlins, Hans Baxter Rawlins, Amex-Fraseridge Realty, and Baljinder S. Parmar,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33"/>
      <w:bookmarkEnd w:id="280"/>
      <w:r>
        <w:rPr>
          <w:rFonts w:ascii="arial" w:eastAsia="arial" w:hAnsi="arial" w:cs="arial"/>
          <w:b/>
          <w:color w:val="000000"/>
          <w:sz w:val="20"/>
          <w:lang w:val="en-US" w:eastAsia="en-US" w:bidi="ar-SA"/>
        </w:rPr>
        <w:t>Civil Litigation — Civil procedure — Judgments and orders — Summary judgments — To dismiss claim — Application by defendants for judgment dismissing claim dismissed — It was not possible to make the findings of fact necessary to resolve the issues of fact and law — It would be unjust to decide the issues on the application given that the issues were complex and the amount involved was considerable — Rules of Court,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1"/>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judgment dismissing claim. The defendants advertised a property for sale for which they had taken to a certain point the process of obtaining permission to subdivide the property and develop the lots for sale. The plaintiffs were the successful bidders on the property and agreed to purchase the property with a deposit of %550,000 of which $50,000 was payable to the realtor and $500,000 was payable directly to the defendants. The deposit was non-refundable except in the case of a default by the vendor. The plaintiffs were unable to obtain financing and failed to complete the transaction. They issued a statement of claim alleging that the defendants fraudulently misrepresented the value and development potential of the property, underestimated the development costs and made representations that the plaintiffs would have no difficulty obtaining financing. The plaintiffs pleaded that as a result of the conduct of the defendants, they lost their deposit and the defendants were unjustly enriched.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24"/>
            <w:bookmarkEnd w:id="28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possible to make the findings of fact necessary to resolve the issues of fact and law. It would be unjust to decide the issues on the application given that the issues were complex and the amount involved was considerable.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Legislation Cited_26"/>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4" w:name="Counsel_45"/>
      <w:bookmarkEnd w:id="2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A.E. Brosgall.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Rawlins: S.B. Twining.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Amex-Fraseridge: S.G.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5"/>
      <w:bookmarkEnd w:id="285"/>
      <w:r>
        <w:pict>
          <v:line id="_x0000_s1233"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C.L. SMITH J."/>
            <w:bookmarkEnd w:id="286"/>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essence of this dispute is the plaintiffs' claim for return of a $500,000 deposit they paid towards the purchase of land. The defendants have applied for judgment dismissing the claim,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Because I have decided that this is not a matter which can be determined under Rule 18(A), I will review the facts only very briefly before stating my reasons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Pal Uppal and Navjeet Uppal are father and son, both plumbers by trade. The defendants, Michael Gordon Rawlins and Hans Baxter Rawlins, are also father and son. Michael Rawlins is the owner of the subject property which comprises 4.7 acres in Surrey. He granted a Power of Attorney to his sons Hans Rawlins and Michael Byron Rawlins to permit them to manage the development of the property, and the latter (Byron Rawlins) took primary responsibility for this project. Baljinder Parmar is a realtor who was acting for Pal Uppal and Navjeet Uppal, and Amex-Fraseridge Realty is the real estate company with which Mr. Parmar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July 16, 2007 an advertisement was placed by the Rawlins defendants in the </w:t>
      </w:r>
      <w:r>
        <w:rPr>
          <w:rFonts w:ascii="arial" w:eastAsia="arial" w:hAnsi="arial" w:cs="arial"/>
          <w:i/>
          <w:color w:val="000000"/>
          <w:sz w:val="20"/>
          <w:lang w:val="en-US" w:eastAsia="en-US" w:bidi="ar-SA"/>
        </w:rPr>
        <w:t>Delta Leader</w:t>
      </w:r>
      <w:r>
        <w:rPr>
          <w:rFonts w:ascii="arial" w:eastAsia="arial" w:hAnsi="arial" w:cs="arial"/>
          <w:color w:val="000000"/>
          <w:sz w:val="20"/>
          <w:lang w:val="en-US" w:eastAsia="en-US" w:bidi="ar-SA"/>
        </w:rPr>
        <w:t>: "26 RF12 subdivision, in Sullivan Stn., Surrey. Nearing third reading. Vendor will finance. $4,100,000.00. Call Byron xxx-xxxx."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advertisement suggests, the Rawlins defendants had taken to a certain point the process of obtaining permission to subdivide the property and develop the lots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response to the advertisement there were several offers, but the plaintiffs' was the highest. The parties entered into an agreement dated August 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purchasers agreed to pay $3,970,000 for the property, with a deposit of $550,000: $50,000 to their realtor and $500,000 directly to the seller, "non-refundable except in the case the seller defaults".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completion date was February 28, 2008. The deposit to the seller was to be paid in two tranches, $250,000 within 72 hours of removing all subject clauses, and $250,000 by November 1, 2007. The subject clauses in the Contract of Purchase and Sale in favour of the purchasers were: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 new first mortgage being made available to the Buyer on or before 11:59 p.m. August 9, 2007, in the amount of $3,000,000 at an interest rate not to exceed 7.5% per annum calculated semi-annually, not in advance, with a 25 year amortization period, 5 year term and repayable in blended payments of approximately $20,000 per month including principal and interest (plus 1/12 of the annual taxes, if required by the mortgagee). This condition is for the sole benefit of the Buyer.</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on or before 11:59 p.m. August 9, 2007, receiving a current property title search including a copy of the easement, covenants, building schemes, land use contracts, and rights of ways, if they exist. The Buyer must peruse and be satisfied with its contents and is advised to receive independent legal advice regarding the nature and effects of the charges if they exist. This condition is for the sole benefit of the Buyer.</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obtaining approval for fire/property insurance satisfactory to the Buyer by 11:59 p.m. August 9, 2007.</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on or before 11:59 p.m. August 9, 2007, at Buyer's expense, conducting a feasibility study which may include but not limited to: (1) the city of Surrey requirements for re-zoning of the subject property to be subdivided into residential lots; (2) being satisfied with the results of the cost analysis to determine if the Buyer's requirements are met; (3) the Buyer being certified with maximum number of lots being available after the division is finalized. This condition is for the sole benefit of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3, 2007, the day after the Contract of Purchase and Sale was signed by both sides, the plaintiffs met with Byron Rawlins, Dwight Heintz (an engineer who had assisted the Rawlins defendants earlier in the development process) and Mr. Parmar. Much of the dispute relates to what was said at that meeting, and to what Mr. Parmar said to the plaintiffs before and after they entered into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9, 2007, the plaintiffs removed the subject clauses in the contract and paid the initial $250,000 of the deposit to Michael Rawlins.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paid the remaining $250,000 to Michael Rawlins on November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were unable to obtain financing and failed to complete the transaction on February 28, 2008. On that same date they issued their writ and statement of claim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pleadings, the plaintiffs allege that the Rawlins defendants fraudulently misrepresented the value and development potential of the property, underestimated the development costs, and made representations that the plaintiffs would have no difficulty in obtaining financing. The plaintiffs plead that as a result of the misconduct of the Rawlins defendants, they were unable to obtain market rate financing to complete the purchase of the property and accordingly lost their $500,000 deposit. They also plead that the Rawlins defendants have been unjustly enriched by their retention of the deposit and that the property is held pursuant to a resulting or constructive trust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allege that the Parmar defendants owed them a fiduciary duty, and that they were negligent and failed to act in the plaintiffs' best interests. They allege that their realtor pressured them to purchase the property despite their lack of experience and sophistication, provided reckless, negligent, misleading or prejudicial advice, advised them to pay an over-inflated purchase price for the property, provided under-estimates for development costs and over-estimates for sales revenue and expected gross investment returns, made representations to them that they would have no difficulty obtaining $3 million in financing, and insisted that the plaintiffs remove the "subject" clauses prematurely to "save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Rawlins defendants deny owing a duty of care to the plaintiffs, deny making any false, fraudulent or misleading representations, and say that any difficulties the plaintiffs experienced in completing the transaction were the sole result of their own actions. The Parmar defendants similarly deny all of the allegations against them, saying that they made no misrepresentations, acted in accordance with the prevailing standard of care for reasonably prudent real estate brokerages, and that if they made any representations, the plaintiffs did not reasonably rely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stark conflicts in the evidence as to what transpired at the meeting on August 3, 2008, prior to the removal of the subject clauses. There is also a stark conflict in the evidence as to what Mr. Parmar said and promised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each of the two sets of defendants (Mr. Twining for the Rawlins defendants, Mr. Cordell for the Parmar defendants) did a thorough job of presenting the evidence. They both agreed that this case turns on its facts and that there are credibility issues at its heart, but argued that this case does permit determination of the issues under Rule 18(A). They pointed to the absence of any documentary evidence supporting the position that the plaintiffs are taking and they also pointed to the very serious concerns about credibility that arise from Navjeet Uppal's admission at his examination for discovery that he had altered the date of a document in order to support his case. In effect, Navjeet Uppal admitted that he had falsified the document and that he had lied under oath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Twining and Mr. Cordell also argued on behalf their clients that a careful analysis of the facts reveals that there is no legal basis for many of the claims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PRINCIPLES REGARDING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18(A) provides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either on an issue or generally, in any of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defence has been filed;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question, therefore, is whether it is possible, on the whole of the evidence before me, to find the facts necessary to decide the issues of fact or law. Further, I must consider whether it would be unjust to decide the issues on this application rather than permitting the matter to go to trial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authorities confirm that the existence of conflict in the evidence does not necessarily preclude rendering judgment under Rule 18(A). In </w:t>
      </w:r>
      <w:r>
        <w:rPr>
          <w:rFonts w:ascii="arial" w:eastAsia="arial" w:hAnsi="arial" w:cs="arial"/>
          <w:b/>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33 B.C.L.R. (4th) 44</w:t>
        </w:r>
      </w:hyperlink>
      <w:r>
        <w:rPr>
          <w:rFonts w:ascii="arial" w:eastAsia="arial" w:hAnsi="arial" w:cs="arial"/>
          <w:color w:val="000000"/>
          <w:sz w:val="20"/>
          <w:lang w:val="en-US" w:eastAsia="en-US" w:bidi="ar-SA"/>
        </w:rPr>
        <w:t>, Oppal J.A. for the Court of Appeal upheld the decision of a trial judge to proceed under Rule 18(A) where the necessary facts could be determined on the basis of the extensive documentary evidence, despite serious credibility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xml:space="preserve"> (C.A.), the Court of Appeal confirmed a decision in Supreme Court Chambers to grant summary judgment where credibility was the decisive issue but the facts could be determined through undisputed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Foreman v. Foster</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196 D.L.R. (4th) 11</w:t>
        </w:r>
      </w:hyperlink>
      <w:r>
        <w:rPr>
          <w:rFonts w:ascii="arial" w:eastAsia="arial" w:hAnsi="arial" w:cs="arial"/>
          <w:color w:val="000000"/>
          <w:sz w:val="20"/>
          <w:lang w:val="en-US" w:eastAsia="en-US" w:bidi="ar-SA"/>
        </w:rPr>
        <w:t>, the Court of Appeal referred to some of the factors that may be considered in the exercise of discretion on this matter. At para. 19,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must always be in the trial judge's mind, on hearing a challenge to the suitability of the case for disposition under Rule 18A, whether the facts can be found on the materials before the court, and whether it would be just in the circumstances to render judgment. At any stage of the application a trial judge may become satisfied that one or other of those conditions makes the case not suitable for disposition, or that the application is not improving the efficiency of the trial process, and thereupon bring the hearing to an end. This approach is consistent with the statement of Mr. Justice Taggart in </w:t>
      </w:r>
      <w:r>
        <w:rPr>
          <w:rFonts w:ascii="arial" w:eastAsia="arial" w:hAnsi="arial" w:cs="arial"/>
          <w:b/>
          <w:i/>
          <w:color w:val="000000"/>
          <w:sz w:val="20"/>
          <w:lang w:val="en-US" w:eastAsia="en-US" w:bidi="ar-SA"/>
        </w:rPr>
        <w:t>Placer Dev. Ltd. v. Skyline Explor. Ltd.</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at 385-86, referred to with approval in </w:t>
      </w:r>
      <w:r>
        <w:rPr>
          <w:rFonts w:ascii="arial" w:eastAsia="arial" w:hAnsi="arial" w:cs="arial"/>
          <w:b/>
          <w:i/>
          <w:color w:val="000000"/>
          <w:sz w:val="20"/>
          <w:lang w:val="en-US" w:eastAsia="en-US" w:bidi="ar-SA"/>
        </w:rPr>
        <w:t>Inspiration Management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Clearly the opening language of subr. (3) of R. 18A contemplates the possibility of judgment being entered on one or more or all issues raised by the pleadings. But that contemplation is, for the judge hearing the application, tempered by the language of paras. (a) and (b) of subr. (3). They clothe the judge with a broad discretion to refuse to proceed with the application where he decides he cannot find the facts necessary to decide the issues of fact or law or if it would be unjust to decide the issues raised on the application. Although those two matters are stated in separate clauses of subr. (3), they will often have to be considered together. I can envisage circumstances where the judge will decide on the whole of the evidence that while it is possible to find the facts necessary to decide the issues of fact or law it would be unjust to decide those issues. On the other hand, I cannot think of a case where, notwithstanding his inability to find the necessary facts, the judge would be justified in proceeding with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summary, the rule is a means whereby the general principles stated by R.1(5) may be attained. The rule must, however, be applied only where it is possible to do justice between the parties in accordance with the requirements of the rule itself and in accordance with the general principles which govern judges in their daily task of ensuring that justice is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held that the amount in issue may be a factor, stating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Mr. Foreman contends that the decision is tantamount to saying that Rule 18A is not appropriate for cases in which the claim is significant. Such a conclusion would have been contrary to the decision of this court in </w:t>
      </w:r>
      <w:r>
        <w:rPr>
          <w:rFonts w:ascii="arial" w:eastAsia="arial" w:hAnsi="arial" w:cs="arial"/>
          <w:b/>
          <w:i/>
          <w:color w:val="000000"/>
          <w:sz w:val="20"/>
          <w:lang w:val="en-US" w:eastAsia="en-US" w:bidi="ar-SA"/>
        </w:rPr>
        <w:t>Rai v. Wilson</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(1999), 120 B.C.A.C. 122</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1999 BCCA 167</w:t>
        </w:r>
      </w:hyperlink>
      <w:r>
        <w:rPr>
          <w:rFonts w:ascii="arial" w:eastAsia="arial" w:hAnsi="arial" w:cs="arial"/>
          <w:color w:val="000000"/>
          <w:sz w:val="20"/>
          <w:lang w:val="en-US" w:eastAsia="en-US" w:bidi="ar-SA"/>
        </w:rPr>
        <w:t>, in which Mr. Justice Mackenzie held, at para.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amount in issue should not preclude summary disposition if the case is otherwise appropriate for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I do not read the decision in this case as holding that cases in which the monetary amount is large are not appropriate for Rule 18A designation, nor would I adopt that proposition. However, the amount of the claim is one of several proper considerations set out in </w:t>
      </w:r>
      <w:r>
        <w:rPr>
          <w:rFonts w:ascii="arial" w:eastAsia="arial" w:hAnsi="arial" w:cs="arial"/>
          <w:b/>
          <w:i/>
          <w:color w:val="000000"/>
          <w:sz w:val="20"/>
          <w:lang w:val="en-US" w:eastAsia="en-US" w:bidi="ar-SA"/>
        </w:rPr>
        <w:t>Inspiration Management</w:t>
      </w:r>
      <w:r>
        <w:rPr>
          <w:rFonts w:ascii="arial" w:eastAsia="arial" w:hAnsi="arial" w:cs="arial"/>
          <w:color w:val="000000"/>
          <w:sz w:val="20"/>
          <w:lang w:val="en-US" w:eastAsia="en-US" w:bidi="ar-SA"/>
        </w:rPr>
        <w:t xml:space="preserve"> and puts context to the scale of possible efficiencies that may flow from the summary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Other factors are those referred to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In that case, McEachern C.J.B.C. wrote at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Ability to determine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discloses strong reasons for concern about the credibility of the plaintiff Navjeet Uppal. Mr. Brosgall, counsel for the plaintiffs, also pointed to areas disclosing possible reasons for concern about the credibility of the Rawlins defendants (examination for discovery testimony regarding the reasons for the choice of the closing date) and of the Parmar defendants (evidence regarding "pre-sale" of lots). Having reviewed the documentary evidence and the extracts from examination for discovery, as well as the affidavits, it does not appear to me that this is a case in which the body of evidence permits conclusions on the 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Unjust to decide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reference to the factors specified in the authorities, I note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matter is set for trial at the end of March 2009. Both sides have completed discovery of documents and oral examinations for discovery. There is no doubt that it will be costly to proceed to trial, although the preparation for the 18(A) application will likely save some time in trial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issues are fairly complex, involving (after the facts have been determined) assessment of allegations of breach of fiduciary duty, fraudulent misrepresentation, negligent misrepresentation,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realtor,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amount involved is considerable - the $500,000 deposit, and the unjust enrichment claim based on the plaintiffs' estimated $100,000 in expenditures incurred to move the property's development process along. The undisputed evidence is that the $500,000 deposit represents the life savings of the Uppal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summary, I have considered the submissions of counsel, including the supplementary submissions in reply provided by Mr. Cordell, have reviewed all of the evidence, and have concluded that this is not a case in which it is possible to make the findings of fact necessary to resolve the issues of fact and law, and that it would be unjust to decide the issues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existence of very serious reasons to doubt the credibility of Navjeet Uppal does not wholly resolve the conflict in the evidence and it is not a situation in which documentary evidence or the evidence of independent witnesses resolves the conflict. Further, it would not be appropriate to dismiss the claim against one set of defendants and allow it to go to trial against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the applications by the defendants for judgment under Rule 18(A)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also indicated they may wish to proceed with applications for orders for security for costs. The defendants may set those applications down before me, or bring them on in Chambers before any other judge of this court. Given the proximity of the trial date I will not declare myself seized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Walsh v. 422164 B.C. Ltd., [2006] B.C.J. No. 2717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22 and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S024663 and L023650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2717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Edward Walsh, Plaintiff, and 422164 B.C. Ltd., Ron &amp; Ron's Engine Machine Ltd., Ronald Wayne Bolick, Ronald Martin Walsh and Ron Walsh doing business as Engine Machine, Defendants (Registry No. S024663) And between Donald Edward Walsh, Petitioner, and 422164 B.C. Ltd., Ronald Wayne Bolick, and Ronald Martin Walsh, Respondents (Registry No. L023650)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34"/>
      <w:bookmarkEnd w:id="287"/>
      <w:r>
        <w:rPr>
          <w:rFonts w:ascii="arial" w:eastAsia="arial" w:hAnsi="arial" w:cs="arial"/>
          <w:b/>
          <w:color w:val="000000"/>
          <w:sz w:val="20"/>
          <w:lang w:val="en-US" w:eastAsia="en-US" w:bidi="ar-SA"/>
        </w:rPr>
        <w:t>Civil procedure — Disposition without trial — Dismissal of action — Delay or failure to prosecute — Excuse for — Prejudice to defendant — Oppression remedy petition and action in damages, commenced in 2002 relating to events occurring in 1994, dismissed for delay — Delay of two-and-one-half to three years in taking steps to move along proceedings was inordinate — Impecuniosity, as excuse for delay, not supported by evidence — Serious prejudice to defendant would result from allowing proceedings to continue, where witnesses' memories faded and one witness died.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32"/>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Martin to dismiss proceedings commenced against Martin and others by Walsh -- Walsh brought action and petition against Martin, raising issues relating to Walsh's ownership of shares and value of shares in numbered company -- Company incorporated in 1992 -- Walsh issued one share of 1,500 issued -- Walsh claimed Martin and Block each agreed to hold 250 shares in trust for Walsh, with option to have shares registered in Walsh's name -- Walsh sought to exercise option in 1993, but shares not registered in his name -- Company's solicitor informed Walsh in 1994 company would not be reissuing shares in his name -- Walsh claimed he was improperly excluded from operation and affairs of company -- Walsh filed petition seeking oppression remedy in 2002, naming Martin, Block and company as respondents -- Martin and company appeared in 2002, filed response in 2003, provided requested appraisal of value of company's equipment -- Block resigned from company in 2003 and reached settlement with Walsh -- Walsh subsequently delivered Block's affidavit in support of petition -- Walsh also commenced action in 2002, seeking damages for breach of trust, breach of fiduciary duty -- Writ of summons alleged Martin misappropriated and wrongfully converted company funds, used them to remodel home -- Walsh obtained certificate of pending litigation against Martin's property in 2003 -- Martin and company filed statement of defence in 2003 -- Petition set down for hearing in April 2004 -- Martin made application to have petition and action heard together -- Application dismissed in March 2004 -- Martin wrote to remind Walsh he did not file notice of hearing or outline -- Petition adjourned generally -- Martin wrote to Walsh in June 2004, objecting to long period of silence and inactivity -- No hearing date re-set for either petition or action -- Walsh cited lack of funds as reason for delay in prosecuting action and petition -- Deposed his income was only $17,907 for 2004, did not expect 2005 income to be higher -- Deposed defense of consolidation application left him without funds to have petition heard -- Martin claimed prejudice, because events giving rise to allegations occurred in 1994, so witnesses memories may have faded, one witness died -- Walsh argued all information available from other sources -- HELD: Applications allowed -- Both petition and action dismissed for want of prosecution -- Walsh's delay of over three years in taking steps to prosecute action constituted inordinate delay -- Delay of two-and-one-half years in taking steps to have petition heard was also inordinate delay -- No evidence supported Walsh's claim of impecuniosity, so delay was inexcusable -- Delay was entirely attributable to Walsh -- Prejudice to Martin due to delay was serious -- Balancing interests yielded conclusion it would be unjust to allow proceedings to continue.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Legislation Cited_27"/>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6"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2(7), Rule 51A(8)(a), Rule 51A(12)(a)(i)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Company Act, R.S.B.C. 1996, c. 62, s.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0" w:name="Counsel_46"/>
      <w:bookmarkEnd w:id="2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7"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Donald Edward Walsh: Robert G. Yeager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Ronald Martin Walsh: Jacy J. Wingson, Dan Mosely, A/Student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6"/>
      <w:bookmarkEnd w:id="291"/>
      <w:r>
        <w:pict>
          <v:line id="_x0000_s1238"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EHRCKE J._0"/>
            <w:bookmarkEnd w:id="292"/>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Before me are two applications by Ronald Martin Walsh to dismiss proceedings commenced against him and others by Donald Edward Walsh for want of prosecution pursuant to Rule 2(7)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Ronald Martin Walsh has brought two applications because Donald Edward Walsh commenced two different proceedings against him in 2002: an action under number S024663 (the "Action"), and a petition under number L023650 (the "Petition"). For convenience, I shall refer throughout to Donald Edward Walsh as the "Plaintiff" and to Ronald Martin Walsh as the "Defendant" even though, when referring to the Petition, they would more accurately be described as the Petitioner and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Neither the Action nor the Petition is set for hearing, and the Defendant submits that neither is ready for hearing. The Defendant submits that there has been inordinate and inexcusable delay that has caused him prejudice, and that it would not be just to proceed with either. He therefore seeks an order that they be dismissed for want of prosecution. The Plaintiff opposes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Action and the Petition raise issues related to the Plaintiff's ownership of shares in 422164 B.C. Ltd. (the "Company") and the value of those shares. The Company was incorporated March 13, 1992. On August 24, 1992, directors were appointed and 1,500 shares were allotted. One share was allotted to the Plaintiff, but he alleges that the Defendant and another shareholder, Ronald Bolick, each agreed to hold 250 shares in trust for him with an option to have those shares registered in his name. In August 1993 he purported to exercise that option, but the shares were never registered in his name on the Company's records. The refusal to have the shares reissued in the Plaintiff's name was confirmed in a letter from the Company's solicitor dated April 26, 1994. The Plaintiff says he was improperly excluded from the operation and affairs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November 25, 2002 the Plaintiff filed his Petition seeking an oppression remedy under s. 200 of the </w:t>
      </w:r>
      <w:r>
        <w:rPr>
          <w:rFonts w:ascii="arial" w:eastAsia="arial" w:hAnsi="arial" w:cs="arial"/>
          <w:b/>
          <w:i/>
          <w:color w:val="000000"/>
          <w:sz w:val="20"/>
          <w:lang w:val="en-US" w:eastAsia="en-US" w:bidi="ar-SA"/>
        </w:rPr>
        <w:t>Company Act</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The Defendant, the Company, and Ronald Bolick are named as respondents. In the Petition, the Plaintiff seeks an appraisal of the present value of the Company and an order that his interest be purchased by the Defendant. He alleges that the value of the Company has been artificially reduced by the Defendant's wrong-doing. Among other things, he alleges at para. 15 of his Petition:</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Walsh and Bolick did secretly incorporate or otherwise organize and maintain certain entities, in direct competition with the Company, through which they have conducted the business of the Company or aspects of the business of the Company secretly and for their profit, while using the assets, clientele and property of the Company and encumbering the Company with debts associated with such use, all to their sole benefit and the detriment of the Plaintiff and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and the Company entered an appearance on December 5, 2002, and on July 16, 2003 they filed their response to the Petition. Therein, they agreed to purchase the interest and shareholding of the Plaintiff at a price to be determined. The Defendant provided the Plaintiff with a professional appraisal of the value of the Company's equipment dated November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2003, Ronald Bolick resigned from the Company and reached a settlement with the Plaintiff. The Petition was discontinued against him on June 3, 2003. On September 5, 2003, the Plaintiff delivered Ronald Bolick's affidavit in support of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Meanwhile, the Plaintiff commenced the Action by an endorsed Writ of Summons filed August 20, 2002. This was not served until one year later, in August 2003. The endorsed Writ made similar allegations to those contained in the Petition relating to the "trust" shares. The Plaintiff amended the endorsed Writ of Summons on October 3, 2003 to add allegations that the Defendant misappropriated and wrongfully converted Company funds, and that he used them to remodel and renovate his home. The Amended Writ claims, among other things, damages for breach of trust and breach of fiduciary duty, and makes the following allegations of wrong-doing: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in or about 1994, the Defendant Walsh misappropriated funds from the Company and caused some or all of those funds to be used to make extensive renovations and improvements to the Real Property, including remodelling the kitchen, remodelling the basement and generally updating the home and other renovations.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the Plaintiff says that the Defendant Walsh holds the Real Property subject to a constructive trust in favour of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improvements to the Real Property are legally and beneficially owned by the shareholders of the Company, the Plaintiff being one, and the monies of the Company were wrongfully converted and then affixed to the Real Property. Such improvements constitute improvements or fixtures to the Real Property and as such, the Plaintiff has an interest or estate in the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October 6, 2003, the Plaintiff caused a certificate of pending litigation to be registered against the Defendant's property. The Defendant says that this is causing him hardship in that it prevents him from dealing with his property to obtain further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and the Company filed a Statement of Defence in the Action on October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19, 2004, the Petition was set down for hearing on April 2, 2004. On February 26, 2004, the Defendant brought an application for the Petition to be transferred to the trial list and for the Petition and the Action to be heard together. The Plaintiff filed his response to that application on March 2, 2004. The application was heard and dismissed on March 12,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22, 2004, the Defendant delivered his Affidavit #2 in opposition to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29, 2004, the Defendant's solicitor wrote to the Plaintiff's solicitor reminding him that he had not delivered a Notice of Hearing or his Outline pursuant to Rules 51A(8)(a) and 51A(12)(a)(i), and asking whether he intended to seek an adjournment of the hearing set for April 2, 2004. The hearing of the Petition was then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29, 2004, the Defendant's solicitor wrote to the Plaintiff's solicitor objecting to "the long period of silence and inactivity in these proceedings." Despite that letter, the Plaintiff has never re-set a hearing date for either the Petition 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present applications are brought pursuant to Rule 2(7)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If upon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set out in </w:t>
      </w:r>
      <w:r>
        <w:rPr>
          <w:rFonts w:ascii="arial" w:eastAsia="arial" w:hAnsi="arial" w:cs="arial"/>
          <w:b/>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(1982), 140 D.L.R. (3d) 157</w:t>
        </w:r>
      </w:hyperlink>
      <w:r>
        <w:rPr>
          <w:rFonts w:ascii="arial" w:eastAsia="arial" w:hAnsi="arial" w:cs="arial"/>
          <w:color w:val="000000"/>
          <w:sz w:val="20"/>
          <w:lang w:val="en-US" w:eastAsia="en-US" w:bidi="ar-SA"/>
        </w:rPr>
        <w:t xml:space="preserve"> (B.C.C.A.), the factors that must be considered on such an application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an inordinate delay;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is inexcusable;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is likely to be seriously prejudiced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court finds on a balance of probabilities that the plaintiff has occasioned delay in the proceedings which is both inordinate and inexcusable, and that the defendant is likely to be seriously prejudiced by the delay, then the court must go on to consider whether, on balance, justice demands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present case, these factors must be examined both in the context of the Action and in the context of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What is meant by "inordinate" delay? It has been said that delay is inordinate if it is a lengthy delay that exceeds the normal time-frame "or even the abnormal": </w:t>
      </w:r>
      <w:r>
        <w:rPr>
          <w:rFonts w:ascii="arial" w:eastAsia="arial" w:hAnsi="arial" w:cs="arial"/>
          <w:b/>
          <w:i/>
          <w:color w:val="000000"/>
          <w:sz w:val="20"/>
          <w:lang w:val="en-US" w:eastAsia="en-US" w:bidi="ar-SA"/>
        </w:rPr>
        <w:t>De Cotiis v. Viam Holdings Ltd.</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[2004] B.C.J. No. 2088</w:t>
        </w:r>
      </w:hyperlink>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2004 BCSC 1301</w:t>
        </w:r>
      </w:hyperlink>
      <w:r>
        <w:rPr>
          <w:rFonts w:ascii="arial" w:eastAsia="arial" w:hAnsi="arial" w:cs="arial"/>
          <w:color w:val="000000"/>
          <w:sz w:val="20"/>
          <w:lang w:val="en-US" w:eastAsia="en-US" w:bidi="ar-SA"/>
        </w:rPr>
        <w:t xml:space="preserve"> at para. 17; Beverley McLachlin &amp; James Taylor,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2nd ed. (Vancouver: Butterworths, 1991) at p.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Irving</w:t>
      </w:r>
      <w:r>
        <w:rPr>
          <w:rFonts w:ascii="arial" w:eastAsia="arial" w:hAnsi="arial" w:cs="arial"/>
          <w:color w:val="000000"/>
          <w:sz w:val="20"/>
          <w:lang w:val="en-US" w:eastAsia="en-US" w:bidi="ar-SA"/>
        </w:rPr>
        <w:t xml:space="preserve"> at p. 162, Seaton J.A. referred to the explanation given by Salmon L.J. in </w:t>
      </w:r>
      <w:r>
        <w:rPr>
          <w:rFonts w:ascii="arial" w:eastAsia="arial" w:hAnsi="arial" w:cs="arial"/>
          <w:b/>
          <w:i/>
          <w:color w:val="000000"/>
          <w:sz w:val="20"/>
          <w:lang w:val="en-US" w:eastAsia="en-US" w:bidi="ar-SA"/>
        </w:rPr>
        <w:t>Allen v. Sir Alfred McAlpine &amp; Sons Ltd. et al.</w:t>
      </w:r>
      <w:r>
        <w:rPr>
          <w:rFonts w:ascii="arial" w:eastAsia="arial" w:hAnsi="arial" w:cs="arial"/>
          <w:color w:val="000000"/>
          <w:sz w:val="20"/>
          <w:lang w:val="en-US" w:eastAsia="en-US" w:bidi="ar-SA"/>
        </w:rPr>
        <w:t>, [1968] 2 Q.B. 229: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highly undesirable and indeed impossible to attempt to lay down a tariff -- so many years or more on one side of the line and a lesser period on the other. What is or is not inordinate delay must depend upon the facts of each particular case. These vary infinitely from case to case, but inordinate delay should not be too difficult to recognize when it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Again, in </w:t>
      </w:r>
      <w:r>
        <w:rPr>
          <w:rFonts w:ascii="arial" w:eastAsia="arial" w:hAnsi="arial" w:cs="arial"/>
          <w:b/>
          <w:i/>
          <w:color w:val="000000"/>
          <w:sz w:val="20"/>
          <w:lang w:val="en-US" w:eastAsia="en-US" w:bidi="ar-SA"/>
        </w:rPr>
        <w:t>Goritsas v. Wiebe</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(1995), 10 B.C.L.R. (3d) 102</w:t>
        </w:r>
      </w:hyperlink>
      <w:r>
        <w:rPr>
          <w:rFonts w:ascii="arial" w:eastAsia="arial" w:hAnsi="arial" w:cs="arial"/>
          <w:color w:val="000000"/>
          <w:sz w:val="20"/>
          <w:lang w:val="en-US" w:eastAsia="en-US" w:bidi="ar-SA"/>
        </w:rPr>
        <w:t xml:space="preserve"> (C.A.), Rowles J.A. wrote at p. 107 that the question of whether delay has been inordinate cannot be determined simply by reference to the time periods in other cases, since each individual case must be determined on its own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present case, no steps have been taken by the Plaintiff to advance the prosecution of the Petition since the hearing was adjourned generally in March 2004, a period of more than two and one-half years. With respect to the Action, the delay is even longer. The last step taken by the Plaintiff was the amendment to the endorsed Writ of Summons on October 1, 2003, that is, more than three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 important consideration in determining whether that delay is inordinate, is the nature of the allegations made by the Plaintiff in the proceedings. In both the Petition and the Action, the Plaintiff has alleged that the Defendant has been guilty of serious wrong-doing. In the Petition he has alleged that the Defendant conducted the business of the Company secretly and for his own profit, to the detriment of the Company. In the Action, he has alleged misappropriation of Company funds, wrongful conversion, and breach of trust. Those are serious allegations, going to the Defendant's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Kern v. Watson</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(1997), 32 B.C.L.R. (3d) 398</w:t>
        </w:r>
      </w:hyperlink>
      <w:r>
        <w:rPr>
          <w:rFonts w:ascii="arial" w:eastAsia="arial" w:hAnsi="arial" w:cs="arial"/>
          <w:color w:val="000000"/>
          <w:sz w:val="20"/>
          <w:lang w:val="en-US" w:eastAsia="en-US" w:bidi="ar-SA"/>
        </w:rPr>
        <w:t xml:space="preserve"> (S.C.), Warren J. observed that there is a particular onus to proceed expeditiously when a party has levelled allegations of serious impropriety. There, the plaintiffs had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fraudulent misrepresentation on the part of their former solicitors. In finding that a delay of a more than three years was inordinate on the facts of that case, he wrote at p. 402: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where there are serious allegations levelled against a party such of those allegations levelled against these Defendants in the pleadings before me, there is a particular onus on the Plaintiffs to pursue its relief diligently.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Daum et al. v. City of Surrey et al.</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[2004] B.C.J. No. 2760</w:t>
        </w:r>
      </w:hyperlink>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2004 BCSC 1584</w:t>
        </w:r>
      </w:hyperlink>
      <w:r>
        <w:rPr>
          <w:rFonts w:ascii="arial" w:eastAsia="arial" w:hAnsi="arial" w:cs="arial"/>
          <w:color w:val="000000"/>
          <w:sz w:val="20"/>
          <w:lang w:val="en-US" w:eastAsia="en-US" w:bidi="ar-SA"/>
        </w:rPr>
        <w:t>, Crawford J. remarked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sounding in conspiracy with its odious inference of back door dealing are such that they should not remain outstanding longer than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present case, counsel for the Defendant complained early on to the Plaintiff's solicitor that they were not proceeding with sufficient dispatch. In his letter of June 29, 2004,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we have delivered to you an appraisal performed by a qualified business appraiser in the industry (as sought in paragraph 6 of the Petition), we have not yet received an appraisal from your client with respect to the value of his claim. In addition, your client has taken a very serious step in commencing the actions against our client, and in alleging our client has engaged in fraudulent conduct. Your client then remains inactive for long periods of time as if this were a trivial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the Plaintiff's delay of over three years in taking any step to prosecute the Action constitutes inordinate delay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test for delay in the case of the Petition is the same, except that the threshold for what constitutes inordinate delay may be somewhat lower, in light of the summary nature of oppression proceedings: </w:t>
      </w:r>
      <w:r>
        <w:rPr>
          <w:rFonts w:ascii="arial" w:eastAsia="arial" w:hAnsi="arial" w:cs="arial"/>
          <w:b/>
          <w:i/>
          <w:color w:val="000000"/>
          <w:sz w:val="20"/>
          <w:lang w:val="en-US" w:eastAsia="en-US" w:bidi="ar-SA"/>
        </w:rPr>
        <w:t>Bauscher-Grant Farms Inc. v. Lake Diefenbaker Potato Corp.</w:t>
      </w:r>
      <w:r>
        <w:rPr>
          <w:rFonts w:ascii="arial" w:eastAsia="arial" w:hAnsi="arial" w:cs="arial"/>
          <w:color w:val="000000"/>
          <w:sz w:val="20"/>
          <w:lang w:val="en-US" w:eastAsia="en-US" w:bidi="ar-SA"/>
        </w:rPr>
        <w:t xml:space="preserve"> (1999), 42 C.P.C. (4th) 69 (Sask.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has taken no steps to re-set the hearing of the Petition since it was adjourned in March 2004. He says that he is now ready to proceed, but he has offered no satisfactory explanation of why, in that event, he has not set a hearing date. I am satisfied that the Plaintiff's delay of more than two and one-half years in taking any step to have the Petition heard is, on the facts of this case,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Inexcusable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excuse offered by the Plaintiff for his delay in prosecuting the Petition and the Action is lack of funds. In his Affidavit #2 sworn March 17, 2006, he deposes that his income for 2004 was $17,907. He does not state his income for 2005, but deposes that it would be similar to 2004. He says he expects his income for 2006 to be higher and that he may earn $50,000, but he has not provided details of his current income. He says, "Being of low income and involved in a struggle for justice through the courts means I must save up for my planned battles." He then goes on to depose that defending the consolidation application in March 2004 left him with "no funds with which to have the Petition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submits that impecuniosity has been recognized as an explanation for delay. He points out that in </w:t>
      </w:r>
      <w:r>
        <w:rPr>
          <w:rFonts w:ascii="arial" w:eastAsia="arial" w:hAnsi="arial" w:cs="arial"/>
          <w:b/>
          <w:i/>
          <w:color w:val="000000"/>
          <w:sz w:val="20"/>
          <w:lang w:val="en-US" w:eastAsia="en-US" w:bidi="ar-SA"/>
        </w:rPr>
        <w:t>Irving</w:t>
      </w:r>
      <w:r>
        <w:rPr>
          <w:rFonts w:ascii="arial" w:eastAsia="arial" w:hAnsi="arial" w:cs="arial"/>
          <w:color w:val="000000"/>
          <w:sz w:val="20"/>
          <w:lang w:val="en-US" w:eastAsia="en-US" w:bidi="ar-SA"/>
        </w:rPr>
        <w:t xml:space="preserve"> at p. 163, Seaton J.A. contrasted impecuniosity with other reasons for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delay as a means of gaining tactical advantage is not to be compared to a delay forced on the plaintiff by negligent solicitors, impecuniosity, or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the other hand, impecuniosity was rejected as an excuse for delay in </w:t>
      </w:r>
      <w:r>
        <w:rPr>
          <w:rFonts w:ascii="arial" w:eastAsia="arial" w:hAnsi="arial" w:cs="arial"/>
          <w:b/>
          <w:i/>
          <w:color w:val="000000"/>
          <w:sz w:val="20"/>
          <w:lang w:val="en-US" w:eastAsia="en-US" w:bidi="ar-SA"/>
        </w:rPr>
        <w:t>Daum</w:t>
      </w:r>
      <w:r>
        <w:rPr>
          <w:rFonts w:ascii="arial" w:eastAsia="arial" w:hAnsi="arial" w:cs="arial"/>
          <w:color w:val="000000"/>
          <w:sz w:val="20"/>
          <w:lang w:val="en-US" w:eastAsia="en-US" w:bidi="ar-SA"/>
        </w:rPr>
        <w:t xml:space="preserve"> and in </w:t>
      </w:r>
      <w:r>
        <w:rPr>
          <w:rFonts w:ascii="arial" w:eastAsia="arial" w:hAnsi="arial" w:cs="arial"/>
          <w:b/>
          <w:i/>
          <w:color w:val="000000"/>
          <w:sz w:val="20"/>
          <w:lang w:val="en-US" w:eastAsia="en-US" w:bidi="ar-SA"/>
        </w:rPr>
        <w:t>Wilson v. Hrytsak</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(1997), 34 C.L.R. (2d) 65</w:t>
        </w:r>
      </w:hyperlink>
      <w:r>
        <w:rPr>
          <w:rFonts w:ascii="arial" w:eastAsia="arial" w:hAnsi="arial" w:cs="arial"/>
          <w:color w:val="000000"/>
          <w:sz w:val="20"/>
          <w:lang w:val="en-US" w:eastAsia="en-US" w:bidi="ar-SA"/>
        </w:rPr>
        <w:t xml:space="preserve"> (B.C.S.C.). In the latter case, Master Joyce, as he then was, said at para. 16:</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deposes that "there were times since the inception of the litigation that it was difficult for me to finance substantial litigation which, in large part, was brought about by my substantial investment in this project without being paid". In my view that evidence is insufficient to establish that the plaintiff could not afford to prosecute this action using a solicitor, let alone to excuse the plaintiff from not taking reasonable steps on his own behalf to prosecute the action in the event he could not afford a solicitor. In my view, the fact that a litigant may not be able to afford legal counsel, even if that is established by the evidence, does not justify the failure over a three year period to take any steps to prosecute his claim. I reject this as an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present case, I have not been given detailed information about the Plaintiff's current income, nor do I have precise figures of what he earned in 2005. He has provided no information about his expenses or his assets. He has not adequately explained why he could not have proceeded to take some steps to prosecute his claims, either with counsel or even in the absence of counsel. On the facts of this case, I find that his delay in prosecuting both the Petition and the Action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the Plaintiff argued that the Plaintiff's delay could be excused because the Defendant could have done more to press the matter on. He submits that acquiescence by a party is a factor the court may take into consideration, and he relies on </w:t>
      </w:r>
      <w:r>
        <w:rPr>
          <w:rFonts w:ascii="arial" w:eastAsia="arial" w:hAnsi="arial" w:cs="arial"/>
          <w:b/>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(2002), 98 B.C.L.R. (3d) 238</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Hanna's Construction Services Ltd. v. Blue River III Inc.</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[2006] B.C.J. No. 607</w:t>
        </w:r>
      </w:hyperlink>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Neither of those cases has any application here. In both of those cases, the defendant had failed to file a statement of defence, and the court found that it was the defendant's "turn to move." No similar circumstance exists in the present case. The Defendant here filed a response to the Petition and a statement of defence to the Action. He has not in any way acquiesced in the delay caused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delay with respect to both the Petition and the Action is entirely attributable to the Plaintiff, and it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(1999), 63 B.C.L.R. (3d) 174</w:t>
        </w:r>
      </w:hyperlink>
      <w:r>
        <w:rPr>
          <w:rFonts w:ascii="arial" w:eastAsia="arial" w:hAnsi="arial" w:cs="arial"/>
          <w:color w:val="000000"/>
          <w:sz w:val="20"/>
          <w:lang w:val="en-US" w:eastAsia="en-US" w:bidi="ar-SA"/>
        </w:rPr>
        <w:t xml:space="preserve"> (C.A.) the court held at para. 8 that where delay in prosecuting a proceeding is found to be both inordinate and inexcusable, the burden shifts to the plaintiff or petitioner to disprove prejudice. Goldie J.A. went on to say at para. 18 that a rebuttable presumption of prejudice arises from inordinate and inexcusable delay: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it is open to this Court to adopt the principle that once a defendant has established the delay complained of has been inordinate and is inexcusable a rebuttable presumption of prejudice arises. To continue imposing the evidentiary burden of proving prejudice after establishing inordinate and inexcusable delay is contrary to the object expressed in sub-rule (5) of Rule 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Object of rules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presumption is not a presumption of law, but only of fact, and it can be rebutted by evidence led either by the plaintiff or by the defendant. Thus, in </w:t>
      </w:r>
      <w:r>
        <w:rPr>
          <w:rFonts w:ascii="arial" w:eastAsia="arial" w:hAnsi="arial" w:cs="arial"/>
          <w:b/>
          <w:i/>
          <w:color w:val="000000"/>
          <w:sz w:val="20"/>
          <w:lang w:val="en-US" w:eastAsia="en-US" w:bidi="ar-SA"/>
        </w:rPr>
        <w:t>Tundra Helicopters Ltd.</w:t>
      </w:r>
      <w:r>
        <w:rPr>
          <w:rFonts w:ascii="arial" w:eastAsia="arial" w:hAnsi="arial" w:cs="arial"/>
          <w:color w:val="000000"/>
          <w:sz w:val="20"/>
          <w:lang w:val="en-US" w:eastAsia="en-US" w:bidi="ar-SA"/>
        </w:rPr>
        <w:t>, Esson J.A. explained at para. 36:</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that sense that the word "presumption" is employed in </w:t>
      </w:r>
      <w:r>
        <w:rPr>
          <w:rFonts w:ascii="arial" w:eastAsia="arial" w:hAnsi="arial" w:cs="arial"/>
          <w:i/>
          <w:color w:val="000000"/>
          <w:sz w:val="20"/>
          <w:lang w:val="en-US" w:eastAsia="en-US" w:bidi="ar-SA"/>
        </w:rPr>
        <w:t>Busse v. Robinson Morelli Chertkow, supra</w:t>
      </w:r>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submits that the Plaintiff's delay has caused him serious prejudice. The events which form the basis for the allegations of breach of trust and oppression go back to 1994. The 10-year limitation period for breach of trust expired in 2004: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R.S.B.C. 1996, c. 266, s. 3(3). Although that is after the Petition and the Action were commenced, he submits that this is a factor to be considered on the issue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 v. Hrytsak</w:t>
      </w:r>
      <w:r>
        <w:rPr>
          <w:rFonts w:ascii="arial" w:eastAsia="arial" w:hAnsi="arial" w:cs="arial"/>
          <w:color w:val="000000"/>
          <w:sz w:val="20"/>
          <w:lang w:val="en-US" w:eastAsia="en-US" w:bidi="ar-SA"/>
        </w:rPr>
        <w:t xml:space="preserve"> at para. 9, Master Joyce observed that where there is delay following the expiration of a limitation period, it can be assumed that prejudice will arise from the fading recollection of witnesses:</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Undue delay after a limitation period has expired will give rise to a presumption of prejudice because it can be assumed that the recollection of witnesses will be diminished as time passes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(S.C.) at p. 28]. On the other hand, as Master Grist (as he then was) said in </w:t>
      </w:r>
      <w:r>
        <w:rPr>
          <w:rFonts w:ascii="arial" w:eastAsia="arial" w:hAnsi="arial" w:cs="arial"/>
          <w:i/>
          <w:color w:val="000000"/>
          <w:sz w:val="20"/>
          <w:lang w:val="en-US" w:eastAsia="en-US" w:bidi="ar-SA"/>
        </w:rPr>
        <w:t>Barnston Steel Fabricators Ltd. v. Vedder Erectors Ltd.</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[1996] B.C.J. No. 100</w:t>
        </w:r>
      </w:hyperlink>
      <w:r>
        <w:rPr>
          <w:rFonts w:ascii="arial" w:eastAsia="arial" w:hAnsi="arial" w:cs="arial"/>
          <w:color w:val="000000"/>
          <w:sz w:val="20"/>
          <w:lang w:val="en-US" w:eastAsia="en-US" w:bidi="ar-SA"/>
        </w:rPr>
        <w:t>, (B.C.S.C.), Van. Reg. No. A921111, January 24, 1996, "reported cases in which actions are struck for want of prosecution where limitation periods have not expired are few, no doubt because the action may again find new life in newly brought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Vic Van Isle Construction Ltd. v. Lomenda</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[1999] B.C.J. No. 3032</w:t>
        </w:r>
      </w:hyperlink>
      <w:r>
        <w:rPr>
          <w:rFonts w:ascii="arial" w:eastAsia="arial" w:hAnsi="arial" w:cs="arial"/>
          <w:color w:val="000000"/>
          <w:sz w:val="20"/>
          <w:lang w:val="en-US" w:eastAsia="en-US" w:bidi="ar-SA"/>
        </w:rPr>
        <w:t xml:space="preserve"> (S.C.), Dorgan J. wrote at para. 27 that delay following expiration of a limitation period is particularly prejudicial when there is a claim of fraud: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where the limitation period for the action has clearly passed and where the claims involve allegations of fraud, the presumption of prejudice will not easily be displaced. In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 </w:t>
      </w:r>
      <w:hyperlink r:id="rId943" w:history="1">
        <w:r>
          <w:rPr>
            <w:rFonts w:ascii="arial" w:eastAsia="arial" w:hAnsi="arial" w:cs="arial"/>
            <w:i/>
            <w:color w:val="0077CC"/>
            <w:sz w:val="20"/>
            <w:u w:val="single"/>
            <w:shd w:val="clear" w:color="auto" w:fill="FFFFFF"/>
            <w:lang w:val="en-US" w:eastAsia="en-US" w:bidi="ar-SA"/>
          </w:rPr>
          <w:t>[1997] B.C.J. No. 3020</w:t>
        </w:r>
      </w:hyperlink>
      <w:r>
        <w:rPr>
          <w:rFonts w:ascii="arial" w:eastAsia="arial" w:hAnsi="arial" w:cs="arial"/>
          <w:color w:val="000000"/>
          <w:sz w:val="20"/>
          <w:lang w:val="en-US" w:eastAsia="en-US" w:bidi="ar-SA"/>
        </w:rPr>
        <w:t>] (B.C.S.C.), Master Brandreth-Gibbs commented that an examination of the authorities reveals that the nature of the action will be a critical factor in evaluating prejudice, stating (at para. 41)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nature of the allegations made is relevant to the consideration of the degree of prejudice that the defendant is considered to suffer by delay. Thus, if the presumption that the defendant has been or will be prejudiced, which follows the extinction of the limitation period, is required to be relied upon to establish prejudice, the presumption will be afforded much more weight in a case where the allegations are serious such as defamation or a form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Affidavit #4 sworn September 14, 2006, the Defendant deposes that his ability to defend these proceedings has been seriously impaired by the lapse of time. In para. 5 of his affidavit he says: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expect the Petitioner to rely on his allegations related to my use of Company funds to try and inflate the value of the Company and any shares to which he claims ownership. Depending on the specifics of his allegations, I may be required to contact customers to give evidence. I do not know which customers, some may have passed away or moved and many may not remember transactions or keep records regarding transactions occurring over 10 years ago. It will therefore be difficult, if not impossible, for me to build and advance a full and proper defence to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says the prejudice goes beyond the fact that witnesses' memories have faded. In addition, he submits that a potential witness who would have been important to his case has died. The Plaintiff's allegations against him include the claim that he diverted Company funds to his own personal use. The Defendant submits that the items which the Plaintiff says were improperly obtained, were in fact gifts from his father-in-law, who died in 2004. That evidence, which would have been important to the defence, is now unavailable. Thus, in para. 6 of his Affidavit #4, the Defendant deposes: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 17 of the D. Walsh Affidavit #2, my father-in-law died in 2004. My wife, Shirley Walsh, may be able to give some evidence related to her father's assistance to our family with respect to the allegations about my use of the Company's funds. However, her father can no longer corroborate that evidence nor do we have access to the documents the my father-in-law may have had and that we could have used in support of our defence that it was my father-in-law's financial assistance that enabled us to make the purchases which the Petitioner alleges were from the Company's funds. We did not keep our own records of such dealings within the family as it was not necessary for us to do so. We are therefore concerned about the sufficiency and availability of the evidence about the gifts and assistance my father-in-law rendered to us over the years in building my defence to allegations of misuse of the Company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counters with the argument that all the relevant evidence is available from other sources or has already been accurately recorded in the affidavits that have previously been filed. I do not find that argument persuasive for a number of reasons. First, the various affidavits present inconsistencies, which raise issues of credibility and reliability. Second, there is no affidavit from the Defendant's father-in-law. Third, the evidence that is available from other sources does not have the same persuasive quality, since the father-in-law was not a party to the litigation, and his evidence would therefore have the enhanced credibility of an independent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prejudice caused by the death and consequent unavailability of an independent witness was discussed by Chamberlist J. in </w:t>
      </w:r>
      <w:r>
        <w:rPr>
          <w:rFonts w:ascii="arial" w:eastAsia="arial" w:hAnsi="arial" w:cs="arial"/>
          <w:b/>
          <w:i/>
          <w:color w:val="000000"/>
          <w:sz w:val="20"/>
          <w:lang w:val="en-US" w:eastAsia="en-US" w:bidi="ar-SA"/>
        </w:rPr>
        <w:t>Nice v. Nice</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[2006] B.C.J. No. 1728</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2006 BCSC 1162</w:t>
        </w:r>
      </w:hyperlink>
      <w:r>
        <w:rPr>
          <w:rFonts w:ascii="arial" w:eastAsia="arial" w:hAnsi="arial" w:cs="arial"/>
          <w:color w:val="000000"/>
          <w:sz w:val="20"/>
          <w:lang w:val="en-US" w:eastAsia="en-US" w:bidi="ar-SA"/>
        </w:rPr>
        <w:t xml:space="preserve"> at para. 55:</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witnesses would have been important to the defendants' case relative to the transfer of the funeral home to her and her sister by way of estate freeze and also to the employment of the plaintiff by the defendant company and to the operations and value of the funeral home business operated by the defendant company. While the plaintiff has submitted that the only key witnesses in this action are the plaintiff and the defendant MacKenzie, that assertion does not take into account the obvious relevance of independent witnesses called by a party and their impact on a trial judge hearing the case. A similar assertion was dealt with by the Court of Appeal in </w:t>
      </w:r>
      <w:r>
        <w:rPr>
          <w:rFonts w:ascii="arial" w:eastAsia="arial" w:hAnsi="arial" w:cs="arial"/>
          <w:i/>
          <w:color w:val="000000"/>
          <w:sz w:val="20"/>
          <w:lang w:val="en-US" w:eastAsia="en-US" w:bidi="ar-SA"/>
        </w:rPr>
        <w:t xml:space="preserve">Irving v. Irving, </w:t>
      </w:r>
      <w:hyperlink r:id="rId931" w:history="1">
        <w:r>
          <w:rPr>
            <w:rFonts w:ascii="arial" w:eastAsia="arial" w:hAnsi="arial" w:cs="arial"/>
            <w:i/>
            <w:color w:val="0077CC"/>
            <w:sz w:val="20"/>
            <w:u w:val="single"/>
            <w:shd w:val="clear" w:color="auto" w:fill="FFFFFF"/>
            <w:lang w:val="en-US" w:eastAsia="en-US" w:bidi="ar-SA"/>
          </w:rPr>
          <w:t>[1982] B.C.J. No. 970</w:t>
        </w:r>
      </w:hyperlink>
      <w:r>
        <w:rPr>
          <w:rFonts w:ascii="arial" w:eastAsia="arial" w:hAnsi="arial" w:cs="arial"/>
          <w:color w:val="000000"/>
          <w:sz w:val="20"/>
          <w:lang w:val="en-US" w:eastAsia="en-US" w:bidi="ar-SA"/>
        </w:rPr>
        <w:t>, at para. 14 where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facts about which the witnesses who are not now available could have given evidence are within the knowledge of both the plaintiff and the defendant. The difficulty is they disagree. </w:t>
      </w:r>
      <w:r>
        <w:rPr>
          <w:rFonts w:ascii="arial" w:eastAsia="arial" w:hAnsi="arial" w:cs="arial"/>
          <w:color w:val="000000"/>
          <w:sz w:val="20"/>
          <w:u w:val="single"/>
          <w:lang w:val="en-US" w:eastAsia="en-US" w:bidi="ar-SA"/>
        </w:rPr>
        <w:t>To resolve that disagreement the trial judge would be greatly influenced by the evidence of independent witnesses. It is that independent evidence that is not now available to the defendant</w:t>
      </w:r>
      <w:r>
        <w:rPr>
          <w:rFonts w:ascii="arial" w:eastAsia="arial" w:hAnsi="arial" w:cs="arial"/>
          <w:color w:val="000000"/>
          <w:sz w:val="20"/>
          <w:lang w:val="en-US" w:eastAsia="en-US" w:bidi="ar-SA"/>
        </w:rPr>
        <w:t>. The Chambers judge seems not to have appreciated that the missing element is not evidence of facts but independent evidence of those facts.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the Plaintiff's inordinate and inexcusable delay is likely to cause serious prejudice to the Defendant with respect to both the Petition and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Balancing of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dismiss a proceeding for want of prosecution is a serious step, to be taken only where justice requires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the events complained of date back to 1994. The Petition was not filed until 2002, and the Writ of Summons in the Action was not served until 2003. By that time, the Plaintiff must have been aware that a further inordinate lapse of time would jeopardize the possibility of a fair hearing, through the loss of relevant evidence. Given the lengthy time between the events complained of and the initiation of proceedings, it was incumbent on the Plaintiff to proceed in a timely way with the Petition and the Action. He did not do so, and the result has been a loss of evidence. In addition, the Defendant has had to live with the allegations of wrong-doing against him remaining unresolved. He has had difficulty obtaining financing for the Company while the litigation is pending. He has also had to endure the personal inconvenience of the certificate of pending litigation which the Plaintiff registered against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on balance, it would be unjust if the proceedings were allowed to continue. Both the Petition and the Action are dismissed for want of prosecution,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Yablonski v. Cranbrook (City), [2002] B.C.J. No. 1084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Patterson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9962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1084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605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Jeremy Yablonski, plaintiff, and Corporation of the City of Cranbrook, defendant, and Kootenay Ice Hockey Club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0"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35"/>
      <w:bookmarkEnd w:id="293"/>
      <w:r>
        <w:rPr>
          <w:rFonts w:ascii="arial" w:eastAsia="arial" w:hAnsi="arial" w:cs="arial"/>
          <w:b/>
          <w:color w:val="000000"/>
          <w:sz w:val="20"/>
          <w:lang w:val="en-US" w:eastAsia="en-US" w:bidi="ar-SA"/>
        </w:rPr>
        <w:t>Practice — Parties — Adding or substituting parties — Adding or substituting defendants — Application of limitation periods — Circumstances when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33"/>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Yablonski to add Kootenay Ice Hockey Club Ltd. as a defendant. This was a claim by Yablonski, a member of Kootenay Ice, for damages suffered when he was hit by a puck while watching the game from behind protective glass. Yablonski claimed against Cranbrook on the basis that it was responsible for the arena. Cranbrook issued a third party claim against Kootenay Ice claiming contribution and indemnity on the basis that it was the sole occupier of and had control over the arena. A license agreement between Cranbrook and Kootenay Ice provided that Kootenay Ice had exclusive use of the arena during hockey games and was responsible for upgrading of the arena and defects. The two-year limitation period expired on January 3, 2001. During examinations for discovery on August 7 and 8, 2001, correspondence was disclosed between Cranbrook and Kootenay Ice and Kootenay Ice and the Western Hockey League regarding the adequacy of the protective glass around the ice and other safety measures to catch pucks off the ice. Yablonski argued that he was not aware of the possibility that Kootenay Ice could be liable directly to him until the production of the documents in August, 2001. Kootenay Ice argued that all the information was in Yablonski's hands before the expiry of the limitation period and that there was considerable delay between the expiry of the limitation period and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25"/>
            <w:bookmarkEnd w:id="29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upon which to decide that the failure to join Kootenay Ice was an honest error of judgment. It appeared on the evidence that it was a mere oversight on the part of counsel.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28"/>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1"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7"/>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 Quon, for the plaintiff. S. Wallace, for the defendant. J.B. Carter,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7"/>
      <w:bookmarkEnd w:id="298"/>
      <w:r>
        <w:pict>
          <v:line id="_x0000_s1243"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MASTER PATTERSON"/>
            <w:bookmarkEnd w:id="299"/>
            <w:r>
              <w:rPr>
                <w:rFonts w:ascii="arial" w:eastAsia="arial" w:hAnsi="arial" w:cs="arial"/>
                <w:b/>
                <w:color w:val="000000"/>
                <w:sz w:val="30"/>
                <w:lang w:val="en-US" w:eastAsia="en-US" w:bidi="ar-SA"/>
              </w:rPr>
              <w:t>MASTER PATTERSON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plaintiff to add the third party Kootenay Ice Hockey Club Ltd. (hereinafter Kootenay Ice) as a defendant in this action pursuant to Rule 15(5)(a)(iii). The application is supported by the defendant, the City of Cranbrook and opposed by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an incident at a Western Hockey League game on January 3, 1999 played at the Cranbrook Memorial Arena in Cranbrook. At the time the plaintiff was a member of the Kootenay Ice hockey team, on the day in question he was not playing due to injury but was standing behind the protective glass watching the game. Apparently a puck shot by a member of the Kootenay Ice cleared the glass and hit the plaintiff on the head. The plaintiff alleges that he was injured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started this action against the City of Cranbrook on June 23, 1999. In the statement of claim the plaintiff alleges that the defendant city was responsible for the arena and the protective glass. The plaintiff alleges that the glass barrier was inadequate and thus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filed its statement of defence on October 14, 1999 denying liability and pleading that the Kootenay Ice was occupier of the arena during the hockey season. The defendant pleaded and relied upon a licence agreement dated July 13, 1998 made between Cranbrook as licensor and the Kootenay Ice as licensee which specifically provided that the licencee would have exclusive use of the arena during hockey games. The defendant also alleged that it was the responsibility of the third party to complete any upgrading of the arena and to look after any defects. The defendant alleged that the arena met acceptable standards and denied any previous similar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9, 1999 the defendant issued a third party notice claiming contribution and indemnity from the Kootenay Ice, in that third party notice the defendant alleged that the third party was the sole occupier of the arena, that it had control over the arena, and that it was negligent or in breach of its duty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January 11, 2000 the third party filed a statement of defence to the third party notice denying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breach of duty and alleging that it was the defendant's responsibility to upgrade the arena to league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various demands for discovery of documents and each party delivered a list of documents. Neither the list of documents of the defendant or of the third party disclosed correspondence with the Western Hockey League concerning the height of protective glass and other protective measures and renovations contemplated by the league in 1998 when the franchise moved to Cranbrook. Both lists disclosed the licence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28, 2000 the defendant amended its third party notice to allege that the third party was obliged to provide third party liability insurance and that it failed to do so or generally to provide proper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remained under contract as a hockey player to the Kootenay Ice until the Autumn of 2000 at which time he was traded to another team. During the period from January 3, 1999 until the fall of 2000 the plaintiff played only a few games apparently because of his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3, 2001 the nominal two year limitation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August 7 and 8, 2001 examinations for discovery were arranged and at that time the defendant produced correspondence between the Western Hockey League and the Kootenay Ice, and between the defendant and the third party all of which were dated between August 24 and October 15, 1998 and all related to proposed renovations and upgrades to the arena. The plaintiff alleges that none of this correspondence had been available before then and that shortly thereafter on August 15, 2001 he informed the third party that there would be an application to add the Kootenay Ice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correspondence produced makes clear reference to the protective glass around the ice surface, its adequacy and height, and also makes reference to other safety measures, such as netting, to catch pucks shot off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ARGUMENTS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argues that he was not, until August 7, 2001 and the production of the correspondence, aware of the possibility that the third party could be liable directly to the plaintiff and should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third party points out that the plaintiff was in possession of considerable information that would lead to the conclusion that there might well be direct liability by the Kootenay Ice. Those facts included the following:</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Kootenay Ice occupied the arena pursuant to a licence agreement, the terms of which were known to the plaintiff;</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member of the Kootenay Ice and attended the game as such;</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player who shot the puck was also a member of the Kootenay Ice;</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under contract to the Kootenay Ice team until September 2000;</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Cranbrook's statement of defence alleged that the incident was the responsibility of the Kootenay Ice;</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notice and the amended third party notice set out the alleged liability of the Kootenay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third party argues that all of this information was in the plaintiff's hands long before the expiry of the limitation period, and that it was an oversight on the part of the plaintiff that the Kootenay Ice was not added as a defendant within the limitation period. The third party also argues there was considerable delay between the expiry of the limitation period and the date of the notice of motion which was dated January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Notwithstanding the general provisions of the Limitation Act, s. 4(1)(d) provides that a lapse of time is no bar to adding a defendant with respect to a claim related to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15(5)(a)(iii)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At any stage of a proceeding, the court on application by any person may ...</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no doubt that the question whether it is just and convenient to add a third party as a defendant is a matter in the discretion of the court. How that discretion is to be exercised has been determined by the British Columbia Court of Appeal in two cases. The first case is Teal Cedar Products (1977) Ltd. v. Dale Intermediaries Ltd. </w:t>
      </w:r>
      <w:hyperlink r:id="rId56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(B.C.C.A.) 291. In that case Finch J.A. (as he then was) gave the lead judgment and wrote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On principle, therefore, it appears to be that that the discretion to permit amendments afforded by both Rule 24(1) and s. 4(4) of the Act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a clear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second case Letvad v. Findlay </w:t>
      </w:r>
      <w:hyperlink r:id="rId3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Esson J.A. after quoting paragraph 45 from Teal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My understanding of the phrase "completely unfettered" in this context is that the discretion is not fettered by the relevant legislation, i.e., the Rule and the Limitation Act. It is, however, fettered to the extent that, as was held in Teal, it must be exercised judicially, in accordance with the evidence adduced and such guidelines as may appear from the authorities. It was held in Teal that the guidelines to which the chambers judge is required to have regard include these: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delay;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reasons for the delay;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any explanation put forward to account for the delay;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degree of prejudice cause by delay;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Dealing with the factors mentioned by Esson J.A.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EXTENT OF DELAY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third party argues that the delay after the limitation period expired is 14 months. The notice of motion is dated January 31, 2002 and the matter was not heard for some two months after that. While the plaintiff informed the third party on August 15, 2001 of the forthcoming application no explanation is given for the delay from August 15, 2001 to January 31, 2002 some 5 1/2 months. The fact that counsel was busy is really no excuse. The delay from January 3, 2001 to August 15, 2001 is explained in part by the normal problems encountered in setting examinations for discovery when counsel are from different towns. The delay in the case is not in itself a decisive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stated there is no good explanation of the delay from August 15, 2001 to January 31, 2002. There is also no real explanation of the reason why the Kootenay Ice was not added as a defendant from the very beginning. The affidavit of the plaintiff does not contain any evidence concerning the decision not to join the Kootenay Ice as a defendant either when the action was commenced or later when the plaintiff was no longer affiliated with the team and before the limitation period expired. Perhaps there was a considered decision by the plaintiff not to join the Kootenay Ice in June 1999 as he was then still under contract to the team but that contractual arrangement ended in October 2000 when he was traded. There is no evidence that any thought was given to joining the Kootenay Ice as defendant in the period from October 2000 when that trade took place until January 3, 2001 when the limitation period expired. If there had been some reluctance earlier to join the team as a defendant there was a three month period when that would not have been a factor. It appears from the evidence that it was an oversight on the part of counsel not to join the Kootenay Ice as a defendant after the defendant issued its third party notice and set out clearly the terms of the licence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EXPLANATION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explanation put forward by the plaintiff is that his counsel was engaged in other matters in the period August 15, 2001 to January 31, 2002 specifically as counsel on an appeal to the Supreme Court of Canada which was argued on or about October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DEGREE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Prejudice can be presumed because the limitation period has expired. In this case there may be actual prejudice to the third party as well due to the fact that hockey players and coaches under contract to the Kootenay Ice and attending the game in question may well have moved on to other teams, moved internationally, or have given up the game entirely and scattered to different locations. Three years in the life of a young hockey player may be a life time of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EXTENT OF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party concedes the connection between the existing and proposed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final consideration boils down to whether the failure by the plaintiff to add the third party as a defendant is an honest error of judgment or a mere oversight. Esson J.A. discusses the difference in Letvad at paragraph 32 and 33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chambers judge then quoted from the reasons of Finch J.A. in Teal Cedar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do not consider that an honest error of judgment by a lawyer on a difficult legal question should be fatal to an application to amend or should outweigh all relevant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chambers judge seems to have taken the view that the honest error of judgment in Teal Cedar was equivalent to the plaintiff having "overlooked the adding of these parties." With respect, I cannot agree that mere oversight can be equated to an honest error of judgment on a difficult legal question. Nor does there appear to be any evidence to support the conclusion that it was a mere matter of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evidence before the court upon which to decide that the failure to join was an honest error of judgment. There is no evidence that the issue was considered at all before the limitation expired. It appears to be clearly and simply a mere oversight. It is difficult to understand, in retrospect, why the Kootenay Ice would not be added as a defendant when the following facts are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Kootenay Ice was the employer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while injured, attended the game because he was required to do so by the team;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player from the Kootenay Ice shot the puck that struck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through counsel became aware of the terms of the licence agreement concerning the use of the arena in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decision relied upon by the applicant where a third party was added as defendant is the decision of Bhatthal v. Bhatthal (unreported Vancouver Registry B981333). In that case Master Scarth added a third party as a defendant after the limitation period had expired. That case has a significant difference to this one in that a parallel action arising out of the same incident involving an infant plaintiff and otherwise the same parties included the third party as a defendant. It was clear in that case that the third party had knowledge of the issues and could not possibly be prejudiced greatly as they were already fully involved in the infant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the above discussion the applicant has failed to persuade me to exercise my discretion under Rule 15(5)(a)(iii) to add the third party as a defendant and consequently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third party is entitled to costs against the plaintiff in any event at the scale set for costs by the trial judge at trial otherwise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PATTERSON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Amini v. Khania, [2014] B.C.J. No. 2254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17-18 and 20-21, April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M114991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1671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Abdullah Amini, Plaintiff, and Pouran Khania and Atlas STE Tech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jc w:val="both"/>
        <w:rPr>
          <w:rFonts w:ascii="arial" w:eastAsia="arial" w:hAnsi="arial" w:cs="arial"/>
          <w:sz w:val="20"/>
          <w:lang w:val="en-US" w:eastAsia="en-US" w:bidi="ar-SA"/>
        </w:rPr>
      </w:pPr>
      <w:bookmarkStart w:id="300" w:name="Counsel_48"/>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E.A.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Fearon.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8"/>
      <w:bookmarkEnd w:id="301"/>
      <w:r>
        <w:pict>
          <v:line id="_x0000_s1246"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G.D. BURNYEAT J."/>
            <w:bookmarkEnd w:id="302"/>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October 25, 2009, in North Vancouver, a vehicle driven by Abdullah Amini collided with a vehicle driven by Pouran Khania.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Khania is admitted. The issues at Trial are what were the injuries suffered by Mr. Amini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Pouran Khania and what awards should be made for the damages flowing from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With his wife and son as passengers, Mr. Amini was travelling south on Gladstone Avenue and was stopped at the intersection at a red light. He testified that he waited for the light to turn green, he proceeded into the intersection, he heard his wife scream, and he then saw a westbound vehicle coming directly towards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Amini states that the force of the impact of the collision briefly lifted his vehicle on to its right tires. The impact was sufficient to cause his vehicle to be declared a total loss. Mr. Amini testified that he had no opportunity to brace for the impact, that he hit his head on the top of the inside of his vehicle and that, when his vehicle righted itself, he hit the left side of his head on the driver's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Amini is an immigrant to Canada. He was originally from Afghanistan. After graduating from high school in Afghanistan, Mr. Amini attended the Institute of Fine Arts of Kabul, where he specialized in drama. After graduation, Mr. Amini worked as an actor in television, theatre and movies.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Amini and his family escaped the violence of the Soviet-Afghani war to India with the assistance of the United Nations Refugee Program. Life in New Delhi proved to be challenging for Mr. Amini and his family due to the very difficult living conditions as well as cultural issues and not being able to speak the language. Mr. Amini worked very long hours in order to raise money to support his family. Through his employment, Mr. Amini accumulated enough funds to be able to buy a rickshaw which he then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Amini and his family applied for asylum and were accepted into Canada. They moved to Vancouver in 2000 and, because they did not know any English, they took ESL courses. Mr. Amini inquired at Capilano College to determine the requirements for the broadcasting program and was advised that he would need to complete English certification. The best estimate available to him was that this would take four years. Mr. Amini decided that he could not take this time away from earning income so he abandoned that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Amini found a job washing dishes and being a cook's assistant in a restaurant. He was paid a very low wage as he states that he did not have knowledge of what a normal or a minimum wage should be. Mr. Amini eventually found an additional job delivering newspapers for the Vancouver Sun, the Province, and the National Post. This involved working seven days a week from 4:00 a.m. to 6:00 a.m., and then working later in the day at the restaurant. Mr. Amini eventually heard about a job delivering papers for the North Shore News and, when he obtained this employment, he stopped working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North Shore News, Mr. Amini was paid $0.18 for each paper he delivered and an additional amount for each flyer he distributed. Eventually, his maximum delivery was about 1,300 papers per day. Mr. Amini described the work as physical work which, he states, he did not particularly enjoy.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2005-2005, Mr. Amini started to consider additional work as a landscaper. While he knew that he did not have the resources to purchase all of the necessary equipment, he purchased a used lawn mower at a thrift shop for $50 and distributed a simple flyer for grass cutting servicing along his paper delivery route. The landscaping business developed slowly and, as he gained more clients and income, Mr. Amini was able to purchase more tools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Amini states that, prior to the accident, he worked about 3-1/2 days a week, 8 to 9 hours a day, during the seven month peak period for landscaping work. He also estimated that he worked 3-1/2 days per week and 4 to 5 hours a day during the five "off peak" months for the landscaping work. Eventually, he was charging clients between $25 and $30 per hour for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Amini acquired knowledge as to how to build fences, to set landscaping tiles, and to undertake paving work. He described the landscaping and handyman work as physically demanding but he also found it to be more enjoyable than working in a restaurant or delivering newspapers.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Amini testified that he did not have any problems or limitations in doing the landscaping and newspaper delivery work and that he did not have any problems with his neck, back or shoulders, nor did he have problems with his sleep or mood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Amini was also active doing work around his home. At Trial, Mr. Amini estimated that he undertook between one and 1-1/2 hours of housekeeping duties per day, including vacuuming, dusting, washing and scrubbing the bathroom tub and tiles, and other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Mr. Amini had a very busy work schedule, Sunday activities included picnics, swimming, playing soccer or badminton, or making a meal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Soon after the accident, Mr. Amini described having pain in his neck, upper back, shoulders, his arms and his left leg and having headaches. He described the symptoms as "intense and constant". As a result of his symptoms, Mr. Amini stated that he was off work from all employment for several months and he was unable to do any of the housekeeping duties that he would ordinarily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Parvaneh Beheshti is the family physician for Mr. Amini. Mr. Amini attempted to see Dr. Beheshti the same day as the accident, but, because of her schedule, he was only in a position to see her several days later. Dr. Beheshti recommended physiotherapy and Mr. Amini attended physiotherapy sessions on the following dates: (a) November 25, 2009; (b) November 27, 2009; (c) November 30, 2009; (d) December 4, 2009; (e) December 7, 2009; (f) December 9, 2009; (g) December 16, 2009; (h) December 18, 2009; (i) December 21, 2009; (j) December 23, 2009; (k) October 13, 2010; (l) November 29, 2010; (m) December 1, 2010; (n) December 3, 2010; (o) December 8, 2010; (p) December 13, 2010; (q) December 15, 2010; (r) December 20, 2010; (s) December 22, 2010; (t) December 29, 2010; and (u) January 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Amini eventually returned to work delivering newspapers in January 2010. He testified that the return to work was at a reduced capacity as he stated he was not able to deliver as many papers as he did previously. He also returned to his landscaping work, but also in a reduced capacity due to his physical limitations. At Trial, Mr. Amini stated that he was not in a position to do certain tasks, such as trimming tall trees or large bushes, the heavy fence-making and paving so that some of the clients previously available to him no longer contacted him to do work. As a result of the injuries suffered in the accident, Mr. Amini states that his landscaping work was reduced significantly. Mr. Amini stated that his previous extensive involvement in performing household work was greatly curtailed as were his recreational activities. Mr. Amini states that he has little choice other than to do manual work because of his limited language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that, as a result of the accident, Mr. Amini was unable to return to delivering newspapers or undertake landscaping work from the date of the accident until January 20, 2010 so that he missed three months of income. I also find that, when Mr. Amini was in a position to return to his employment, he was only able to do so in a reduced capacity. I find that, after January 20, 2010, Mr. Amini was in a position to return to delivering newspapers and undertaking landscaping work on a limited basis and to do only some of the household tasks that he previously undertook. At Trial, Mr. Amini stated that he was no longer able to undertake the swimming, playing soccer or badminton that he previously enjoyed.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His daughter found it necessary to get a job to make up for the loss of family income in the family and Mr. Amini stated that this impacted him negatively as he feared her having to get a part-time job would have an impact on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 unrelated accident, Mr. Amini fractured his heel bone on December 1, 2012. As a result of that injury, Mr. Amini did not return to any work until November 2013. As a result of this foot injury, Mr. Amini stated that he was no longer able to do newspaper delivery work and he could no longer do the paving associated with his landscaping work. However, he stated that the foot injury did not further affect his ability to do the reduced housekeeping duties that he had been doing after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Amini testified that his pain symptoms plateaued in late-2011 and early-2012. He describes his pain symptoms now as being "constant". At Trial, Mr. Amini described the constant nature of the pain in his neck, upper back and left shoulder, as well as headaches that start in the back of his head and move all the way to the front of his head. Mr. Amini also described having chronic sleep difficulties because he changes positions many times during the night as he cannot find a comfortable position. He states that his mood has changed as he is constantly irritable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Amini states that he is very reluctant to use pain killers too often because he is concerned he will become dependent on them. He stated that he experiences pain in everyday activities and that he has not had a full pain-free day since the accident save for when he takes medication that enables him to sleep. The evidence of Mr. Amini at Trial was that his life has been significantly affected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TREATMENT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December 17, 2013 opinion, Dr. Beheshti set out the following observations on the days she saw Mr. Amini: (a) October 19, 2009: He reported pain on his left side of his neck and shoulder, as well as pain on lower back on left hip joint, which makes clicking noise". "On examination, his neck movements were painful and limited. Sore muscles were very painful. He could not give me his pain scale as it was so severe. His back movements were all limited and painful."; (b) November 9, 2009: "Still was complaining of back pain with radiation to his left leg. X-ray result showed disc disease C4-5, C5-6 in neck and mild disc disease in lower back."; (c) January 28, 2010: "He reported having headaches." "He felt 40% improvement in his neck but complained of back pain with radiation to his left leg. I gave him gabapentin for one month and advised him on water exercise."; (d) February 24, 2010: "He had the same aches and pain. He was advised on massage therapy."; (e) April 29, 2010: "He reported that he could not sleep on his left side and had pain in left ear." "Headaches made him drowsy. He complained of numbness in his hands. On examination, ROM [range of motion] of his neck was normal but he had pain."; (f) October 25, 2011: "Headaches and neck pain. Pain was waking him up at nights and was constant. He had pain between his shoulders and even on his right shoulder with extreme movements. Gabapentin helped him. Neurological exam was normal both sides."; (g) April 19 and 26, 2010: "He still had the same pain. Gabapentin made him drowsy. He reported his headaches were 2-3 times per week and was pulsing on both sides. He felt pressure on his eyes and also noises were bothersome."; (h) January 17, 2013: "He reported right ankle fracture and neck pain."; (i) March 11, 2013: "He had severe neck pain, which made him nauseous. Also, he reported having headaches all the time. His left shoulder and all symptoms were the same, and he said his medication was not helping him. He said his fingers were becoming numb. (Radiculopathy)."; (j) November 18, 2013: "He still had tenderness on the neck and shoulder. Result of his new CT scan dated November 29, 2013, showed severe central stenosis due to osteophytes (which was mild in 2010), neuroforaminal stenosis, osteoarthritis -- Lt&gt;Rt, and disc bulging in other levels, which some caused central canal stenosis.".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Beheshti provided the following summary in her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his accident, he's been seriously disabled due to pain in his back, neck and shoulder and headaches. His cervical disc disease got worse. Physiotherapy and medications could not help him that much. Therefore, he is not able to continue his job as a newspaper distributer. He is not sure if he can do as this is a seasonal job. He needs to continue his physiotherapy and exercises until he sees the neurosurgeon. His prognosis for complete recovery is very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John A. Fuller is an orthopaedic specialist and was admitted as an expert to provide an opinion in that regard. In his June 3, 2013 opinion, Dr. Fuller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Range of motion of the neck was flexion/forward bending to bring the chin to the sternum/breastbone, extension/ backward bending 30, rotation right 40, left 30 and lateral flexion 20 degrees. All these movements can be considered restricted with the exception of forward flexion. Range of motion of the shoulders was forward flexion/bringing the arms away from the midline of the body right 180 and left 160; abduction/bringing the arm out sideways away from the midline of the body, right 170, left 160; normal is 180 degrees. Internal rotation to touch thoracolumbar junction/junction between the chest spine and the low back. Normal range would be to touch the midthoracic spine. External rotation 50 degree, normal. On abduction of the left shoulder there was pain in the trigger point of the left infraspinatus. Passive motion of the left shoulder was forward flexion and abduction 90 degrees with similar rotation, normal. Movements of the shoulder joint proper can therefore be considered normal with some restriction due to the persistent muscle contraction.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diagnoses are: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occipital/base of skull headache in conjunction with probable residual musculoligamentous trauma to the structures supporting the cervical spine/ neck with a possible component subsequent to direct impact of his head with the roof of his vehicle in the motor vehicle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constant, secondary to the above-noted probable degree of residual trauma to the musculoligamentous structures supporting the cervical spine/neck. There was also a significant possibility with what would have been an excessive range of motion of the cervical spine in lateral flexion upon impact having rendered the pre-existing degenerative change symptomatic.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discussed under 'Causation' this patients axial skeleton/neck and back would have been subjected to an excessive physical load in the accident of October 25, 2009. Loading was initially in left lateral flexion/side bending such that he struck the driver's door followed by a rebound into right lateral flexion. The seatbelt offers no protection whatsoever from this particular direction of overload and excessive range of motion. These forces would therefore have been sufficient to cause a degree of musculoligamentous injury to the structures supporting the cervical spine with associated palpable protective reflex muscle spasm which would in and of itself become painful.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the lumbosacral spine/low back, he indicated that symptoms were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indicated he struck the roof of his vehicle with his head and possibly experienced a degree of compromise to his level of consciousness. I would pretend to no primary expertise in concussion; however it is my impression that he probably did not present with a significant level of postconcussion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now three years and seven months following the motor vehicle accident of October 25, 2009. He has therefore moved out of the above-noted time frame. The prognosis therefore for spontaneous resolution of residual symptoms can be considered guarded, if not poor. It would in fact be my opinion that he has reached maximum medical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age of 60 the presence of degenerative change on x-ray is to be expected. Degenerative change is essentially a normal phenomenon of aging and I would not relate the development of degenerative change to the motor vehicle accident of October 25 2009. Similarly, the natural history of degenerative change is one of progression and I would not relate any such progression to the motor vehicle accident in question. It is also of note that degenerative change is a not infrequent finding on x-ray and is, in fact,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Iain G. Dommisse is as an orthopaedic surgeon and was qualified to provide an opinion in that regard. In his November 15, 2013 opinion to counsel for the Defendants, Dr. Dommisse stated that the plaintiff had said that "... he also has a prior history of headache symptoms with flu illness, for example". Regarding his "active range of motion", Dr. Dommisse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30 degrees of flexion and 20 degrees of extension of the cervical spine (normal total flexion/extension: 150 degrees). Rotation of the cervical spine is to 40 degrees to the right and left sides (normal: 80-90 degrees). Lateral flexion is to 20 degrees each way (normal: 40 degrees). Left lateral flexion produces left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Shoulder elbow and wrist range of motion is normal. His passive left shoulder movement are full but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Regarding the CT scan that had been done, Dr. Dommisse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posterior bony hypertrophy at C4-5 with central canal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posterior diffuse disc bulge is present at C5-6.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I have seen radiographs done for this man's thoracic and lumbar spine at Vancouver General Hospital on October 9, 2012. Mild narrowing of the C4-5, C5-6 and C6-7 disc space is noted. Small left oncovertebral osteophytes are present at these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mild right thoracic scoliosis. The lumbar spine images are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had an AP pelvis and lateral radiograph of his left hip. This study is normal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Dommisse was of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Amini sustained a Grade II strain of his cervical and thoracic spine as a result of the Accident. He also sustained a Grade II strain of his lumbosacral spine as a result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likely that the degenerative changes within this man's cervical spine are predominantly accounting for his ongoing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that I have, this man's symptoms were aggravated temporarily as a result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your specific questions.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Amini sustain injuries related to your field of expertise as a result of the Accident? If so, please describe those injuries and your prognosis for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Mr. Amini sustained a Grade Ii strain of his cervical and thoracic spine as a result of the Accident. In my opinion the prognosis for his recovery from the injury is fairly good.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Mr. Amini have any pre-existing or degenerative conditions that have an Impact on Accident related Injuries? If so, would they have become symptomatic regardless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outlined above, Mr. Amini has degenerative changes in his cervical spine. In my opinion, it is likely that these changes pre-dated the Accident, and would likely have become symptomatic regardless of the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Mr. Amini's Injuries Impact his ability to partake in day-to-day activities? If so, to what extent?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unlikely that Mr. Amini's injuries will impact on his ability to partake in day-to-day activities as it is likely that this man's symptoms are predominantly related to the degenerative changes within his cervical spine.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Mr. Amini's injuries impact his ability to work now or in the future? If so, to what extent?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unlikely that Mr. Amini's injuries will impact on his ability to work now 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December 19, 2013 opinion, Dr. Fuller made the following comments regarding the December 15, 2013 opinion of Dr. Dommisse: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2. -- "these (degenerative) changes pre-dated the Accident, and would likely have become symptomatic regardless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Response. -- I agree that the degenerative changes were present prior to the motor vehicle accident. It is also of note that he was doing heavy work and they were not symptomatic. Degenerative change is a not infrequent finding on X ray and Is Indeed often not symptomatic. There are therefore no grounds for assuming that they would become symptomatic.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3. -- "it is likely that this man's symptoms are predominately related to the degenerative changes within his cervical spine."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Response -- As indicated under Question 2, the degenerative changes predated the motor vehicle accident and despite heavy work were asymptomatic. If one postulates that the degenerative changes are the cause of his symptoms post accident, then one is forced to the conclusion that the accident rendered the degeneration symptomatic. It would be my opinion that musculoligamentous injury and its sequelae are the more probable cause of his residual symptoms, as stated in my prior report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Dr. Dommisse was asked the following questions by me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can you express an opinion as to how long that level of pain would have taken to develop if there had not been an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 probably in him it would have developed gradually over a period of time, and I think what would have happened is the pain would have been probably in a similar distribution and he will have -- he will have found that specific movements or specific activities, for example, turning the head to one side or lifting the arm, predictably flare up the pain. And so, a lot of individuals learn to just sort of adapt to that and avoid those movements, but I would think it would have been a -- in him a gradual onset of symptoms.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assuming gradual, how long would it have taken him to get to the level of pain that you anticipate he has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think it probably would have taken a year or more, a year, maybe maximum two years. He may not have reached the same level of pain. I would have expected without an accident he would have developed pain very similar to this, but -- maybe even the same location but not quite as severe. What I've seen in my clinical practice is -- is that an accident after noted in the spine with degeneration, the symptoms are more severe. And the individuals that have onset of symptoms without an accident usually are on an ongoing basis not quite as severe. The one thing that's common to both those groups is that flare-ups do occur and we hear of individuals that have to go to the emergency room in the middle of the night because their pain is just unbearable and -- and we see that both in individuals with spontaneous onset and individuals who have been in an accident with underlying degeneration in their spines.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is there any predictability of a man this age and of this activity as to when the pain would start?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 the -- the basic age of onset of degeneration from the reading I've done in the literature is between 40 and 45. This is the bell curve. This is -- this is the age where we see disc bulges starting to occur, which is the early onset of degeneration. I think in this man, he's now 60 or 6-coming up 61, I would have expected that he -- he probably would have had symptoms by mid-50s would be my -- my guess considering there are two levels involved and considering the -- the degree of degeneration at the one particular level, which is between the fourth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starting between did you say 45 to 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we see in the literature. I think in this individual mid-50s would have been the onset of his symptoms based on my clinical experience,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Javidan was the treating neurologist for Mr. Amini and saw him on four occasions. Dr. Javidan was asked to clarify whether he was of the view that some of the symptoms of Mr. Amini were present prior to the accident. After reviewing his consult records as a whole along with pre-accident records he did not have at the time of his appointments, Dr. Javidan corrected his clinical records indicating that there was a miscommunication between him and Mr. Amini regarding the onset of the symptoms of Mr. Amini. He stated that this was caused by the fact he spoke to Mr. Amini in Iranian Farsi and that Mr. Amini spoke to him in an Afghan Farsi dialect.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any headaches that Mr. Amini had before the accident related to causes other than any degenerative changes to his cervical spine. At the time of the accident, Mr. Amini was in his mid-50s. I cannot conclude that he was experiencing any of the pain symptoms prior to the accident that he has experienced since the accident. I find that the work delivering newspapers and the landscaping work involved demanding physical labour. His work delivering newspapers and doing landscaping work did not create the symptoms that Dr. Dommisse predicted would usually have been evidenced as having commenced about ten years earlier when Mr. Amini was in his mid-40s. I find that any degeneration had not commenced to cause problems by the time Mr. Amini was in his mid-50s.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prefer the diagnosis of Drs. Beheshti, Javidan, and Jordan over the diagnosis of Dr. Dommisse in this regard. I make a number of findings of fact that are contrary to the facts assumed by Dr. Dommisse. First, I cannot find that Mr. Amini worked seven days a week after the accident for a year doing gardening, paving and fence making. I find as a fact that he did not return to his landscaping work immediately and, when he did, it was in a reduced capacity due to the physical limitations caused by the accident. Second, the opinion of Dr. Dommisse appears to be based on very little knowledge of the pre-accident functioning of Mr. Amini. It appears that Dr. Dommisse did not know how many days per week Mr. Amini worked delivering papers both before and after the accident and that he had "no idea" of the housekeeping duties of Mr. Amini before and after the accident. In fact, Dr. Dommisse testified that, after the accident: "... I would doubt that Mr. Amini does any housekeeping personally, but, again, as I said, I have -- I have no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also cannot conclude that the degenerative changes described by Dr. Dommisse would have become symptomatic inevitably. I am satisfied that degenerative change is not an infrequent finding on an X-ray of a person in their mid-50s and, despite the presence of such degeneration, it cannot be assumed to already be or to become symptomatic. The opinion of Dr. Dommisse that the onset of Mr. Amini's symptoms would have been present by his mid-50s was only what he referred to as "my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the opinion of Dr. Fuller that the prognosis for spontaneous resolution of symptoms of Mr. Amini "... can be considered guarded, if not poor". I also accept his opinion that Mr. Amini has reached maximum medical recovery. I further accept the opinion of Dr. Fuller that degenerative change evidence is a normal phenomenon of aging not related to the accident. I find that Mr. Amini sustained a grade 2 strain of his cervical and thoracic spine and his lumbosacral spine as a result of the accident which has resulted in decreased flexion and extension, reduced rotation of the cervical spine, and reduced lateral flexion, and that these injuries have continued to cause pain and suffering and physical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am satisfied that there is a substantial connection between the injuries suffered in the accident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Pouran Khania: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I am satisfied that Mr. Amini has proven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Pouran Khania caused or materially contributed to the injuries suffered by Mr. Amini: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An award of non-pecuniary damages for loss of amenities, pain and suffering, and loss of expectation of life provides the plaintiff with reasonable solace. On behalf of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(2006), 263 D.L.R. (4th) 19</w:t>
        </w:r>
      </w:hyperlink>
      <w:r>
        <w:rPr>
          <w:rFonts w:ascii="arial" w:eastAsia="arial" w:hAnsi="arial" w:cs="arial"/>
          <w:color w:val="000000"/>
          <w:sz w:val="20"/>
          <w:lang w:val="en-US" w:eastAsia="en-US" w:bidi="ar-SA"/>
        </w:rPr>
        <w:t xml:space="preserve"> (B.C.C.A.), Kirkpatrick J.A. identified the following non-exhaustive list of factors relevant to the assessment of non-pecuniary loss: (a) age of the plaintiff; (b) nature of the injury; (c) severity and duration of pain; (d) disability; (e) emotional suffering; (f) loss or impairment of life; (g) impairment of family, marital and social relationships; (h) impairment of physical and mental abilities; (i) loss of lifestyle; and (j) the plaintiff's stoicism (as a factor that should not, generally speaking, penalize the plaintiff).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well, Mr. Amini submits that the "Golden Years" principle apply in this case. This principle was described in </w:t>
      </w:r>
      <w:r>
        <w:rPr>
          <w:rFonts w:ascii="arial" w:eastAsia="arial" w:hAnsi="arial" w:cs="arial"/>
          <w:i/>
          <w:color w:val="000000"/>
          <w:sz w:val="20"/>
          <w:lang w:val="en-US" w:eastAsia="en-US" w:bidi="ar-SA"/>
        </w:rPr>
        <w:t>Dulay v. Lachance</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2012 BCSC 258</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as noted by Griffin J.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the injury to a person nearing retirement is frequently more difficult to endure. As aptly stated by Griffin J. at para. 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 The impact an injury can have on someone who is elderly was recognized in Giles v. Canada (Attorney General), </w:t>
      </w:r>
      <w:hyperlink r:id="rId961"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962"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Griffin J.'s reasoning apt here in Mr. Dulay's case where he is nearing retirement and has lost the ability to function in a way that has altered how he lives. (at paras. 123-124)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on behalf of Mr. Amini submits that an appropriate range of awards would be $75,000 to $85,000. In this regard, Mr. Amini relies on the following decisions to support that this range of non-pecuniary damages is appropriate: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the 49-year-old plaintiff suffered injuries to her neck and upper back that persisted from the date of the accident up to trial and where her symptoms prevented her from completing her homemaking tasks, and had an negative effect on her personal relationships, especially with her children and husband. ($85,000 in non-pecuniary damages.)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Paller v. Morgan</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the 49-year-old plaintiff suffered from chronic neck and back pain, and headaches which persisted from the time of the accident up to the trial. His injuries and chronic pain affected his relationship and caused him to be irritable. There was a finding that the injuries to his neck and back were unlikely to improve and might possibly worsen. ($85,000 in non-pecuniary damages.)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Szymanski v. Morain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the 55-year-old plaintiff suffered from chronic neck pain that radiated to his upper left trapezius muscle. The prognosis was guarded for complete resolution. ($75,000 in non-pecuniary damages.)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the 28 year old plaintiff experienced pain to her neck, shoulders, and headaches which were caused by her neck pain. Her symptoms were most acute in the first six months and remained acute for 16 months. She received chiropractic treatments, massage therapy, and acupuncture to treat her injuries. There was a finding that the plaintiff would continue to improve but it was not predicted to be symptom free. ($75,000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Taking into account the age of Mr. Amini, what the Defendants state are "mild to moderate symptoms", and the minimal impact on the day-to-day and recreational activities of Mr. Amini, the Defendants submit that an award for non-pecuniary damages should be in the neighbourhood of $25,000 to $35,000. In support of that submission, counsel for the Defendants rely on the following decisions: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the 61-year-old plaintiff suffered neck and back pain and headaches. Her neck pain improved and her back remained painful every day or every second day. Housekeeping was a significant activity for the plaintiff and she had struggled with those activities since the accident. ($25,000 in non-pecuniary damages, which included $5,000 for loss of housekeeping capacity.);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Arnold v. Richmond Imports Ltd.</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2004 BCSC 672</w:t>
        </w:r>
      </w:hyperlink>
      <w:r>
        <w:rPr>
          <w:rFonts w:ascii="arial" w:eastAsia="arial" w:hAnsi="arial" w:cs="arial"/>
          <w:color w:val="000000"/>
          <w:sz w:val="20"/>
          <w:lang w:val="en-US" w:eastAsia="en-US" w:bidi="ar-SA"/>
        </w:rPr>
        <w:t>: the 51-year-old plaintiff suffered soft tissue neck injuries when her stationary vehicle was struck from behind. The neck injuries were moderate to severe in nature. Her pain was continuing at trial five years later although it was much less severe than what she initially experienced, her condition was continuing to improve although she probably had permanent weakness in her neck which would probably cause pain from time to time in the future. ($30,000 for non-pecuniary damages.);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Doosti v Enterprise Rent-a-Car Ltd.</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the 41-year-old plaintiff suffered moderate soft tissue injury that cause pre-existing degenerative changes in his cervical spine to become symptomatic, such that the injuries sustained were more severe than would otherwise have been the case. The plaintiff continued to work though it caused him pain, the pain affected his ability to hike, jog, cycle, and play sports to the extent that he would like, and there was not a reasonable prospect of complete recovery. ($35,000 non-pecuniary damages including a 20% contingency relative to a pre-existing degenerative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Amini is now 61. While his pain and suffering has diminished, he continues to experience pain in his back, neck and shoulder and he continues to have headaches. I find that, as a result of the accident, Mr. Amini had constant severe pain in his back, neck and shoulders for three months and that this pain caused him extreme discomfort. I find that severe pain experienced by Mr. Amini lasted until early 2012 and that it caused him chronic sleep difficulties. Since that time, I find that the lesser pain that he experiences can still be described as "constant". The pain has caused Mr. Amini considerable disability and the fact that it has been necessary for his daughter to provide income for the family has added to the emotional suffering that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result of his injuries, I am satisfied that Mr. Amini is not in a position to return to full employment delivering newspapers or to provide the full landscaping services he previously provided. I find that he can only undertake those activities on a limited basis. I am also satisfied that the recreational activities of Mr. Amini have diminished as a result of the accident. However, I am not satisfied that these activities have diminished to the extent that Mr. Amini claims. In this regard, Mr. Amini was examined for discovery and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often do you run a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Three times, twice, sometimes four times if I am well, I am not tired.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distance to you run?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WITTEN: This is in the present tense? This is in the present tense? Are you going to translate that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kilometres, 2 and a half kilometres, and then I rest, and then go another half a kilometre.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you run last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remember two or three times because I tried to force my son to run.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do any other exercises?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Sundays, yes, as I say, I play soccer with children or badminton with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In the past week how many hours have you worked?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Last week nothing because it's been raining.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pain, generally, if you walk for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Half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 you start to limp when you are walking for about half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there is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able to do your landscaping work with your ankle or leg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but it is not like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have to work less because of your ankle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 at the moment I have to work less because of the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say you are working about 50 percent less, 75 percent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say 50 percent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fair to say that you are back to doing most of the things that you did before the accident, but you just do less of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 fair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less are you doing? Would you say 10 percent less, 20 percent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cannot tell you the percentage, but I can tell you, for example, I used to take 20 of -- shovels of -- I don't know how to say this, just soil into wheelbarrow and take it somewhere. Now I do 12. It used to be 20, now it is 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customers, do you speak to them in English?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Everything in English, I speak to them in English. I use the body language. I write sometimes because my English isn't that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a result of the accident, I also find that Mr. Amini's ability to undertake household duties is reduced. I am satisfied that there has been significant impairment of his abilities as a result of the pain that continues so that he is less able to assist with household work, that he has had to curtail to some extent the leisure activities that he enjoyed, and that he has had to reduce substantially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"crumbling skull doctrine" recognizes that an award should be reduced if there is a real possibility beyond mere speculation that a plaintiff would have suffered the losses or injuries regardless of an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The November 2, 2009 x-rays show that Mr. Amini had degenerative disc disease of his cervical spine. The Defendants submit that the "significant, pre-existing degenerative disc disease would have become symptomatic regardless of the Accident, particularly when considering his age and how widespread and severe his degenerative disc disease was". In this regard, the Defendants rely on the decisions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Booth v. Gartner</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2010 BCSC 471</w:t>
        </w:r>
      </w:hyperlink>
      <w:r>
        <w:rPr>
          <w:rFonts w:ascii="arial" w:eastAsia="arial" w:hAnsi="arial" w:cs="arial"/>
          <w:color w:val="000000"/>
          <w:sz w:val="20"/>
          <w:lang w:val="en-US" w:eastAsia="en-US" w:bidi="ar-SA"/>
        </w:rPr>
        <w:t>. The Defendants submit that there is "a strong likelihood" that the degenerative disc disease would have become symptomatic soon after the accident given the age of Mr. Amini, how widespread his degeneration was, and the severity and nature of his degenerative changes at C4-5.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T.W.N.A. v. Clarke</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(C.A.), Smith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by a certainty. Rather, it should be given weight according to its relative likelihood.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Here, I find that there was little, although some, likelihood that Mr. Amini would have begun to experience some pain as a result of the degeneration noted in his x-rays. Having made that determination, I also have made the finding that the degeneration was asymptomatic by age 55 when the accident occurred, despite the fact that Mr. Amini had two strenuous, labour-intensive occupations. While I am in general agreement with counsel for Mr. Amini that the appropriate range of awards for non-pecuniary damages would be $75,000 to $85,000, I take into account all of the factors noted above and award non-pecuniary damages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difficult to determine the pre and post-accident income of Mr. Amini because he did not keep complete records or, alternatively, make them available at Trial: (a) he did not produce his credit card records although he used his credit card for business expenses; (b) he was often paid in cash for his landscaping business and then used this cash for business expenses; (c) he did not disclose all of his bank records; (d) his paper delivery expenses are unknown other than his rough estimation of what he paid for gas each month ($600, based on 8 to 10 fill-ups for his seven passenger van); (e) his bank records are often not a clear representation of what he was paid or what he purchased; (f) many of his income tax records do not reflect his income by an unknown amount; (g) he did not disclose all of his business records (while he provided his accountant with various receipts related to his business income such as large equipment purchases, those receipts were not produced at Trial); (h) his bank records which were disclosed do not always describe the source of his deposits; and, (i) he has not led evidence on common expenses, such as vehicle depreciation and repairs, supplies, tools repair or purchases, etc.</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North Shore News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Amini received a steady flow of income from the North Shore News. That income had gradually increased between 2005 and the date of the accident. It has been agreed Mr. Amini was paid from the North Short News the following: (a) $32,185.62 in 2007; (b) $40,863.13 in 2008, (c) $34,058.27 in 2009 (year of the accident); (d) $29,505.02 in 2010; (e) $28,812,54 in 2011; and (f) $27,670.19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the Income Tax Returns of Mr. Amini show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7" type="#_x0000_t75" style="width:312pt;height:203.25pt">
            <v:imagedata r:id="rId97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Amini submits that, considering he was paid a steady flow of income from the North Shore News, an appropriate and reasonable method to determine his past income loss from the North Short News is to claim the amount of income he had earned in the three months prior to the accident ($9,530.46). Therefore, Mr. Amini claims $9,530.46 past income loss from the date of the accident until January 20, 2010. I am satisfied that this is an appropriate method of determining past wage loss for that period. Accordingly, I award $9,530.46 for the period October 30, 2009 to January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calculation of past wage loss for the period January 20, 2010 until December 1, 2012 when Mr. Amini fractured his heel bone is more difficult. From approximately January 20, 2010 until December 1, 2012, I find that Mr. Amini was unable to return to delivering the same number of papers he delivered prior to the accident. Mr. Amini testified that he delivered approximately 200 less newspapers per day after he went back to delivering newspapers in January 2010. Mr. Amini submits that an appropriate and reasonable method of assessing his loss during this period of time is to compare his income earned in 2008 when he worked for the full year and earned $40,863.13 against what occurred in 2011 when he worked the full year in a reduced capacity and earned $28,812.54. This reduction is approximately $12,000 per year or $1,000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of Mr. Amini regarding income loss is no more precise than his estimate at Trial that he delivered approximately 200 less newspapers per day after the accident. Some of his paycheques from the North Shore News were much lower than if he had worked steady hours: June 21, 2010 ($799.53); August 16, 2010 ($820.41); February 28 to April 12, 2011 -- his paycheques ranged from $19.13 to $976.36. Evidence was not led relating to these reduced paycheques and whether the reduction related to the accident. As well, Mr. Amini missed work after the accident when his mother passed away and a week when he had kidney stones in 2010. While the number of papers he delivered in 2011 were reduced to the range of 700-800 paper per day but there was no evidence that this drop necessarily related to injuries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submit Mr. Amini was working at full capacity and that any lowered income came as a result of the ebb and flow of available work and not as a result of the injuries suffered during the accident. While the Defendants accept that three months of work was missed after the accident, they submit that there was no certainty regarding the reduced productivity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also submit that the Plaintiff's gross past wage loss should be reduced to account for the Plaintiff's business expenses. However, the business expenses of Mr. Amini are not known. The Defendants submit that his gas expenses would be substantial as he drove his seven passenger van for his newspaper delivery job, including to each of his various routes, to drop piles of approximately twenty newspapers along the way to then be delivered by hand. Given that the Plaintiff delivered 800 to 1000 newspapers per day, the gas expenses of Mr. Amini would be reasonably high. The Defendants submit that the Plaintiff is entitled to total past wage loss of approximately $10,000, which they state is the best estimate of the losses of Mr. Amini based on the sparse information available. I do not accept the submissions made by the Defendants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Defendants then submit that the Plaintiff's past wage loss should be reduced to reflect his net income loss: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While the income and the tax bracket of Mr. Amini is difficult to ascertain, the Defendants submit that a reduction of 15% is appropriate, thus reducing the total wage loss of Mr. Amini to $8,500.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2008 when Mr. Amini worked full time at the North Shore News, he earned $40,863.13 or $3,405.26 on average per month. For the 10 months in 2009 he earned $34,058.27 or $3,405.83 on average per month. For the 10 months that he worked in 2010, he earned $29,505.02 or $2,950.50 on average per month. Mr. Amini worked a full 12 months in 2011 and earned $28,812.54 or $2.401.01 on average per month. Mr. Amini worked 11 months in 2012 and earned $27,670.19 or $2,515.47 per month on average. As a result of the injury to his heel, Mr. Amini did not work for a considerable time after December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Accordingly, the income loss attributable to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Pouran Khania must be restricted to the period between October 29, 2009 and December 1, 2012 and then between November 1, 2013 (when the injury to his heel had healed) and the date of the Trial. In addition to the $9,530.46 that I allow for the period between October 30, 2009 and January 20, 2010, I find that his wage loss attributable to the injuries caused by the accident can be calculated by comparing his income for 2010 through 2013 against the average monthly income in 2008 and 2009, being $3,405.83.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therefore find the past wage loss as a result of diminished income from North Shore News at $29,347.68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28"/>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income between</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29, 2009 and January 20, 2010</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$ 9,530.46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income 2010</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$3,405.83 -- $2,950.50 x 10 months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$ 4,553.30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income 2011</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$3,405.83 -- $2,950.50 x 12 months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$ 5,469.96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income 2012</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$3,405.83 -- $2,515.47 x 11 months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$ 9,793.96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income after November 21, 2013</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date of Trial unknown</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virtue of a lack of evidence</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$29,347.68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I reduce the income of Mr. Amini from the North Shore News source by 15% or $4,402.15 so that I ascertain his past wage loss from North Shore News source as being $24,945.53.</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Landscaping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calculation of the loss of income from the landscaping business of Mr. Amini is impossible to ascertain. First, his landscaping business appears to have been a cash business and there are no accurate records in evidence relating to what was received or what was then disbursed as business expenses. Second, the "Business Income" reflected in his Income Tax Returns allows me to conclude that he was probably not declaring income from his landscaping business or that the income from this source equalled the expenses from both of his undertakings. For instance, his business income for 2009 is shown as $14,450 whereas the income received from the North Shore News was $34,058.27. A similar pattern is established for 2010 ($29,535.00 instead of $29,505.02), 2011 ($29,735.00 instead of $28,812.54), and 2012 ($28,734.00 instead of $27,670.19). Third, the net business income for the years 2010 through 2012 allows me to conclude that many expenses were written off against any income that was reported from his landscaping business and/or from the North Shore News income. In the circumstances, I am not satisfied that Mr. Amini has proven on a balance of probabilities that he suffered a reduction of income from his landscaping business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Accordingly, I cannot find that there was any further loss of income over and above $24,945.53.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Taggart J.A. on behalf of the Court confirmed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where Finch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3 B.C.L.R. (5th) 303</w:t>
        </w:r>
      </w:hyperlink>
      <w:r>
        <w:rPr>
          <w:rFonts w:ascii="arial" w:eastAsia="arial" w:hAnsi="arial" w:cs="arial"/>
          <w:color w:val="000000"/>
          <w:sz w:val="20"/>
          <w:lang w:val="en-US" w:eastAsia="en-US" w:bidi="ar-SA"/>
        </w:rPr>
        <w:t xml:space="preserve"> (C.A.), Garson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always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(2007), 64 B.C.L.R. (4th) 152</w:t>
        </w:r>
      </w:hyperlink>
      <w:r>
        <w:rPr>
          <w:rFonts w:ascii="arial" w:eastAsia="arial" w:hAnsi="arial" w:cs="arial"/>
          <w:color w:val="000000"/>
          <w:sz w:val="20"/>
          <w:lang w:val="en-US" w:eastAsia="en-US" w:bidi="ar-SA"/>
        </w:rPr>
        <w:t xml:space="preserve"> (C.A.)]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Romanchych v. Vallinatos</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It is only after the plaintiff discharges that burden of proof that the court may seek to measure the pecuniary loss, using either of two approaches historically applied to quantify future losses. In this regard, Garson J.A. stated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wav: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wav.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summary of the principles involved in an award for a loss of capital asset is set out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and was summarized by Savage J.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as follows: (a) a plaintiff must first prove there is a real and substantial possibility of a future event leading to an income loss before the Court will embark on an assessment of the loss; (b) a future or hypothetical possibility will be taken into consideration as long as it is a real and substantial possibility and not mere speculation; (c) a plaintiff may be able to prove that there is a substantial possibility of a future income loss despite having returned to his or her employment; (d) an inability to perform an occupation that is not a realistic alternative occupation is not proof of a future loss; and (e) it is not the loss of earnings but rather the loss of earning capacity for which compensation must be made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there is a real and substantial possibility that the injuries of Mr. Amini from the accident have caused a loss and diminishment of his income earning capacity and will continue to do so in the future. Given the limited English skills and work experience in Canada in conjunction with the medical evidence, there is little doubt that Mr. Amini has been rendered less capable overall from earning income from all types of employment for which he is suited; being manual work. Mr. Amini is less marketable or attractive to potential employers due to his limitations in the type of physical work he can do. He has already lost the ability to take advantage of all landscaping job opportunities which might otherwise have been open to him. Mr. Amini is less valuable to himself as a person capable of earning income in a competitive labour market. I find that the burden of proof has been discharged. There must then be a quantification of the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as a result of the accident, Mr. Amini was only been able to return to his work in landscaping and newspaper delivery job in a reduced capacity, he has already suffered a loss of income as a result of his injuries, and he is only able to do certain light landscaping duties such as mowing of lawns, some weeding, and handyman work such as fence repair, along with some other light duty tasks. He can no longer do such tasks as large fence building, tree trimming, among other tasks. He is continuing to lose opportunities to earn income because of his symptoms from the accident. Further, I find that Mr. Amini has had to turn down work due to his limitations and many customers now no longer contact him after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Amini's loss is not easily measurable as his landscaping business was a cash business and as pointed out by counsel for the Defendants, his income tax records do not accurately reflect his income. The Defendants submit the evidence in the case at bar does not support an award for future income loss or diminished capacity. The Defendants submit that the fractured heel bone of Mr. Amini is more disabling than his injuries from the accident because he is not able to do tasks he could do before (like walking-based tasks, crouching tasks and paving) and because he is not able to work as often (reducing his landscaping work by 50% and his newspaper delivery by 100%). The Defendants also submit that Mr. Amini did not lead clear evidence on the ways that his alleged accident injuries disable him beyond his calcaneus disabilities and the Defendants say that they do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Amini was 56 years old at the time of the accident and is now 61. Given his good health and being the breadwinner of a young family, I find that it is likely that Mr. Amini would not have been in a position to retire at age 65 and would have continued to work to age 70 and beyond. This is consistent with his evidence at Trial. Dr. Beheshti's opinion is that Mr. Amini is severely disabled. Dr. Fuller's opinion is that it is probable Mr. Amini will not be able to continue working to age 65, it is likely he will have to stop working much sooner than his previously had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Considering Mr. Amini was highly functional prior to the accident doing strenuous work with no difficulty, he submits he would have continued to work in the same or similar capacity going forward. Mr. Amini claims a loss of $14,300 to age 70 (for 10 years). The discount rate for future income loss is 1.5% as set out by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R.S.B.C. 1996, c. 253, s. 56</w:t>
        </w:r>
      </w:hyperlink>
      <w:r>
        <w:rPr>
          <w:rFonts w:ascii="arial" w:eastAsia="arial" w:hAnsi="arial" w:cs="arial"/>
          <w:color w:val="000000"/>
          <w:sz w:val="20"/>
          <w:lang w:val="en-US" w:eastAsia="en-US" w:bidi="ar-SA"/>
        </w:rPr>
        <w:t xml:space="preserve"> and pursuant to B.C. Regulation 74/2014.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Given that loss of earning capacity is meant to be an assessment rather than a calculation and taking into account both positive and negative contingencies such as his age, his limited English, and the likelihood that he would have worked to age 70, I assess his loss of earning capacity at $80,000. While Mr. Amini returned to delivering some newspapers after the problems associated with his fractured heel bone had resolved, it is clear that, even if he was able to return to the type of income that he was earning in 2011 and 2012, the lost income would approach $10,000 a year, and that this loss would approach $90,000 over the next nine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Huddart J.A.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(2012), 28 B.C.L.R. (5th) 73</w:t>
        </w:r>
      </w:hyperlink>
      <w:r>
        <w:rPr>
          <w:rFonts w:ascii="arial" w:eastAsia="arial" w:hAnsi="arial" w:cs="arial"/>
          <w:color w:val="000000"/>
          <w:sz w:val="20"/>
          <w:lang w:val="en-US" w:eastAsia="en-US" w:bidi="ar-SA"/>
        </w:rPr>
        <w:t xml:space="preserve"> (C.A.), Kirkpatrick J.A. made this statement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understand the principle, it is the loss of a capacity - an asset - that is compensated. Accordingly, because the award reflects the loss of a personal capacity, it is not dependent upon whether replacement housekeeping costs are actually incurred.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at Trial from Mr. Amini, his wife and his daughter is that he was very involved in undertaking housekeeping tasks. This was necessary due to the numerous tasks that were required to be done with their young family. The evidence at Trial was that Mr. Amini did one to one and a half hours of housekeeping duties per day, including vacuuming and dusting. Mr. Amini was also responsible for the heavier duties. These would involve washing and scrubbing the bathroom and especially the bathtub and tiles. Mr. Amini was also responsible for mopping, cleaning windows and the fridge, taking out the heavier garbage and taking things to the dump. He would also carry heavy laundry outside into another building as their laundry machine did not work properly. He would also assist with the grocery shopping by carrying the heavy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a result of the accident Mr. Amini did not do any housekeeping duties for 3-4 months. When he returned, he was significantly limited. The amount of work he did in the home was reduced to 3-4 days a week and 30-45 minutes each time. This equals 1.5 to 3 hours per week. Mr. Amini did not do any housekeeping duties from December 1, 2012 until November 1, 2013. No claim is being advanced for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Amini submits that his loss of past housekeeping capacity should be assessed at $16,638.75, as follows: (a) for the three months post-accident, between 84-126 hours at $15 per hour, or $1,575 on average; (b) from January 2010 until December 1, 2012, a reduction of between 202 and 405 hours at $15 per hour, for an average loss of $13,162.50; and (c) from November 1, 2013 to the present, reflecting a loss of between 136 and 204 hours at $15 per hour, for an average loss of $1,901.25. Factoring in the positive contingency such as having more work to do in the home because of the birth of his grandson, Mr. Amini' submits that a loss of $5,000 per year in housekeeping capacity for 10 years is appropriate in the circumstances: $5,000 x 8.7521 = $43,760.50. Factoring in the negative contingencies and the fact that his grandson and other children will grow and the home will require less care, Mr. Amini seeks an award for future loss of housekeeping capacity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Regarding the $15 figure used, Mr. Amini points to the fact that the Court found that $15 per hour represented a reasonable market value for housekeeping services in </w:t>
      </w:r>
      <w:r>
        <w:rPr>
          <w:rFonts w:ascii="arial" w:eastAsia="arial" w:hAnsi="arial" w:cs="arial"/>
          <w:i/>
          <w:color w:val="000000"/>
          <w:sz w:val="20"/>
          <w:lang w:val="en-US" w:eastAsia="en-US" w:bidi="ar-SA"/>
        </w:rPr>
        <w:t>Deo v. Deo</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2005 BCSC 1788</w:t>
        </w:r>
      </w:hyperlink>
      <w:r>
        <w:rPr>
          <w:rFonts w:ascii="arial" w:eastAsia="arial" w:hAnsi="arial" w:cs="arial"/>
          <w:color w:val="000000"/>
          <w:sz w:val="20"/>
          <w:lang w:val="en-US" w:eastAsia="en-US" w:bidi="ar-SA"/>
        </w:rPr>
        <w:t xml:space="preserve"> at para. 15, and in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where Crawford J. stated: "I agree that $15 per hour is a reasonable sum to be paid for household assistance." (at para. 127). Relying on the decisions in </w:t>
      </w:r>
      <w:r>
        <w:rPr>
          <w:rFonts w:ascii="arial" w:eastAsia="arial" w:hAnsi="arial" w:cs="arial"/>
          <w:i/>
          <w:color w:val="000000"/>
          <w:sz w:val="20"/>
          <w:lang w:val="en-US" w:eastAsia="en-US" w:bidi="ar-SA"/>
        </w:rPr>
        <w:t>Deo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Mr. Amini submits that the Court should assume that $15 represents a reasonable cost for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was no evidence led on behalf of Mr. Amini in that regard. I cannot be satisfied that it is appropriate to make a finding that $15 is a reasonable cost for housekeeping services when no evidence was presented and where the only reference to $15 is to decisions reached in other litigation where there was evidence before the Court as to what was a reasonable sum to be paid for household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Musgrove v. Elliot</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2013 BCSC 1707</w:t>
        </w:r>
      </w:hyperlink>
      <w:r>
        <w:rPr>
          <w:rFonts w:ascii="arial" w:eastAsia="arial" w:hAnsi="arial" w:cs="arial"/>
          <w:color w:val="000000"/>
          <w:sz w:val="20"/>
          <w:lang w:val="en-US" w:eastAsia="en-US" w:bidi="ar-SA"/>
        </w:rPr>
        <w:t>, the court recognized the importance of leading sufficient evidence on the cost of housekeeping services. The plaintiff suffered injuries that prevented him from doing laundry since the accident and cooking and doing dishes for a time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Measuring this loss presents a different problem in this case. There was no evidence as to the value of any of these services, whether cooking, laundry or otherwise, and so no basis on which to evaluate either the replacement cost or opportunity cost. I note that the court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expressed a preference for the replacement cost approach over opportunity cost, at paras. 48-49.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nothing has been paid out to replace Mr. Musgrove's contributions to household tasks, so that measure is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not prepared to pick a figure out of the air, for either an hourly rate, or for length of time for which replacement services might be reasonable. In </w:t>
      </w:r>
      <w:r>
        <w:rPr>
          <w:rFonts w:ascii="arial" w:eastAsia="arial" w:hAnsi="arial" w:cs="arial"/>
          <w:i/>
          <w:color w:val="000000"/>
          <w:sz w:val="20"/>
          <w:lang w:val="en-US" w:eastAsia="en-US" w:bidi="ar-SA"/>
        </w:rPr>
        <w:t>Rezaei v. Piedade</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2012 BCSC 1782</w:t>
        </w:r>
      </w:hyperlink>
      <w:r>
        <w:rPr>
          <w:rFonts w:ascii="arial" w:eastAsia="arial" w:hAnsi="arial" w:cs="arial"/>
          <w:color w:val="000000"/>
          <w:sz w:val="20"/>
          <w:lang w:val="en-US" w:eastAsia="en-US" w:bidi="ar-SA"/>
        </w:rPr>
        <w:t xml:space="preserve"> (CanLII), </w:t>
      </w:r>
      <w:hyperlink r:id="rId984" w:history="1">
        <w:r>
          <w:rPr>
            <w:rFonts w:ascii="arial" w:eastAsia="arial" w:hAnsi="arial" w:cs="arial"/>
            <w:i/>
            <w:color w:val="0077CC"/>
            <w:sz w:val="20"/>
            <w:u w:val="single"/>
            <w:shd w:val="clear" w:color="auto" w:fill="FFFFFF"/>
            <w:lang w:val="en-US" w:eastAsia="en-US" w:bidi="ar-SA"/>
          </w:rPr>
          <w:t>2012 BCSC 1782</w:t>
        </w:r>
      </w:hyperlink>
      <w:r>
        <w:rPr>
          <w:rFonts w:ascii="arial" w:eastAsia="arial" w:hAnsi="arial" w:cs="arial"/>
          <w:color w:val="000000"/>
          <w:sz w:val="20"/>
          <w:lang w:val="en-US" w:eastAsia="en-US" w:bidi="ar-SA"/>
        </w:rPr>
        <w:t xml:space="preserve">, the court accepted $15 per hour, partly because it had been used as a measure in earlier decisions, but also because it accorded with evidence in that case of what a witness paid for similar services. In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xml:space="preserve"> (CanLII), </w:t>
      </w:r>
      <w:hyperlink r:id="rId985"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the court had some evidence based on the plaintiffs previous work as a housekeeper on which to value housekeeping or cleaning services. I do not have such evidence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read either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as preventing me from assessing damages for this aspect of Mr. Musgrove's loss as though it were the loss of amenity. If that method of measuring the loss short changes Mr. Musgrove, it is because of his failure to provide more satisfactory evidence by which to quantify his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that, I award $5,000 for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92-96)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adopt the reasoning set out in </w:t>
      </w:r>
      <w:r>
        <w:rPr>
          <w:rFonts w:ascii="arial" w:eastAsia="arial" w:hAnsi="arial" w:cs="arial"/>
          <w:i/>
          <w:color w:val="000000"/>
          <w:sz w:val="20"/>
          <w:lang w:val="en-US" w:eastAsia="en-US" w:bidi="ar-SA"/>
        </w:rPr>
        <w:t>Musgrove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satisfied that I should make some assessment with respect to loss of past and future housekeeping capacity. In the circumstances, I award $10,000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Amini bears the burden to prove future care costs on the basis of real and substantial possibilities and on the basis that there must be a medical justification so that the cost of future care must relate to medical needs and not simply to improve the enjoyment of life.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98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money can be used to sustain or improve the mental or physical health of the plaintiff, it should be awarded under the head of cost of future care. But in so far as it serves only as solace by providing substitute pleasures, it falls under the head of non-pecuniary loss, not cost of future care, the defendants submit.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Verhoeven J.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award for costs of future care is to restore, as best as possible with a monetary award, the injured person to the position he or she would have been in had the accident not occurred.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citing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Amini continues to take prescription medication for his pain and sleep difficulties. His evidence is that approximately every three months he buys a large package of Tylenol which costs between $15 and $20. In her report, Dr. Beheshti recommended that Mr. Amini resume physiotherapy. Mr. Amini has also stated that the physiotherapy he received provided him with some relief, albeit temporary. I am satisfied that funds should be available for Mr. Amini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Given Mr. Amini's ongoing symptoms and poor prognosis for his symptoms to resolve, I find that Mr. Amini should be awarded costs for future care for items such as prescription and non-prescription medication and also physiotherapy on an as needed basis. Keeping in mind determining costs of future care is an assessment and not a calculation, I assess $5,000 for costs of future care as being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accept that the Plaintiff incurred special damages of $2,174.96, whereas the claim of Mr. Amini is for $2,284.96. The $110 difference relates to two physiotherapy sessions, November 14, 2011 and November 18, 2011. I am satisfied that these expenditures were a reasonable expense incurred as a result of the accident. The total amount awarded for special damages is $2,284.96.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is awarded $192,230.49, made up of:</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$70,000;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of $24,945.53;</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Earning Capacity of $80,000;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of $10,000;</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of $5,000;</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$2,284.96;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parties are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48"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Perrick v. RJS Electrical Contracting Ltd., [2020] B.C.J. No. 244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 v. Samji, [2013] B.C.J. No. 2733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Pickton v. British Columbia (Minister of Public Safety and Solicitor General), [2011] B.C.J. No. 422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Beatty, [2005] B.C.J. No. 3071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Shiokawa v. Tohyama, [2004] B.C.J. No. 230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Wu, [2015] B.C.J. No. 653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British Columbia, [2011] B.C.J. No. 425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Stein v. Allan, [2019] B.C.J. No. 1911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Thompson v. Saanich (District) Police Department, [2009] B.C.J. No. 2800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Wotherspoon v. Hameluck, [2014] B.C.J. No. 2823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Albion Securities Co. v. Milne, [2000] B.C.J. No. 1210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 v. Manufacturers Life Insurance Co. (c.o.b. Manulife Financial), [2004] B.C.J. No. 3003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Amador v. Mo, [2005] B.C.J. No. 1068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Andersen v. Porter, [2000] B.C.J. No. 1362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(Director of Civil Forfeiture) v. PacNet Services Ltd., [2018] B.C.J. No. 3720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Chances Housing Cooperative v. Progressive Homes Ltd., [2000] B.C.J. No. 722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Cheng v. Nguyen, [2013] B.C.J. No. 3043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Dawydiuk v. Insurance Corp. of British Columbia, [2009] B.C.J. No. 761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Deiana v. Fairfield Minerals Ltd., [2000] B.C.J. No. 1449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Derosa v. Horning, [2001] B.C.J. No. 2614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Dick v. Vancouver City Savings Credit Union, [2006] B.C.J. No. 1215</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Dimaulo v. Sun Peaks Resort Corp., [2000] B.C.J. No. 481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Donetti v. Veillette Estate, [2000] B.C.J. No. 1237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Dykeman v. Porohowski, [2008] B.C.J. No. 416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v. Bell, [2004] B.C.J. No. 891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Evans v. Jim Pattison Industries Ltd. (c.o.b. Save-On-Foods and Drugs), [2000] B.C.J. No. 1171</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Hughes v. Dumaresq, [2005] B.C.J. No. 577</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Isaac v. Guardian Capital Group Ltd., [2004] B.C.J. No. 360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JCB Contracting Ltd. v. New West Management Inc., [2008] B.C.J. No. 2604</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Jiwan v. Jiwan, [2001] B.C.J. No. 284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JTI-Macdonald Corp. v. British Columbia (Attorney General), [2000] B.C.J. No. 349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Kang v. Kang, [2002] B.C.J. No. 1769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K.S. v. J.P.H., [2004] B.C.J. No. 1414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LLS America, LLC (Trustee of) v. Bjarnason, [2016] B.C.J. No. 1036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Mullins v. Levy, [2010] B.C.J. No. 1977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 Pacific Auto &amp; Diesel Services Ltd. v. Khalsa Credit Union, [2007] B.C.J. No. 1459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Pogorzelec v. Wincor Properties Ltd., [2000] B.C.J. No. 854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Reddemann v. McEachnie, [2006] B.C.J. No. 454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Samos Investments Inc. v. Pattison, [2004] B.C.J. No. 705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Searchlight Systems Ltd. v. Liu, [2006] B.C.J. No. 467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Sebastian v. Golden Capital Securities Ltd., [2006] B.C.J. No. 506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Speckling v. Communications, Energy and Paperworkers' Union of Canada, [2005] B.C.J. No. 515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1212 v. Coquitlam (City), [2004] B.C.J. No. 1307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[2005] B.C.J. No. 2381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Surespan Structures Ltd. v. Lloyds Underwriters, [2020] B.C.J. No. 33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 Dominion Bank v. Pan Pacific Auto and Diesel Services Ltd., [2001] B.C.J. No. 2911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Uppal v. Rawlins, [2009] B.C.J. No. 187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Walsh v. 422164 B.C. Ltd., [2006] B.C.J. No. 2717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Yablonski v. Cranbrook (City), [2002] B.C.J. No. 1084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Amini v. Khania, [2014] B.C.J. No. 2254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21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9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9"/>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3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F2508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31B2AA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32EE65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876758B"/>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9E82CB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BB5E4A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C1B87D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E16AC05"/>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104A0B5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27CEB49"/>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2DEE2B7"/>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38A72E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51FEB74"/>
    <w:multiLevelType w:val="multilevel"/>
    <w:tmpl w:val="00000001"/>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532100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18CCC72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1B22C271"/>
    <w:multiLevelType w:val="multilevel"/>
    <w:tmpl w:val="00000001"/>
    <w:lvl w:ilvl="0">
      <w:start w:val="1"/>
      <w:numFmt w:val="decimal"/>
      <w:lvlText w:val="19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2177451B"/>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237AE03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23CE374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24E391BC"/>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27114E0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2A13C51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D1DC137"/>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2DB161B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128E375"/>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AD504C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F247777"/>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44785E7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478E10A0"/>
    <w:multiLevelType w:val="multilevel"/>
    <w:tmpl w:val="00000001"/>
    <w:lvl w:ilvl="0">
      <w:start w:val="1"/>
      <w:numFmt w:val="decimal"/>
      <w:lvlText w:val="&quot;a)"/>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4A04AE4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539FDEA0"/>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59A5394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5A33DC6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5ECC5ED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6937466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6BD7E78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6EE95C1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4FB29C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765C2C6"/>
    <w:multiLevelType w:val="multilevel"/>
    <w:tmpl w:val="00000001"/>
    <w:lvl w:ilvl="0">
      <w:start w:val="9"/>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7FD46D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A3CA89F"/>
    <w:multiLevelType w:val="multilevel"/>
    <w:tmpl w:val="00000001"/>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E278AE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110"/>
  </w:num>
  <w:num w:numId="28">
    <w:abstractNumId w:val="115"/>
  </w:num>
  <w:num w:numId="29">
    <w:abstractNumId w:val="147"/>
  </w:num>
  <w:num w:numId="30">
    <w:abstractNumId w:val="138"/>
  </w:num>
  <w:num w:numId="31">
    <w:abstractNumId w:val="112"/>
  </w:num>
  <w:num w:numId="32">
    <w:abstractNumId w:val="123"/>
  </w:num>
  <w:num w:numId="33">
    <w:abstractNumId w:val="26"/>
  </w:num>
  <w:num w:numId="34">
    <w:abstractNumId w:val="27"/>
  </w:num>
  <w:num w:numId="35">
    <w:abstractNumId w:val="28"/>
  </w:num>
  <w:num w:numId="36">
    <w:abstractNumId w:val="29"/>
  </w:num>
  <w:num w:numId="37">
    <w:abstractNumId w:val="30"/>
  </w:num>
  <w:num w:numId="38">
    <w:abstractNumId w:val="31"/>
  </w:num>
  <w:num w:numId="39">
    <w:abstractNumId w:val="32"/>
  </w:num>
  <w:num w:numId="40">
    <w:abstractNumId w:val="33"/>
  </w:num>
  <w:num w:numId="41">
    <w:abstractNumId w:val="34"/>
  </w:num>
  <w:num w:numId="42">
    <w:abstractNumId w:val="35"/>
  </w:num>
  <w:num w:numId="43">
    <w:abstractNumId w:val="36"/>
  </w:num>
  <w:num w:numId="44">
    <w:abstractNumId w:val="37"/>
  </w:num>
  <w:num w:numId="45">
    <w:abstractNumId w:val="38"/>
  </w:num>
  <w:num w:numId="46">
    <w:abstractNumId w:val="39"/>
  </w:num>
  <w:num w:numId="47">
    <w:abstractNumId w:val="40"/>
  </w:num>
  <w:num w:numId="48">
    <w:abstractNumId w:val="41"/>
  </w:num>
  <w:num w:numId="49">
    <w:abstractNumId w:val="42"/>
  </w:num>
  <w:num w:numId="50">
    <w:abstractNumId w:val="43"/>
  </w:num>
  <w:num w:numId="51">
    <w:abstractNumId w:val="44"/>
  </w:num>
  <w:num w:numId="52">
    <w:abstractNumId w:val="45"/>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6"/>
  </w:num>
  <w:num w:numId="64">
    <w:abstractNumId w:val="57"/>
  </w:num>
  <w:num w:numId="65">
    <w:abstractNumId w:val="58"/>
  </w:num>
  <w:num w:numId="66">
    <w:abstractNumId w:val="59"/>
  </w:num>
  <w:num w:numId="67">
    <w:abstractNumId w:val="60"/>
  </w:num>
  <w:num w:numId="68">
    <w:abstractNumId w:val="61"/>
  </w:num>
  <w:num w:numId="69">
    <w:abstractNumId w:val="62"/>
  </w:num>
  <w:num w:numId="70">
    <w:abstractNumId w:val="63"/>
  </w:num>
  <w:num w:numId="71">
    <w:abstractNumId w:val="64"/>
  </w:num>
  <w:num w:numId="72">
    <w:abstractNumId w:val="65"/>
  </w:num>
  <w:num w:numId="73">
    <w:abstractNumId w:val="66"/>
  </w:num>
  <w:num w:numId="74">
    <w:abstractNumId w:val="67"/>
  </w:num>
  <w:num w:numId="75">
    <w:abstractNumId w:val="68"/>
  </w:num>
  <w:num w:numId="76">
    <w:abstractNumId w:val="69"/>
  </w:num>
  <w:num w:numId="77">
    <w:abstractNumId w:val="70"/>
  </w:num>
  <w:num w:numId="78">
    <w:abstractNumId w:val="136"/>
  </w:num>
  <w:num w:numId="79">
    <w:abstractNumId w:val="71"/>
  </w:num>
  <w:num w:numId="80">
    <w:abstractNumId w:val="72"/>
  </w:num>
  <w:num w:numId="81">
    <w:abstractNumId w:val="73"/>
  </w:num>
  <w:num w:numId="82">
    <w:abstractNumId w:val="74"/>
  </w:num>
  <w:num w:numId="83">
    <w:abstractNumId w:val="75"/>
  </w:num>
  <w:num w:numId="84">
    <w:abstractNumId w:val="76"/>
  </w:num>
  <w:num w:numId="85">
    <w:abstractNumId w:val="77"/>
  </w:num>
  <w:num w:numId="86">
    <w:abstractNumId w:val="78"/>
  </w:num>
  <w:num w:numId="87">
    <w:abstractNumId w:val="79"/>
  </w:num>
  <w:num w:numId="88">
    <w:abstractNumId w:val="80"/>
  </w:num>
  <w:num w:numId="89">
    <w:abstractNumId w:val="81"/>
  </w:num>
  <w:num w:numId="90">
    <w:abstractNumId w:val="82"/>
  </w:num>
  <w:num w:numId="91">
    <w:abstractNumId w:val="83"/>
  </w:num>
  <w:num w:numId="92">
    <w:abstractNumId w:val="84"/>
  </w:num>
  <w:num w:numId="93">
    <w:abstractNumId w:val="85"/>
  </w:num>
  <w:num w:numId="94">
    <w:abstractNumId w:val="86"/>
  </w:num>
  <w:num w:numId="95">
    <w:abstractNumId w:val="87"/>
  </w:num>
  <w:num w:numId="96">
    <w:abstractNumId w:val="88"/>
  </w:num>
  <w:num w:numId="97">
    <w:abstractNumId w:val="89"/>
  </w:num>
  <w:num w:numId="98">
    <w:abstractNumId w:val="90"/>
  </w:num>
  <w:num w:numId="99">
    <w:abstractNumId w:val="91"/>
  </w:num>
  <w:num w:numId="100">
    <w:abstractNumId w:val="92"/>
  </w:num>
  <w:num w:numId="101">
    <w:abstractNumId w:val="93"/>
  </w:num>
  <w:num w:numId="102">
    <w:abstractNumId w:val="94"/>
  </w:num>
  <w:num w:numId="103">
    <w:abstractNumId w:val="95"/>
  </w:num>
  <w:num w:numId="104">
    <w:abstractNumId w:val="96"/>
  </w:num>
  <w:num w:numId="105">
    <w:abstractNumId w:val="97"/>
  </w:num>
  <w:num w:numId="106">
    <w:abstractNumId w:val="98"/>
  </w:num>
  <w:num w:numId="107">
    <w:abstractNumId w:val="99"/>
  </w:num>
  <w:num w:numId="108">
    <w:abstractNumId w:val="100"/>
  </w:num>
  <w:num w:numId="109">
    <w:abstractNumId w:val="118"/>
  </w:num>
  <w:num w:numId="110">
    <w:abstractNumId w:val="137"/>
  </w:num>
  <w:num w:numId="111">
    <w:abstractNumId w:val="129"/>
  </w:num>
  <w:num w:numId="112">
    <w:abstractNumId w:val="140"/>
  </w:num>
  <w:num w:numId="113">
    <w:abstractNumId w:val="120"/>
  </w:num>
  <w:num w:numId="114">
    <w:abstractNumId w:val="145"/>
  </w:num>
  <w:num w:numId="115">
    <w:abstractNumId w:val="131"/>
  </w:num>
  <w:num w:numId="116">
    <w:abstractNumId w:val="142"/>
  </w:num>
  <w:num w:numId="117">
    <w:abstractNumId w:val="134"/>
  </w:num>
  <w:num w:numId="118">
    <w:abstractNumId w:val="111"/>
  </w:num>
  <w:num w:numId="119">
    <w:abstractNumId w:val="121"/>
  </w:num>
  <w:num w:numId="120">
    <w:abstractNumId w:val="139"/>
  </w:num>
  <w:num w:numId="121">
    <w:abstractNumId w:val="128"/>
  </w:num>
  <w:num w:numId="122">
    <w:abstractNumId w:val="141"/>
  </w:num>
  <w:num w:numId="123">
    <w:abstractNumId w:val="116"/>
  </w:num>
  <w:num w:numId="124">
    <w:abstractNumId w:val="122"/>
  </w:num>
  <w:num w:numId="125">
    <w:abstractNumId w:val="114"/>
  </w:num>
  <w:num w:numId="126">
    <w:abstractNumId w:val="125"/>
  </w:num>
  <w:num w:numId="127">
    <w:abstractNumId w:val="127"/>
  </w:num>
  <w:num w:numId="128">
    <w:abstractNumId w:val="143"/>
  </w:num>
  <w:num w:numId="129">
    <w:abstractNumId w:val="144"/>
  </w:num>
  <w:num w:numId="130">
    <w:abstractNumId w:val="109"/>
  </w:num>
  <w:num w:numId="131">
    <w:abstractNumId w:val="101"/>
  </w:num>
  <w:num w:numId="132">
    <w:abstractNumId w:val="102"/>
  </w:num>
  <w:num w:numId="133">
    <w:abstractNumId w:val="103"/>
  </w:num>
  <w:num w:numId="134">
    <w:abstractNumId w:val="104"/>
  </w:num>
  <w:num w:numId="135">
    <w:abstractNumId w:val="105"/>
  </w:num>
  <w:num w:numId="136">
    <w:abstractNumId w:val="117"/>
  </w:num>
  <w:num w:numId="137">
    <w:abstractNumId w:val="130"/>
  </w:num>
  <w:num w:numId="138">
    <w:abstractNumId w:val="146"/>
  </w:num>
  <w:num w:numId="139">
    <w:abstractNumId w:val="135"/>
  </w:num>
  <w:num w:numId="140">
    <w:abstractNumId w:val="108"/>
  </w:num>
  <w:num w:numId="141">
    <w:abstractNumId w:val="132"/>
  </w:num>
  <w:num w:numId="142">
    <w:abstractNumId w:val="126"/>
  </w:num>
  <w:num w:numId="143">
    <w:abstractNumId w:val="106"/>
  </w:num>
  <w:num w:numId="144">
    <w:abstractNumId w:val="119"/>
  </w:num>
  <w:num w:numId="145">
    <w:abstractNumId w:val="124"/>
  </w:num>
  <w:num w:numId="146">
    <w:abstractNumId w:val="133"/>
  </w:num>
  <w:num w:numId="147">
    <w:abstractNumId w:val="113"/>
  </w:num>
  <w:num w:numId="148">
    <w:abstractNumId w:val="10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Y93-9961-JX3N-B31R-00000-00&amp;context=" TargetMode="External" /><Relationship Id="rId100" Type="http://schemas.openxmlformats.org/officeDocument/2006/relationships/hyperlink" Target="https://advance.lexis.com/api/document?collection=cases-ca&amp;id=urn:contentItem:5F7T-S7M1-JNCK-22RP-00000-00&amp;context=" TargetMode="External" /><Relationship Id="rId101" Type="http://schemas.openxmlformats.org/officeDocument/2006/relationships/hyperlink" Target="https://advance.lexis.com/api/document?collection=cases-ca&amp;id=urn:contentItem:5F7T-S7P1-JP4G-61S5-00000-00&amp;context=" TargetMode="External" /><Relationship Id="rId102" Type="http://schemas.openxmlformats.org/officeDocument/2006/relationships/hyperlink" Target="https://advance.lexis.com/api/document?collection=cases-ca&amp;id=urn:contentItem:5F8T-N3V1-JTGH-B18F-00000-00&amp;context=" TargetMode="External" /><Relationship Id="rId103" Type="http://schemas.openxmlformats.org/officeDocument/2006/relationships/hyperlink" Target="https://advance.lexis.com/api/document?collection=cases-ca&amp;id=urn:contentItem:5F8T-N3V1-FH4C-X20M-00000-00&amp;context=" TargetMode="External" /><Relationship Id="rId104" Type="http://schemas.openxmlformats.org/officeDocument/2006/relationships/hyperlink" Target="https://advance.lexis.com/api/document?collection=cases-ca&amp;id=urn:contentItem:5F8T-N3V1-JTGH-B153-00000-00&amp;context=" TargetMode="External" /><Relationship Id="rId105" Type="http://schemas.openxmlformats.org/officeDocument/2006/relationships/hyperlink" Target="https://advance.lexis.com/api/document?collection=cases-ca&amp;id=urn:contentItem:5F7T-S7K1-F1H1-22C1-00000-00&amp;context=" TargetMode="External" /><Relationship Id="rId106" Type="http://schemas.openxmlformats.org/officeDocument/2006/relationships/hyperlink" Target="https://advance.lexis.com/api/document?collection=cases-ca&amp;id=urn:contentItem:5F7T-S7D1-FBFS-S1M7-00000-00&amp;context=" TargetMode="External" /><Relationship Id="rId107" Type="http://schemas.openxmlformats.org/officeDocument/2006/relationships/hyperlink" Target="https://advance.lexis.com/api/document?collection=cases-ca&amp;id=urn:contentItem:5F7T-S7C1-F7VM-S3T7-00000-00&amp;context=" TargetMode="External" /><Relationship Id="rId108" Type="http://schemas.openxmlformats.org/officeDocument/2006/relationships/hyperlink" Target="https://advance.lexis.com/api/document?collection=cases-ca&amp;id=urn:contentItem:5F7T-S7D1-JN6B-S131-00000-00&amp;context=" TargetMode="External" /><Relationship Id="rId109" Type="http://schemas.openxmlformats.org/officeDocument/2006/relationships/hyperlink" Target="https://advance.lexis.com/api/document?collection=cases-ca&amp;id=urn:contentItem:5F7T-S7D1-JN6B-S13K-00000-00&amp;context=" TargetMode="External" /><Relationship Id="rId11" Type="http://schemas.openxmlformats.org/officeDocument/2006/relationships/hyperlink" Target="https://advance.lexis.com/api/document?collection=legislation-ca&amp;id=urn:contentItem:5W2C-X5K1-JT99-208N-00000-00&amp;context=" TargetMode="External" /><Relationship Id="rId110" Type="http://schemas.openxmlformats.org/officeDocument/2006/relationships/hyperlink" Target="https://advance.lexis.com/api/document?collection=cases-ca&amp;id=urn:contentItem:5F7T-S6V1-JFKM-6133-00000-00&amp;context=" TargetMode="External" /><Relationship Id="rId111" Type="http://schemas.openxmlformats.org/officeDocument/2006/relationships/hyperlink" Target="https://advance.lexis.com/api/document?collection=cases-ca&amp;id=urn:contentItem:5F7T-S6T1-FJTD-G1NJ-00000-00&amp;context=" TargetMode="External" /><Relationship Id="rId112" Type="http://schemas.openxmlformats.org/officeDocument/2006/relationships/hyperlink" Target="https://advance.lexis.com/api/document?collection=cases-ca&amp;id=urn:contentItem:5F7T-S781-F900-G16P-00000-00&amp;context=" TargetMode="External" /><Relationship Id="rId113" Type="http://schemas.openxmlformats.org/officeDocument/2006/relationships/hyperlink" Target="https://advance.lexis.com/api/document?collection=cases-ca&amp;id=urn:contentItem:5F7T-S7G1-JPP5-222B-00000-00&amp;context=" TargetMode="External" /><Relationship Id="rId114" Type="http://schemas.openxmlformats.org/officeDocument/2006/relationships/hyperlink" Target="https://advance.lexis.com/api/document?collection=cases-ca&amp;id=urn:contentItem:5F7T-S7N1-JJ1H-X30K-00000-00&amp;context=" TargetMode="External" /><Relationship Id="rId115" Type="http://schemas.openxmlformats.org/officeDocument/2006/relationships/hyperlink" Target="https://advance.lexis.com/api/document?collection=cases-ca&amp;id=urn:contentItem:5F7T-S7N1-JW09-M0X9-00000-00&amp;context=" TargetMode="External" /><Relationship Id="rId116" Type="http://schemas.openxmlformats.org/officeDocument/2006/relationships/hyperlink" Target="https://advance.lexis.com/api/document?collection=cases-ca&amp;id=urn:contentItem:5F7T-S7K1-JNY7-X4N5-00000-00&amp;context=" TargetMode="External" /><Relationship Id="rId117" Type="http://schemas.openxmlformats.org/officeDocument/2006/relationships/hyperlink" Target="https://advance.lexis.com/api/document?collection=cases-ca&amp;id=urn:contentItem:5F7T-S7M1-JFSV-G3FG-00000-00&amp;context=" TargetMode="External" /><Relationship Id="rId118" Type="http://schemas.openxmlformats.org/officeDocument/2006/relationships/hyperlink" Target="https://advance.lexis.com/api/document?collection=cases-ca&amp;id=urn:contentItem:5F7T-S7K1-DY33-B1KS-00000-00&amp;context=" TargetMode="External" /><Relationship Id="rId119" Type="http://schemas.openxmlformats.org/officeDocument/2006/relationships/hyperlink" Target="https://advance.lexis.com/api/document?collection=cases-ca&amp;id=urn:contentItem:5F7T-S7K1-JWXF-211G-00000-00&amp;context=" TargetMode="External" /><Relationship Id="rId12" Type="http://schemas.openxmlformats.org/officeDocument/2006/relationships/hyperlink" Target="https://advance.lexis.com/api/document?collection=cases-ca&amp;id=urn:contentItem:5F7T-S6Y1-FJDY-X23K-00000-00&amp;context=" TargetMode="External" /><Relationship Id="rId120" Type="http://schemas.openxmlformats.org/officeDocument/2006/relationships/hyperlink" Target="https://advance.lexis.com/api/document?collection=cases-ca&amp;id=urn:contentItem:5F7T-S7D1-DY89-M463-00000-00&amp;context=" TargetMode="External" /><Relationship Id="rId121" Type="http://schemas.openxmlformats.org/officeDocument/2006/relationships/hyperlink" Target="https://advance.lexis.com/api/document?collection=cases-ca&amp;id=urn:contentItem:5F8T-N3V1-JTGH-B0YB-00000-00&amp;context=" TargetMode="External" /><Relationship Id="rId122" Type="http://schemas.openxmlformats.org/officeDocument/2006/relationships/hyperlink" Target="https://advance.lexis.com/api/document?collection=cases-ca&amp;id=urn:contentItem:5F7T-S7M1-JCRC-B1TW-00000-00&amp;context=" TargetMode="External" /><Relationship Id="rId123" Type="http://schemas.openxmlformats.org/officeDocument/2006/relationships/hyperlink" Target="https://advance.lexis.com/api/document?collection=cases-ca&amp;id=urn:contentItem:5F7T-S6W1-JYYX-61TX-00000-00&amp;context=" TargetMode="External" /><Relationship Id="rId124" Type="http://schemas.openxmlformats.org/officeDocument/2006/relationships/hyperlink" Target="https://advance.lexis.com/api/document?collection=cases-ca&amp;id=urn:contentItem:5F7T-S731-FFFC-B0K2-00000-00&amp;context=" TargetMode="External" /><Relationship Id="rId125" Type="http://schemas.openxmlformats.org/officeDocument/2006/relationships/hyperlink" Target="https://advance.lexis.com/api/document?collection=cases-ca&amp;id=urn:contentItem:5F7T-S7J1-JNS1-M2G2-00000-00&amp;context=" TargetMode="External" /><Relationship Id="rId126" Type="http://schemas.openxmlformats.org/officeDocument/2006/relationships/hyperlink" Target="https://advance.lexis.com/api/document?collection=cases-ca&amp;id=urn:contentItem:5F7T-S771-JN14-G2PR-00000-00&amp;context=" TargetMode="External" /><Relationship Id="rId127" Type="http://schemas.openxmlformats.org/officeDocument/2006/relationships/hyperlink" Target="https://advance.lexis.com/api/document?collection=cases-ca&amp;id=urn:contentItem:5F7T-S7B1-F7ND-G50F-00000-00&amp;context=" TargetMode="External" /><Relationship Id="rId128" Type="http://schemas.openxmlformats.org/officeDocument/2006/relationships/hyperlink" Target="https://advance.lexis.com/api/document?collection=cases-ca&amp;id=urn:contentItem:5F7T-S701-JF75-M4N2-00000-00&amp;context=" TargetMode="External" /><Relationship Id="rId129" Type="http://schemas.openxmlformats.org/officeDocument/2006/relationships/hyperlink" Target="https://advance.lexis.com/api/document?collection=cases-ca&amp;id=urn:contentItem:5F7T-S6W1-JB7K-21F4-00000-00&amp;context=" TargetMode="External" /><Relationship Id="rId13" Type="http://schemas.openxmlformats.org/officeDocument/2006/relationships/hyperlink" Target="https://advance.lexis.com/api/document?collection=cases-ca&amp;id=urn:contentItem:5M37-6RB1-FJDY-X09M-00000-00&amp;context=" TargetMode="External" /><Relationship Id="rId130" Type="http://schemas.openxmlformats.org/officeDocument/2006/relationships/hyperlink" Target="https://advance.lexis.com/api/document?collection=cases-ca&amp;id=urn:contentItem:5F7T-S731-F1WF-M2HD-00000-00&amp;context=" TargetMode="External" /><Relationship Id="rId131" Type="http://schemas.openxmlformats.org/officeDocument/2006/relationships/hyperlink" Target="https://advance.lexis.com/api/document?collection=cases-ca&amp;id=urn:contentItem:5F7T-S731-DY33-B0YN-00000-00&amp;context=" TargetMode="External" /><Relationship Id="rId132" Type="http://schemas.openxmlformats.org/officeDocument/2006/relationships/hyperlink" Target="https://advance.lexis.com/api/document?collection=cases-ca&amp;id=urn:contentItem:5F7T-S7K1-JSJC-X168-00000-00&amp;context=" TargetMode="External" /><Relationship Id="rId133" Type="http://schemas.openxmlformats.org/officeDocument/2006/relationships/hyperlink" Target="https://advance.lexis.com/api/document?collection=cases-ca&amp;id=urn:contentItem:5F7T-S7M1-DYMS-62FG-00000-00&amp;context=" TargetMode="External" /><Relationship Id="rId134" Type="http://schemas.openxmlformats.org/officeDocument/2006/relationships/hyperlink" Target="https://advance.lexis.com/api/document?collection=cases-ca&amp;id=urn:contentItem:5F7T-S7K1-DY33-B1K8-00000-00&amp;context=" TargetMode="External" /><Relationship Id="rId135" Type="http://schemas.openxmlformats.org/officeDocument/2006/relationships/hyperlink" Target="https://advance.lexis.com/api/document?collection=cases-ca&amp;id=urn:contentItem:5F7T-S7D1-FFFC-B118-00000-00&amp;context=" TargetMode="External" /><Relationship Id="rId136" Type="http://schemas.openxmlformats.org/officeDocument/2006/relationships/hyperlink" Target="https://advance.lexis.com/api/document?collection=cases-ca&amp;id=urn:contentItem:5F7T-S7C1-F7ND-G014-00000-00&amp;context=" TargetMode="External" /><Relationship Id="rId137" Type="http://schemas.openxmlformats.org/officeDocument/2006/relationships/hyperlink" Target="https://advance.lexis.com/api/document?collection=cases-ca&amp;id=urn:contentItem:5F7T-S7N1-JW09-M12P-00000-00&amp;context=" TargetMode="External" /><Relationship Id="rId138" Type="http://schemas.openxmlformats.org/officeDocument/2006/relationships/hyperlink" Target="https://advance.lexis.com/api/document?collection=cases-ca&amp;id=urn:contentItem:5F7T-S771-JSJC-X038-00000-00&amp;context=" TargetMode="External" /><Relationship Id="rId139" Type="http://schemas.openxmlformats.org/officeDocument/2006/relationships/hyperlink" Target="https://advance.lexis.com/api/document?collection=cases-ca&amp;id=urn:contentItem:5F7T-S791-JCJ5-251B-00000-00&amp;context=" TargetMode="External" /><Relationship Id="rId14" Type="http://schemas.openxmlformats.org/officeDocument/2006/relationships/hyperlink" Target="https://advance.lexis.com/api/document?collection=cases-ca&amp;id=urn:contentItem:5F7T-S7N1-JGHR-M38N-00000-00&amp;context=" TargetMode="External" /><Relationship Id="rId140" Type="http://schemas.openxmlformats.org/officeDocument/2006/relationships/hyperlink" Target="https://advance.lexis.com/api/document?collection=cases-ca&amp;id=urn:contentItem:5F7T-S7N1-F57G-S2D4-00000-00&amp;context=" TargetMode="External" /><Relationship Id="rId141" Type="http://schemas.openxmlformats.org/officeDocument/2006/relationships/hyperlink" Target="https://advance.lexis.com/api/document?collection=cases-ca&amp;id=urn:contentItem:5F7T-S7F1-JX3N-B19D-00000-00&amp;context=" TargetMode="External" /><Relationship Id="rId142" Type="http://schemas.openxmlformats.org/officeDocument/2006/relationships/hyperlink" Target="https://advance.lexis.com/api/document?collection=cases-ca&amp;id=urn:contentItem:5F7T-S7M1-JCRC-B1SF-00000-00&amp;context=" TargetMode="External" /><Relationship Id="rId143" Type="http://schemas.openxmlformats.org/officeDocument/2006/relationships/hyperlink" Target="https://advance.lexis.com/api/document?collection=cases-ca&amp;id=urn:contentItem:5F8T-N3V1-FC1F-M4BC-00000-00&amp;context=" TargetMode="External" /><Relationship Id="rId144" Type="http://schemas.openxmlformats.org/officeDocument/2006/relationships/hyperlink" Target="https://advance.lexis.com/api/document?collection=cases-ca&amp;id=urn:contentItem:5F7T-S7M1-JNCK-22MK-00000-00&amp;context=" TargetMode="External" /><Relationship Id="rId145" Type="http://schemas.openxmlformats.org/officeDocument/2006/relationships/header" Target="header19.xml" /><Relationship Id="rId146" Type="http://schemas.openxmlformats.org/officeDocument/2006/relationships/header" Target="header20.xml" /><Relationship Id="rId147" Type="http://schemas.openxmlformats.org/officeDocument/2006/relationships/footer" Target="footer19.xml" /><Relationship Id="rId148" Type="http://schemas.openxmlformats.org/officeDocument/2006/relationships/footer" Target="footer20.xml" /><Relationship Id="rId149" Type="http://schemas.openxmlformats.org/officeDocument/2006/relationships/header" Target="header21.xml" /><Relationship Id="rId15" Type="http://schemas.openxmlformats.org/officeDocument/2006/relationships/hyperlink" Target="https://advance.lexis.com/api/document?collection=cases-ca&amp;id=urn:contentItem:5F7T-S7M1-JCRC-B1KD-00000-00&amp;context=" TargetMode="External" /><Relationship Id="rId150" Type="http://schemas.openxmlformats.org/officeDocument/2006/relationships/footer" Target="footer21.xml" /><Relationship Id="rId151" Type="http://schemas.openxmlformats.org/officeDocument/2006/relationships/hyperlink" Target="https://advance.lexis.com/api/document?collection=cases-ca&amp;id=urn:contentItem:5F7T-S7K1-DY33-B1FP-00000-00&amp;context=" TargetMode="External" /><Relationship Id="rId152" Type="http://schemas.openxmlformats.org/officeDocument/2006/relationships/hyperlink" Target="https://advance.lexis.com/api/document?collection=cases-ca&amp;id=urn:contentItem:5F7T-S7K1-F1H1-22FV-00000-00&amp;context=" TargetMode="External" /><Relationship Id="rId153" Type="http://schemas.openxmlformats.org/officeDocument/2006/relationships/hyperlink" Target="https://advance.lexis.com/api/document?collection=cases-ca&amp;id=urn:contentItem:5F8P-T8W1-JT42-S05V-00000-00&amp;context=" TargetMode="External" /><Relationship Id="rId154" Type="http://schemas.openxmlformats.org/officeDocument/2006/relationships/hyperlink" Target="https://advance.lexis.com/api/document?collection=cases-ca&amp;id=urn:contentItem:5F7T-XPR1-F65M-623J-00000-00&amp;context=" TargetMode="External" /><Relationship Id="rId155" Type="http://schemas.openxmlformats.org/officeDocument/2006/relationships/hyperlink" Target="https://advance.lexis.com/api/document?collection=cases-ca&amp;id=urn:contentItem:5F7T-S6V1-F956-S08Y-00000-00&amp;context=" TargetMode="External" /><Relationship Id="rId156" Type="http://schemas.openxmlformats.org/officeDocument/2006/relationships/hyperlink" Target="https://advance.lexis.com/api/document?collection=cases-ca&amp;id=urn:contentItem:5F7T-S701-JGPY-X1BN-00000-00&amp;context=" TargetMode="External" /><Relationship Id="rId157" Type="http://schemas.openxmlformats.org/officeDocument/2006/relationships/hyperlink" Target="https://advance.lexis.com/api/document?collection=cases-ca&amp;id=urn:contentItem:5F7T-S781-DYMS-61N0-00000-00&amp;context=" TargetMode="External" /><Relationship Id="rId158" Type="http://schemas.openxmlformats.org/officeDocument/2006/relationships/hyperlink" Target="https://advance.lexis.com/api/document?collection=cases-ca&amp;id=urn:contentItem:5F8P-SCX1-F57G-S4PT-00000-00&amp;context=" TargetMode="External" /><Relationship Id="rId159" Type="http://schemas.openxmlformats.org/officeDocument/2006/relationships/hyperlink" Target="https://advance.lexis.com/api/document?collection=cases-ca&amp;id=urn:contentItem:5F8P-T8W1-F5DR-22GB-00000-00&amp;context=" TargetMode="External" /><Relationship Id="rId16" Type="http://schemas.openxmlformats.org/officeDocument/2006/relationships/hyperlink" Target="https://advance.lexis.com/api/document?collection=cases-ca&amp;id=urn:contentItem:5F7T-S6X1-F06F-22SH-00000-00&amp;context=" TargetMode="External" /><Relationship Id="rId160" Type="http://schemas.openxmlformats.org/officeDocument/2006/relationships/hyperlink" Target="https://advance.lexis.com/api/document?collection=cases-ca&amp;id=urn:contentItem:5F16-93B1-JN14-G0VK-00000-00&amp;context=" TargetMode="External" /><Relationship Id="rId161" Type="http://schemas.openxmlformats.org/officeDocument/2006/relationships/hyperlink" Target="https://advance.lexis.com/api/document?collection=cases-ca&amp;id=urn:contentItem:5F8T-N3V1-JF75-M3K1-00000-00&amp;context=" TargetMode="External" /><Relationship Id="rId162" Type="http://schemas.openxmlformats.org/officeDocument/2006/relationships/hyperlink" Target="https://advance.lexis.com/api/document?collection=cases-ca&amp;id=urn:contentItem:5F8T-N3V1-FC1F-M4BS-00000-00&amp;context=" TargetMode="External" /><Relationship Id="rId163" Type="http://schemas.openxmlformats.org/officeDocument/2006/relationships/hyperlink" Target="https://advance.lexis.com/api/document?collection=legislation-ca&amp;id=urn:contentItem:5F41-1FF1-DXWW-20KM-00000-00&amp;context=" TargetMode="External" /><Relationship Id="rId164" Type="http://schemas.openxmlformats.org/officeDocument/2006/relationships/hyperlink" Target="https://advance.lexis.com/api/document?collection=legislation-ca&amp;id=urn:contentItem:5F41-1FM1-JG59-2242-00000-00&amp;context=" TargetMode="External" /><Relationship Id="rId165" Type="http://schemas.openxmlformats.org/officeDocument/2006/relationships/header" Target="header22.xml" /><Relationship Id="rId166" Type="http://schemas.openxmlformats.org/officeDocument/2006/relationships/header" Target="header23.xml" /><Relationship Id="rId167" Type="http://schemas.openxmlformats.org/officeDocument/2006/relationships/footer" Target="footer22.xml" /><Relationship Id="rId168" Type="http://schemas.openxmlformats.org/officeDocument/2006/relationships/footer" Target="footer23.xml" /><Relationship Id="rId169" Type="http://schemas.openxmlformats.org/officeDocument/2006/relationships/header" Target="header24.xml" /><Relationship Id="rId17" Type="http://schemas.openxmlformats.org/officeDocument/2006/relationships/hyperlink" Target="https://advance.lexis.com/api/document?collection=cases-ca&amp;id=urn:contentItem:5F8P-SFK1-JBDT-B36G-00000-00&amp;context=" TargetMode="External" /><Relationship Id="rId170" Type="http://schemas.openxmlformats.org/officeDocument/2006/relationships/footer" Target="footer24.xml" /><Relationship Id="rId171" Type="http://schemas.openxmlformats.org/officeDocument/2006/relationships/hyperlink" Target="https://advance.lexis.com/api/document?collection=cases-ca&amp;id=urn:contentItem:5X94-76V1-JT99-24TW-00000-00&amp;context=" TargetMode="External" /><Relationship Id="rId172" Type="http://schemas.openxmlformats.org/officeDocument/2006/relationships/hyperlink" Target="https://advance.lexis.com/api/document?collection=cases-ca&amp;id=urn:contentItem:5SBV-YB61-FGCG-S02P-00000-00&amp;context=" TargetMode="External" /><Relationship Id="rId173" Type="http://schemas.openxmlformats.org/officeDocument/2006/relationships/hyperlink" Target="https://advance.lexis.com/api/document?collection=cases-ca&amp;id=urn:contentItem:5F8W-W661-F873-B429-00000-00&amp;context=" TargetMode="External" /><Relationship Id="rId174" Type="http://schemas.openxmlformats.org/officeDocument/2006/relationships/hyperlink" Target="https://advance.lexis.com/api/document?collection=cases-ca&amp;id=urn:contentItem:5G6C-V7H1-F2F4-G09F-00000-00&amp;context=" TargetMode="External" /><Relationship Id="rId175" Type="http://schemas.openxmlformats.org/officeDocument/2006/relationships/hyperlink" Target="https://advance.lexis.com/api/document?collection=cases-ca&amp;id=urn:contentItem:5HK8-NFF1-FFFC-B45D-00000-00&amp;context=" TargetMode="External" /><Relationship Id="rId176" Type="http://schemas.openxmlformats.org/officeDocument/2006/relationships/hyperlink" Target="https://advance.lexis.com/api/document?collection=cases-ca&amp;id=urn:contentItem:5SST-RG81-FBFS-S300-00000-00&amp;context=" TargetMode="External" /><Relationship Id="rId177" Type="http://schemas.openxmlformats.org/officeDocument/2006/relationships/hyperlink" Target="https://advance.lexis.com/api/document?collection=cases-ca&amp;id=urn:contentItem:5G62-R361-JYYX-64MC-00000-00&amp;context=" TargetMode="External" /><Relationship Id="rId178" Type="http://schemas.openxmlformats.org/officeDocument/2006/relationships/hyperlink" Target="https://advance.lexis.com/api/document?collection=cases-ca&amp;id=urn:contentItem:5GS8-7X71-JK4W-M000-00000-00&amp;context=" TargetMode="External" /><Relationship Id="rId179" Type="http://schemas.openxmlformats.org/officeDocument/2006/relationships/hyperlink" Target="https://advance.lexis.com/api/document?collection=cases-ca&amp;id=urn:contentItem:5HVH-K4K1-FFMK-M2F5-00000-00&amp;context=" TargetMode="External" /><Relationship Id="rId18" Type="http://schemas.openxmlformats.org/officeDocument/2006/relationships/hyperlink" Target="https://advance.lexis.com/api/document?collection=cases-ca&amp;id=urn:contentItem:5F7T-S701-JK4W-M0N4-00000-00&amp;context=" TargetMode="External" /><Relationship Id="rId180" Type="http://schemas.openxmlformats.org/officeDocument/2006/relationships/hyperlink" Target="https://advance.lexis.com/api/document?collection=cases-ca&amp;id=urn:contentItem:5WND-DFH1-FJM6-60W8-00000-00&amp;context=" TargetMode="External" /><Relationship Id="rId181" Type="http://schemas.openxmlformats.org/officeDocument/2006/relationships/hyperlink" Target="https://advance.lexis.com/api/document?collection=cases-ca&amp;id=urn:contentItem:5MJ7-NBJ1-F1WF-M27D-00000-00&amp;context=" TargetMode="External" /><Relationship Id="rId182" Type="http://schemas.openxmlformats.org/officeDocument/2006/relationships/hyperlink" Target="https://advance.lexis.com/api/document?collection=cases-ca&amp;id=urn:contentItem:5WTW-NX91-JWXF-23WB-00000-00&amp;context=" TargetMode="External" /><Relationship Id="rId183" Type="http://schemas.openxmlformats.org/officeDocument/2006/relationships/hyperlink" Target="https://advance.lexis.com/api/document?collection=cases-ca&amp;id=urn:contentItem:5NWJ-C8Y1-F2F4-G3CC-00000-00&amp;context=" TargetMode="External" /><Relationship Id="rId184" Type="http://schemas.openxmlformats.org/officeDocument/2006/relationships/hyperlink" Target="https://advance.lexis.com/api/document?collection=cases-ca&amp;id=urn:contentItem:5F8T-N3V1-JTGH-B0YX-00000-00&amp;context=" TargetMode="External" /><Relationship Id="rId185" Type="http://schemas.openxmlformats.org/officeDocument/2006/relationships/hyperlink" Target="https://advance.lexis.com/api/document?collection=cases-ca&amp;id=urn:contentItem:5F7T-S7F1-JFKM-61VX-00000-00&amp;context=" TargetMode="External" /><Relationship Id="rId186" Type="http://schemas.openxmlformats.org/officeDocument/2006/relationships/hyperlink" Target="https://advance.lexis.com/api/document?collection=cases-ca&amp;id=urn:contentItem:5F7T-S7N1-JW09-M0YW-00000-00&amp;context=" TargetMode="External" /><Relationship Id="rId187" Type="http://schemas.openxmlformats.org/officeDocument/2006/relationships/hyperlink" Target="https://advance.lexis.com/api/document?collection=cases-ca&amp;id=urn:contentItem:5F8T-N3T1-JJSF-236M-00000-00&amp;context=" TargetMode="External" /><Relationship Id="rId188" Type="http://schemas.openxmlformats.org/officeDocument/2006/relationships/hyperlink" Target="https://advance.lexis.com/api/document?collection=cases-ca&amp;id=urn:contentItem:5MJ7-NBJ1-F1WF-M27C-00000-00&amp;context=" TargetMode="External" /><Relationship Id="rId189" Type="http://schemas.openxmlformats.org/officeDocument/2006/relationships/hyperlink" Target="https://advance.lexis.com/api/document?collection=cases-ca&amp;id=urn:contentItem:5F7T-S7P1-JNJT-B2HS-00000-00&amp;context=" TargetMode="External" /><Relationship Id="rId19" Type="http://schemas.openxmlformats.org/officeDocument/2006/relationships/hyperlink" Target="https://advance.lexis.com/api/document?collection=cases-ca&amp;id=urn:contentItem:5F7T-S711-JC0G-62YB-00000-00&amp;context=" TargetMode="External" /><Relationship Id="rId190" Type="http://schemas.openxmlformats.org/officeDocument/2006/relationships/hyperlink" Target="https://advance.lexis.com/api/document?collection=cases-ca&amp;id=urn:contentItem:5F7T-S7H1-JS5Y-B31F-00000-00&amp;context=" TargetMode="External" /><Relationship Id="rId191" Type="http://schemas.openxmlformats.org/officeDocument/2006/relationships/hyperlink" Target="https://advance.lexis.com/api/document?collection=cases-ca&amp;id=urn:contentItem:5JH9-BW81-F22N-X47X-00000-00&amp;context=" TargetMode="External" /><Relationship Id="rId192" Type="http://schemas.openxmlformats.org/officeDocument/2006/relationships/hyperlink" Target="https://advance.lexis.com/api/document?collection=cases-ca&amp;id=urn:contentItem:5F7T-S7C1-F7ND-G040-00000-00&amp;context=" TargetMode="External" /><Relationship Id="rId193" Type="http://schemas.openxmlformats.org/officeDocument/2006/relationships/hyperlink" Target="https://advance.lexis.com/api/document?collection=cases-ca&amp;id=urn:contentItem:5F7T-S731-FFFC-B0PJ-00000-00&amp;context=" TargetMode="External" /><Relationship Id="rId194" Type="http://schemas.openxmlformats.org/officeDocument/2006/relationships/hyperlink" Target="https://advance.lexis.com/api/document?collection=cases-ca&amp;id=urn:contentItem:5F7T-S6Y1-JPP5-215W-00000-00&amp;context=" TargetMode="External" /><Relationship Id="rId195" Type="http://schemas.openxmlformats.org/officeDocument/2006/relationships/hyperlink" Target="https://advance.lexis.com/api/document?collection=cases-ca&amp;id=urn:contentItem:5F7T-S711-F5KY-B0P4-00000-00&amp;context=" TargetMode="External" /><Relationship Id="rId196" Type="http://schemas.openxmlformats.org/officeDocument/2006/relationships/hyperlink" Target="https://advance.lexis.com/api/document?collection=cases-ca&amp;id=urn:contentItem:5F7T-S7N1-JC5P-G21B-00000-00&amp;context=" TargetMode="External" /><Relationship Id="rId197" Type="http://schemas.openxmlformats.org/officeDocument/2006/relationships/hyperlink" Target="https://advance.lexis.com/api/document?collection=cases-ca&amp;id=urn:contentItem:5N5Y-0C91-JF1Y-B3TT-00000-00&amp;context=" TargetMode="External" /><Relationship Id="rId198" Type="http://schemas.openxmlformats.org/officeDocument/2006/relationships/hyperlink" Target="https://advance.lexis.com/api/document?collection=cases-ca&amp;id=urn:contentItem:5RD1-5SS1-JBDT-B2D5-00000-00&amp;context=" TargetMode="External" /><Relationship Id="rId199" Type="http://schemas.openxmlformats.org/officeDocument/2006/relationships/hyperlink" Target="https://advance.lexis.com/api/document?collection=cases-ca&amp;id=urn:contentItem:5F7T-S7P1-JP4G-6209-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GJX-RN81-JG59-24MH-00000-00&amp;context=" TargetMode="External" /><Relationship Id="rId200" Type="http://schemas.openxmlformats.org/officeDocument/2006/relationships/hyperlink" Target="https://advance.lexis.com/api/document?collection=cases-ca&amp;id=urn:contentItem:5F7T-S7N1-JJ1H-X2XK-00000-00&amp;context=" TargetMode="External" /><Relationship Id="rId201" Type="http://schemas.openxmlformats.org/officeDocument/2006/relationships/hyperlink" Target="https://advance.lexis.com/api/document?collection=cases-ca&amp;id=urn:contentItem:5F81-VJX1-JJYN-B516-00000-00&amp;context=" TargetMode="External" /><Relationship Id="rId202" Type="http://schemas.openxmlformats.org/officeDocument/2006/relationships/hyperlink" Target="https://advance.lexis.com/api/document?collection=cases-ca&amp;id=urn:contentItem:5F7F-5RH1-FJM6-60DD-00000-00&amp;context=" TargetMode="External" /><Relationship Id="rId203" Type="http://schemas.openxmlformats.org/officeDocument/2006/relationships/hyperlink" Target="https://advance.lexis.com/api/document?collection=cases-ca&amp;id=urn:contentItem:5F82-1SD1-JFKM-60HP-00000-00&amp;context=" TargetMode="External" /><Relationship Id="rId204" Type="http://schemas.openxmlformats.org/officeDocument/2006/relationships/hyperlink" Target="https://advance.lexis.com/api/document?collection=cases-ca&amp;id=urn:contentItem:5G74-D9V1-F2TK-22FC-00000-00&amp;context=" TargetMode="External" /><Relationship Id="rId205" Type="http://schemas.openxmlformats.org/officeDocument/2006/relationships/hyperlink" Target="https://advance.lexis.com/api/document?collection=cases-ca&amp;id=urn:contentItem:5F81-VJW1-JF75-M1FG-00000-00&amp;context=" TargetMode="External" /><Relationship Id="rId206" Type="http://schemas.openxmlformats.org/officeDocument/2006/relationships/hyperlink" Target="https://advance.lexis.com/api/document?collection=cases-ca&amp;id=urn:contentItem:5F8T-N3V1-FH4C-X234-00000-00&amp;context=" TargetMode="External" /><Relationship Id="rId207" Type="http://schemas.openxmlformats.org/officeDocument/2006/relationships/hyperlink" Target="https://advance.lexis.com/api/document?collection=cases-ca&amp;id=urn:contentItem:5F8T-N3V1-JTGH-B0YP-00000-00&amp;context=" TargetMode="External" /><Relationship Id="rId208" Type="http://schemas.openxmlformats.org/officeDocument/2006/relationships/hyperlink" Target="https://advance.lexis.com/api/document?collection=cases-ca&amp;id=urn:contentItem:5F8T-N3V1-JF75-M3CS-00000-00&amp;context=" TargetMode="External" /><Relationship Id="rId209" Type="http://schemas.openxmlformats.org/officeDocument/2006/relationships/hyperlink" Target="https://advance.lexis.com/api/document?collection=cases-ca&amp;id=urn:contentItem:5F8T-N3T1-JFKM-650V-00000-00&amp;context=" TargetMode="External" /><Relationship Id="rId21" Type="http://schemas.openxmlformats.org/officeDocument/2006/relationships/hyperlink" Target="https://advance.lexis.com/api/document?collection=cases-ca&amp;id=urn:contentItem:5W6N-2JC1-JS0R-246D-00000-00&amp;context=" TargetMode="External" /><Relationship Id="rId210" Type="http://schemas.openxmlformats.org/officeDocument/2006/relationships/hyperlink" Target="https://advance.lexis.com/api/document?collection=cases-ca&amp;id=urn:contentItem:5F8T-N3V1-JFKM-601D-00000-00&amp;context=" TargetMode="External" /><Relationship Id="rId211" Type="http://schemas.openxmlformats.org/officeDocument/2006/relationships/hyperlink" Target="https://advance.lexis.com/api/document?collection=cases-ca&amp;id=urn:contentItem:5F81-VJX1-JJYN-B529-00000-00&amp;context=" TargetMode="External" /><Relationship Id="rId212" Type="http://schemas.openxmlformats.org/officeDocument/2006/relationships/hyperlink" Target="https://advance.lexis.com/api/document?collection=cases-ca&amp;id=urn:contentItem:5F8T-N3V1-FC1F-M4DC-00000-00&amp;context=" TargetMode="External" /><Relationship Id="rId213" Type="http://schemas.openxmlformats.org/officeDocument/2006/relationships/hyperlink" Target="https://advance.lexis.com/api/document?collection=cases-ca&amp;id=urn:contentItem:5F8T-N3V1-FC1F-M45P-00000-00&amp;context=" TargetMode="External" /><Relationship Id="rId214" Type="http://schemas.openxmlformats.org/officeDocument/2006/relationships/hyperlink" Target="https://advance.lexis.com/api/document?collection=cases-ca&amp;id=urn:contentItem:5F7T-S7K1-JX3N-B34W-00000-00&amp;context=" TargetMode="External" /><Relationship Id="rId215" Type="http://schemas.openxmlformats.org/officeDocument/2006/relationships/hyperlink" Target="https://advance.lexis.com/api/document?collection=cases-ca&amp;id=urn:contentItem:5F7T-S7B1-JCJ5-201W-00000-00&amp;context=" TargetMode="External" /><Relationship Id="rId216" Type="http://schemas.openxmlformats.org/officeDocument/2006/relationships/hyperlink" Target="https://advance.lexis.com/api/document?collection=cases-ca&amp;id=urn:contentItem:5F7T-S7M1-DYMS-629V-00000-00&amp;context=" TargetMode="External" /><Relationship Id="rId217" Type="http://schemas.openxmlformats.org/officeDocument/2006/relationships/header" Target="header25.xml" /><Relationship Id="rId218" Type="http://schemas.openxmlformats.org/officeDocument/2006/relationships/header" Target="header26.xml" /><Relationship Id="rId219" Type="http://schemas.openxmlformats.org/officeDocument/2006/relationships/footer" Target="footer25.xml" /><Relationship Id="rId22" Type="http://schemas.openxmlformats.org/officeDocument/2006/relationships/header" Target="header4.xml" /><Relationship Id="rId220" Type="http://schemas.openxmlformats.org/officeDocument/2006/relationships/footer" Target="footer26.xml" /><Relationship Id="rId221" Type="http://schemas.openxmlformats.org/officeDocument/2006/relationships/header" Target="header27.xml" /><Relationship Id="rId222" Type="http://schemas.openxmlformats.org/officeDocument/2006/relationships/footer" Target="footer27.xml" /><Relationship Id="rId223" Type="http://schemas.openxmlformats.org/officeDocument/2006/relationships/hyperlink" Target="https://advance.lexis.com/api/document?collection=cases-ca&amp;id=urn:contentItem:5F7T-S7K1-JWXF-20RD-00000-00&amp;context=" TargetMode="External" /><Relationship Id="rId224" Type="http://schemas.openxmlformats.org/officeDocument/2006/relationships/hyperlink" Target="https://advance.lexis.com/api/document?collection=cases-ca&amp;id=urn:contentItem:5F8T-N3V1-JTGH-B19N-00000-00&amp;context=" TargetMode="External" /><Relationship Id="rId225" Type="http://schemas.openxmlformats.org/officeDocument/2006/relationships/hyperlink" Target="https://advance.lexis.com/api/document?collection=cases-ca&amp;id=urn:contentItem:5F8T-N3R1-JNS1-M0SX-00000-00&amp;context=" TargetMode="External" /><Relationship Id="rId226" Type="http://schemas.openxmlformats.org/officeDocument/2006/relationships/hyperlink" Target="https://advance.lexis.com/api/document?collection=cases-ca&amp;id=urn:contentItem:5F8P-SDV1-JSC5-M1KW-00000-00&amp;context=" TargetMode="External" /><Relationship Id="rId227" Type="http://schemas.openxmlformats.org/officeDocument/2006/relationships/header" Target="header28.xml" /><Relationship Id="rId228" Type="http://schemas.openxmlformats.org/officeDocument/2006/relationships/header" Target="header29.xml" /><Relationship Id="rId229" Type="http://schemas.openxmlformats.org/officeDocument/2006/relationships/footer" Target="footer28.xml" /><Relationship Id="rId23" Type="http://schemas.openxmlformats.org/officeDocument/2006/relationships/header" Target="header5.xml" /><Relationship Id="rId230" Type="http://schemas.openxmlformats.org/officeDocument/2006/relationships/footer" Target="footer29.xml" /><Relationship Id="rId231" Type="http://schemas.openxmlformats.org/officeDocument/2006/relationships/header" Target="header30.xml" /><Relationship Id="rId232" Type="http://schemas.openxmlformats.org/officeDocument/2006/relationships/footer" Target="footer30.xml" /><Relationship Id="rId233" Type="http://schemas.openxmlformats.org/officeDocument/2006/relationships/hyperlink" Target="https://advance.lexis.com/api/document?collection=cases-ca&amp;id=urn:contentItem:5GCC-XVB1-JGHR-M4P4-00000-00&amp;context=" TargetMode="External" /><Relationship Id="rId234" Type="http://schemas.openxmlformats.org/officeDocument/2006/relationships/hyperlink" Target="https://advance.lexis.com/api/document?collection=cases-ca&amp;id=urn:contentItem:5F7T-S701-JF75-M47G-00000-00&amp;context=" TargetMode="External" /><Relationship Id="rId235" Type="http://schemas.openxmlformats.org/officeDocument/2006/relationships/hyperlink" Target="https://advance.lexis.com/api/document?collection=cases-ca&amp;id=urn:contentItem:5F8T-N3P1-FC6N-X1C4-00000-00&amp;context=" TargetMode="External" /><Relationship Id="rId236" Type="http://schemas.openxmlformats.org/officeDocument/2006/relationships/hyperlink" Target="https://advance.lexis.com/api/document?collection=cases-ca&amp;id=urn:contentItem:5F7T-S7K1-JWXF-20XW-00000-00&amp;context=" TargetMode="External" /><Relationship Id="rId237" Type="http://schemas.openxmlformats.org/officeDocument/2006/relationships/hyperlink" Target="https://advance.lexis.com/api/document?collection=cases-ca&amp;id=urn:contentItem:5F7T-S7C1-F30T-B2JK-00000-00&amp;context=" TargetMode="External" /><Relationship Id="rId238" Type="http://schemas.openxmlformats.org/officeDocument/2006/relationships/hyperlink" Target="https://advance.lexis.com/api/document?collection=cases-ca&amp;id=urn:contentItem:5F7T-S741-DY89-M397-00000-00&amp;context=" TargetMode="External" /><Relationship Id="rId239" Type="http://schemas.openxmlformats.org/officeDocument/2006/relationships/hyperlink" Target="https://advance.lexis.com/api/document?collection=cases-ca&amp;id=urn:contentItem:5F7T-S711-F4W2-619X-00000-00&amp;context=" TargetMode="External" /><Relationship Id="rId24" Type="http://schemas.openxmlformats.org/officeDocument/2006/relationships/footer" Target="footer4.xml" /><Relationship Id="rId240" Type="http://schemas.openxmlformats.org/officeDocument/2006/relationships/hyperlink" Target="https://advance.lexis.com/api/document?collection=cases-ca&amp;id=urn:contentItem:5F7T-S7J1-JYYX-624K-00000-00&amp;context=" TargetMode="External" /><Relationship Id="rId241" Type="http://schemas.openxmlformats.org/officeDocument/2006/relationships/hyperlink" Target="https://advance.lexis.com/api/document?collection=cases-ca&amp;id=urn:contentItem:5F7T-S7B1-F7ND-G567-00000-00&amp;context=" TargetMode="External" /><Relationship Id="rId242" Type="http://schemas.openxmlformats.org/officeDocument/2006/relationships/hyperlink" Target="https://advance.lexis.com/api/document?collection=cases-ca&amp;id=urn:contentItem:5F7T-S7C1-F7VM-S3MK-00000-00&amp;context=" TargetMode="External" /><Relationship Id="rId243" Type="http://schemas.openxmlformats.org/officeDocument/2006/relationships/hyperlink" Target="https://advance.lexis.com/api/document?collection=cases-ca&amp;id=urn:contentItem:5F7T-S7J1-JYYX-623D-00000-00&amp;context=" TargetMode="External" /><Relationship Id="rId244" Type="http://schemas.openxmlformats.org/officeDocument/2006/relationships/hyperlink" Target="https://advance.lexis.com/api/document?collection=cases-ca&amp;id=urn:contentItem:5F7T-S7C1-F7VM-S3N8-00000-00&amp;context=" TargetMode="External" /><Relationship Id="rId245" Type="http://schemas.openxmlformats.org/officeDocument/2006/relationships/hyperlink" Target="https://advance.lexis.com/api/document?collection=cases-ca&amp;id=urn:contentItem:5F7T-S741-DY89-M3M0-00000-00&amp;context=" TargetMode="External" /><Relationship Id="rId246" Type="http://schemas.openxmlformats.org/officeDocument/2006/relationships/hyperlink" Target="https://advance.lexis.com/api/document?collection=cases-ca&amp;id=urn:contentItem:5F7T-S7F1-DXWW-24CX-00000-00&amp;context=" TargetMode="External" /><Relationship Id="rId247" Type="http://schemas.openxmlformats.org/officeDocument/2006/relationships/hyperlink" Target="https://advance.lexis.com/api/document?collection=cases-ca&amp;id=urn:contentItem:5F7T-S7D1-F7ND-G0NM-00000-00&amp;context=" TargetMode="External" /><Relationship Id="rId248" Type="http://schemas.openxmlformats.org/officeDocument/2006/relationships/hyperlink" Target="https://advance.lexis.com/api/document?collection=cases-ca&amp;id=urn:contentItem:5F7T-S7F1-F7VM-S3V2-00000-00&amp;context=" TargetMode="External" /><Relationship Id="rId249" Type="http://schemas.openxmlformats.org/officeDocument/2006/relationships/hyperlink" Target="https://advance.lexis.com/api/document?collection=cases-ca&amp;id=urn:contentItem:5F7T-S7N1-JGHR-M380-00000-00&amp;context=" TargetMode="External" /><Relationship Id="rId25" Type="http://schemas.openxmlformats.org/officeDocument/2006/relationships/footer" Target="footer5.xml" /><Relationship Id="rId250" Type="http://schemas.openxmlformats.org/officeDocument/2006/relationships/hyperlink" Target="https://advance.lexis.com/api/document?collection=cases-ca&amp;id=urn:contentItem:5F7T-S7C1-FCSB-S2KC-00000-00&amp;context=" TargetMode="External" /><Relationship Id="rId251" Type="http://schemas.openxmlformats.org/officeDocument/2006/relationships/hyperlink" Target="https://advance.lexis.com/api/document?collection=cases-ca&amp;id=urn:contentItem:5F7T-S7M1-DYMS-629X-00000-00&amp;context=" TargetMode="External" /><Relationship Id="rId252" Type="http://schemas.openxmlformats.org/officeDocument/2006/relationships/hyperlink" Target="https://advance.lexis.com/api/document?collection=cases-ca&amp;id=urn:contentItem:5F7T-S7K1-JKHB-62YV-00000-00&amp;context=" TargetMode="External" /><Relationship Id="rId253" Type="http://schemas.openxmlformats.org/officeDocument/2006/relationships/hyperlink" Target="https://advance.lexis.com/api/document?collection=cases-ca&amp;id=urn:contentItem:5F81-YH41-JX8W-M05P-00000-00&amp;context=" TargetMode="External" /><Relationship Id="rId254" Type="http://schemas.openxmlformats.org/officeDocument/2006/relationships/hyperlink" Target="https://advance.lexis.com/api/document?collection=cases-ca&amp;id=urn:contentItem:5F8P-SC81-JN14-G258-00000-00&amp;context=" TargetMode="External" /><Relationship Id="rId255" Type="http://schemas.openxmlformats.org/officeDocument/2006/relationships/hyperlink" Target="https://advance.lexis.com/api/document?collection=cases-ca&amp;id=urn:contentItem:5F81-YH41-JX8W-M05N-00000-00&amp;context=" TargetMode="External" /><Relationship Id="rId256" Type="http://schemas.openxmlformats.org/officeDocument/2006/relationships/hyperlink" Target="https://advance.lexis.com/api/document?collection=cases-ca&amp;id=urn:contentItem:5F81-WC31-F5KY-B4SM-00000-00&amp;context=" TargetMode="External" /><Relationship Id="rId257" Type="http://schemas.openxmlformats.org/officeDocument/2006/relationships/hyperlink" Target="https://advance.lexis.com/api/document?collection=cases-ca&amp;id=urn:contentItem:5F8T-N3T1-JGHR-M1TK-00000-00&amp;context=" TargetMode="External" /><Relationship Id="rId258" Type="http://schemas.openxmlformats.org/officeDocument/2006/relationships/hyperlink" Target="https://advance.lexis.com/api/document?collection=cases-ca&amp;id=urn:contentItem:5F7T-S7N1-JJ1H-X2X1-00000-00&amp;context=" TargetMode="External" /><Relationship Id="rId259" Type="http://schemas.openxmlformats.org/officeDocument/2006/relationships/hyperlink" Target="https://advance.lexis.com/api/document?collection=cases-ca&amp;id=urn:contentItem:5F7T-S7N1-DXWW-20DM-00000-00&amp;context=" TargetMode="External" /><Relationship Id="rId26" Type="http://schemas.openxmlformats.org/officeDocument/2006/relationships/header" Target="header6.xml" /><Relationship Id="rId260" Type="http://schemas.openxmlformats.org/officeDocument/2006/relationships/hyperlink" Target="https://advance.lexis.com/api/document?collection=cases-ca&amp;id=urn:contentItem:5F7T-S6X1-JXNB-62N4-00000-00&amp;context=" TargetMode="External" /><Relationship Id="rId261" Type="http://schemas.openxmlformats.org/officeDocument/2006/relationships/hyperlink" Target="https://advance.lexis.com/api/document?collection=cases-ca&amp;id=urn:contentItem:5F7T-S7C1-JXG3-X02B-00000-00&amp;context=" TargetMode="External" /><Relationship Id="rId262" Type="http://schemas.openxmlformats.org/officeDocument/2006/relationships/hyperlink" Target="https://advance.lexis.com/api/document?collection=cases-ca&amp;id=urn:contentItem:5F7T-S6S1-DXHD-G0S7-00000-00&amp;context=" TargetMode="External" /><Relationship Id="rId263" Type="http://schemas.openxmlformats.org/officeDocument/2006/relationships/header" Target="header31.xml" /><Relationship Id="rId264" Type="http://schemas.openxmlformats.org/officeDocument/2006/relationships/header" Target="header32.xml" /><Relationship Id="rId265" Type="http://schemas.openxmlformats.org/officeDocument/2006/relationships/footer" Target="footer31.xml" /><Relationship Id="rId266" Type="http://schemas.openxmlformats.org/officeDocument/2006/relationships/footer" Target="footer32.xml" /><Relationship Id="rId267" Type="http://schemas.openxmlformats.org/officeDocument/2006/relationships/header" Target="header33.xml" /><Relationship Id="rId268" Type="http://schemas.openxmlformats.org/officeDocument/2006/relationships/footer" Target="footer33.xml" /><Relationship Id="rId269" Type="http://schemas.openxmlformats.org/officeDocument/2006/relationships/hyperlink" Target="https://advance.lexis.com/api/document?collection=cases-ca&amp;id=urn:contentItem:5F7T-S771-JWBS-61VY-00000-00&amp;context=" TargetMode="External" /><Relationship Id="rId27" Type="http://schemas.openxmlformats.org/officeDocument/2006/relationships/footer" Target="footer6.xml" /><Relationship Id="rId270" Type="http://schemas.openxmlformats.org/officeDocument/2006/relationships/hyperlink" Target="https://advance.lexis.com/api/document?collection=cases-ca&amp;id=urn:contentItem:5F7T-S721-FG12-61KR-00000-00&amp;context=" TargetMode="External" /><Relationship Id="rId271" Type="http://schemas.openxmlformats.org/officeDocument/2006/relationships/hyperlink" Target="https://advance.lexis.com/api/document?collection=cases-ca&amp;id=urn:contentItem:5F8P-SD51-JS0R-24VC-00000-00&amp;context=" TargetMode="External" /><Relationship Id="rId272" Type="http://schemas.openxmlformats.org/officeDocument/2006/relationships/hyperlink" Target="https://advance.lexis.com/api/document?collection=cases-ca&amp;id=urn:contentItem:5F8P-SD01-FGJR-24W2-00000-00&amp;context=" TargetMode="External" /><Relationship Id="rId273" Type="http://schemas.openxmlformats.org/officeDocument/2006/relationships/hyperlink" Target="https://advance.lexis.com/api/document?collection=cases-ca&amp;id=urn:contentItem:5F81-VJX1-F5KY-B411-00000-00&amp;context=" TargetMode="External" /><Relationship Id="rId274" Type="http://schemas.openxmlformats.org/officeDocument/2006/relationships/hyperlink" Target="https://advance.lexis.com/api/document?collection=cases-ca&amp;id=urn:contentItem:5F8P-SCR1-JB2B-S55S-00000-00&amp;context=" TargetMode="External" /><Relationship Id="rId275" Type="http://schemas.openxmlformats.org/officeDocument/2006/relationships/hyperlink" Target="https://advance.lexis.com/api/document?collection=cases-ca&amp;id=urn:contentItem:5F7T-S701-F8KH-X18G-00000-00&amp;context=" TargetMode="External" /><Relationship Id="rId276" Type="http://schemas.openxmlformats.org/officeDocument/2006/relationships/hyperlink" Target="https://advance.lexis.com/api/document?collection=cases-ca&amp;id=urn:contentItem:5F7T-S701-JGPY-X1H5-00000-00&amp;context=" TargetMode="External" /><Relationship Id="rId277" Type="http://schemas.openxmlformats.org/officeDocument/2006/relationships/header" Target="header34.xml" /><Relationship Id="rId278" Type="http://schemas.openxmlformats.org/officeDocument/2006/relationships/header" Target="header35.xml" /><Relationship Id="rId279" Type="http://schemas.openxmlformats.org/officeDocument/2006/relationships/footer" Target="footer34.xml" /><Relationship Id="rId28" Type="http://schemas.openxmlformats.org/officeDocument/2006/relationships/hyperlink" Target="https://advance.lexis.com/api/document?collection=cases-ca&amp;id=urn:contentItem:5F7T-S7P1-JG02-S4C1-00000-00&amp;context=" TargetMode="External" /><Relationship Id="rId280" Type="http://schemas.openxmlformats.org/officeDocument/2006/relationships/footer" Target="footer35.xml" /><Relationship Id="rId281" Type="http://schemas.openxmlformats.org/officeDocument/2006/relationships/header" Target="header36.xml" /><Relationship Id="rId282" Type="http://schemas.openxmlformats.org/officeDocument/2006/relationships/footer" Target="footer36.xml" /><Relationship Id="rId283" Type="http://schemas.openxmlformats.org/officeDocument/2006/relationships/hyperlink" Target="https://advance.lexis.com/api/document?collection=cases-ca&amp;id=urn:contentItem:5F7T-S7F1-JK4W-M1M3-00000-00&amp;context=" TargetMode="External" /><Relationship Id="rId284" Type="http://schemas.openxmlformats.org/officeDocument/2006/relationships/hyperlink" Target="https://advance.lexis.com/api/document?collection=legislation-ca&amp;id=urn:contentItem:5F41-1FG1-JJYN-B0DY-00000-00&amp;context=" TargetMode="External" /><Relationship Id="rId285" Type="http://schemas.openxmlformats.org/officeDocument/2006/relationships/hyperlink" Target="https://advance.lexis.com/api/document?collection=cases-ca&amp;id=urn:contentItem:5F7T-S711-JG02-S1KV-00000-00&amp;context=" TargetMode="External" /><Relationship Id="rId286" Type="http://schemas.openxmlformats.org/officeDocument/2006/relationships/hyperlink" Target="https://advance.lexis.com/api/document?collection=cases-ca&amp;id=urn:contentItem:5F7T-S781-FH4C-X2MK-00000-00&amp;context=" TargetMode="External" /><Relationship Id="rId287" Type="http://schemas.openxmlformats.org/officeDocument/2006/relationships/header" Target="header37.xml" /><Relationship Id="rId288" Type="http://schemas.openxmlformats.org/officeDocument/2006/relationships/header" Target="header38.xml" /><Relationship Id="rId289" Type="http://schemas.openxmlformats.org/officeDocument/2006/relationships/footer" Target="footer37.xml" /><Relationship Id="rId29" Type="http://schemas.openxmlformats.org/officeDocument/2006/relationships/hyperlink" Target="https://advance.lexis.com/api/document?collection=cases-ca&amp;id=urn:contentItem:5F7T-S7M1-JNCK-22JP-00000-00&amp;context=" TargetMode="External" /><Relationship Id="rId290" Type="http://schemas.openxmlformats.org/officeDocument/2006/relationships/footer" Target="footer38.xml" /><Relationship Id="rId291" Type="http://schemas.openxmlformats.org/officeDocument/2006/relationships/header" Target="header39.xml" /><Relationship Id="rId292" Type="http://schemas.openxmlformats.org/officeDocument/2006/relationships/footer" Target="footer39.xml" /><Relationship Id="rId293" Type="http://schemas.openxmlformats.org/officeDocument/2006/relationships/hyperlink" Target="https://advance.lexis.com/api/document?collection=cases-ca&amp;id=urn:contentItem:5F7T-S7D1-FC6N-X0WY-00000-00&amp;context=" TargetMode="External" /><Relationship Id="rId294" Type="http://schemas.openxmlformats.org/officeDocument/2006/relationships/hyperlink" Target="https://advance.lexis.com/api/document?collection=cases-ca&amp;id=urn:contentItem:5F7T-S7C1-F30T-B22M-00000-00&amp;context=" TargetMode="External" /><Relationship Id="rId295" Type="http://schemas.openxmlformats.org/officeDocument/2006/relationships/hyperlink" Target="https://advance.lexis.com/api/document?collection=cases-ca&amp;id=urn:contentItem:5F7T-S781-DYMS-61D4-00000-00&amp;context=" TargetMode="External" /><Relationship Id="rId296" Type="http://schemas.openxmlformats.org/officeDocument/2006/relationships/hyperlink" Target="https://advance.lexis.com/api/document?collection=cases-ca&amp;id=urn:contentItem:5F7T-S7D1-JN6B-S0X4-00000-00&amp;context=" TargetMode="External" /><Relationship Id="rId297" Type="http://schemas.openxmlformats.org/officeDocument/2006/relationships/hyperlink" Target="https://advance.lexis.com/api/document?collection=cases-ca&amp;id=urn:contentItem:5F7T-S791-FJTD-G2H9-00000-00&amp;context=" TargetMode="External" /><Relationship Id="rId298" Type="http://schemas.openxmlformats.org/officeDocument/2006/relationships/hyperlink" Target="https://advance.lexis.com/api/document?collection=cases-ca&amp;id=urn:contentItem:5F7T-S781-F27X-61G1-00000-00&amp;context=" TargetMode="External" /><Relationship Id="rId299" Type="http://schemas.openxmlformats.org/officeDocument/2006/relationships/hyperlink" Target="https://advance.lexis.com/api/document?collection=cases-ca&amp;id=urn:contentItem:5F7T-S7D1-F7ND-G0GC-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71-JN14-G2DF-00000-00&amp;context=" TargetMode="External" /><Relationship Id="rId300" Type="http://schemas.openxmlformats.org/officeDocument/2006/relationships/hyperlink" Target="https://advance.lexis.com/api/document?collection=cases-ca&amp;id=urn:contentItem:5F7T-S771-JJD0-G1H2-00000-00&amp;context=" TargetMode="External" /><Relationship Id="rId301" Type="http://schemas.openxmlformats.org/officeDocument/2006/relationships/hyperlink" Target="https://advance.lexis.com/api/document?collection=cases-ca&amp;id=urn:contentItem:5F7T-S7C1-F7VM-S3MP-00000-00&amp;context=" TargetMode="External" /><Relationship Id="rId302" Type="http://schemas.openxmlformats.org/officeDocument/2006/relationships/hyperlink" Target="https://advance.lexis.com/api/document?collection=cases-ca&amp;id=urn:contentItem:5F7T-S7D1-FCSB-S2NJ-00000-00&amp;context=" TargetMode="External" /><Relationship Id="rId303" Type="http://schemas.openxmlformats.org/officeDocument/2006/relationships/hyperlink" Target="https://advance.lexis.com/api/document?collection=cases-ca&amp;id=urn:contentItem:5F7T-S7D1-F7ND-G0MH-00000-00&amp;context=" TargetMode="External" /><Relationship Id="rId304" Type="http://schemas.openxmlformats.org/officeDocument/2006/relationships/header" Target="header40.xml" /><Relationship Id="rId305" Type="http://schemas.openxmlformats.org/officeDocument/2006/relationships/header" Target="header41.xml" /><Relationship Id="rId306" Type="http://schemas.openxmlformats.org/officeDocument/2006/relationships/footer" Target="footer40.xml" /><Relationship Id="rId307" Type="http://schemas.openxmlformats.org/officeDocument/2006/relationships/footer" Target="footer41.xml" /><Relationship Id="rId308" Type="http://schemas.openxmlformats.org/officeDocument/2006/relationships/header" Target="header42.xml" /><Relationship Id="rId309" Type="http://schemas.openxmlformats.org/officeDocument/2006/relationships/footer" Target="footer42.xml" /><Relationship Id="rId31" Type="http://schemas.openxmlformats.org/officeDocument/2006/relationships/hyperlink" Target="https://advance.lexis.com/api/document?collection=cases-ca&amp;id=urn:contentItem:5F7T-S7K1-F1H1-22DB-00000-00&amp;context=" TargetMode="External" /><Relationship Id="rId310" Type="http://schemas.openxmlformats.org/officeDocument/2006/relationships/hyperlink" Target="https://advance.lexis.com/api/document?collection=cases-ca&amp;id=urn:contentItem:5F7T-S771-F81W-22B3-00000-00&amp;context=" TargetMode="External" /><Relationship Id="rId311" Type="http://schemas.openxmlformats.org/officeDocument/2006/relationships/hyperlink" Target="https://advance.lexis.com/api/document?collection=cases-ca&amp;id=urn:contentItem:5F7T-S731-F1WF-M2DW-00000-00&amp;context=" TargetMode="External" /><Relationship Id="rId312" Type="http://schemas.openxmlformats.org/officeDocument/2006/relationships/hyperlink" Target="https://advance.lexis.com/api/document?collection=cases-ca&amp;id=urn:contentItem:5F7T-S711-JG02-S1NR-00000-00&amp;context=" TargetMode="External" /><Relationship Id="rId313" Type="http://schemas.openxmlformats.org/officeDocument/2006/relationships/hyperlink" Target="https://advance.lexis.com/api/document?collection=cases-ca&amp;id=urn:contentItem:5F7T-S731-DY33-B16W-00000-00&amp;context=" TargetMode="External" /><Relationship Id="rId314" Type="http://schemas.openxmlformats.org/officeDocument/2006/relationships/hyperlink" Target="https://advance.lexis.com/api/document?collection=cases-ca&amp;id=urn:contentItem:5F7T-S741-F2F4-G2F0-00000-00&amp;context=" TargetMode="External" /><Relationship Id="rId315" Type="http://schemas.openxmlformats.org/officeDocument/2006/relationships/hyperlink" Target="https://advance.lexis.com/api/document?collection=cases-ca&amp;id=urn:contentItem:5F7T-S6T1-FJTD-G1PC-00000-00&amp;context=" TargetMode="External" /><Relationship Id="rId316" Type="http://schemas.openxmlformats.org/officeDocument/2006/relationships/hyperlink" Target="https://advance.lexis.com/api/document?collection=cases-ca&amp;id=urn:contentItem:5F7T-S6X1-F7G6-623M-00000-00&amp;context=" TargetMode="External" /><Relationship Id="rId317" Type="http://schemas.openxmlformats.org/officeDocument/2006/relationships/hyperlink" Target="https://advance.lexis.com/api/document?collection=cases-ca&amp;id=urn:contentItem:5F7T-S711-JB2B-S17T-00000-00&amp;context=" TargetMode="External" /><Relationship Id="rId318" Type="http://schemas.openxmlformats.org/officeDocument/2006/relationships/hyperlink" Target="https://advance.lexis.com/api/document?collection=cases-ca&amp;id=urn:contentItem:5F7T-S771-FG68-G0W8-00000-00&amp;context=" TargetMode="External" /><Relationship Id="rId319" Type="http://schemas.openxmlformats.org/officeDocument/2006/relationships/hyperlink" Target="https://advance.lexis.com/api/document?collection=cases-ca&amp;id=urn:contentItem:5F7T-S6T1-JP9P-G13Y-00000-00&amp;context=" TargetMode="External" /><Relationship Id="rId32" Type="http://schemas.openxmlformats.org/officeDocument/2006/relationships/hyperlink" Target="https://advance.lexis.com/api/document?collection=cases-ca&amp;id=urn:contentItem:5F7T-S7D1-FFFC-B12C-00000-00&amp;context=" TargetMode="External" /><Relationship Id="rId320" Type="http://schemas.openxmlformats.org/officeDocument/2006/relationships/header" Target="header43.xml" /><Relationship Id="rId321" Type="http://schemas.openxmlformats.org/officeDocument/2006/relationships/header" Target="header44.xml" /><Relationship Id="rId322" Type="http://schemas.openxmlformats.org/officeDocument/2006/relationships/footer" Target="footer43.xml" /><Relationship Id="rId323" Type="http://schemas.openxmlformats.org/officeDocument/2006/relationships/footer" Target="footer44.xml" /><Relationship Id="rId324" Type="http://schemas.openxmlformats.org/officeDocument/2006/relationships/header" Target="header45.xml" /><Relationship Id="rId325" Type="http://schemas.openxmlformats.org/officeDocument/2006/relationships/footer" Target="footer45.xml" /><Relationship Id="rId326" Type="http://schemas.openxmlformats.org/officeDocument/2006/relationships/hyperlink" Target="https://advance.lexis.com/api/document?collection=cases-ca&amp;id=urn:contentItem:5TW9-5481-JF75-M363-00000-00&amp;context=" TargetMode="External" /><Relationship Id="rId327" Type="http://schemas.openxmlformats.org/officeDocument/2006/relationships/hyperlink" Target="https://advance.lexis.com/api/document?collection=legislation-ca&amp;id=urn:contentItem:5F3B-BD51-JB7K-20Y0-00000-00&amp;context=" TargetMode="External" /><Relationship Id="rId328" Type="http://schemas.openxmlformats.org/officeDocument/2006/relationships/hyperlink" Target="https://advance.lexis.com/api/document?collection=legislation-ca&amp;id=urn:contentItem:5F41-1FK1-FJM6-616Y-00000-00&amp;context=" TargetMode="External" /><Relationship Id="rId329" Type="http://schemas.openxmlformats.org/officeDocument/2006/relationships/hyperlink" Target="https://advance.lexis.com/api/document?collection=legislation-ca&amp;id=urn:contentItem:5F41-1FN1-JSXV-G1W8-00000-00&amp;context=" TargetMode="External" /><Relationship Id="rId33" Type="http://schemas.openxmlformats.org/officeDocument/2006/relationships/hyperlink" Target="https://advance.lexis.com/api/document?collection=cases-ca&amp;id=urn:contentItem:5F7T-S771-JWBS-61WX-00000-00&amp;context=" TargetMode="External" /><Relationship Id="rId330" Type="http://schemas.openxmlformats.org/officeDocument/2006/relationships/hyperlink" Target="https://advance.lexis.com/api/document?collection=cases-ca&amp;id=urn:contentItem:5RXP-NCC1-JT42-S4WX-00000-00&amp;context=" TargetMode="External" /><Relationship Id="rId331" Type="http://schemas.openxmlformats.org/officeDocument/2006/relationships/hyperlink" Target="https://advance.lexis.com/api/document?collection=cases-ca&amp;id=urn:contentItem:5F8T-N3T1-JGHR-M22V-00000-00&amp;context=" TargetMode="External" /><Relationship Id="rId332" Type="http://schemas.openxmlformats.org/officeDocument/2006/relationships/hyperlink" Target="https://advance.lexis.com/api/document?collection=cases-ca&amp;id=urn:contentItem:5F8T-N3V1-JF75-M3GD-00000-00&amp;context=" TargetMode="External" /><Relationship Id="rId333" Type="http://schemas.openxmlformats.org/officeDocument/2006/relationships/hyperlink" Target="https://advance.lexis.com/api/document?collection=cases-ca&amp;id=urn:contentItem:5F8T-N3V1-FC1F-M4CM-00000-00&amp;context=" TargetMode="External" /><Relationship Id="rId334" Type="http://schemas.openxmlformats.org/officeDocument/2006/relationships/hyperlink" Target="https://advance.lexis.com/api/document?collection=cases-ca&amp;id=urn:contentItem:5F8T-N3V1-JTGH-B1FD-00000-00&amp;context=" TargetMode="External" /><Relationship Id="rId335" Type="http://schemas.openxmlformats.org/officeDocument/2006/relationships/hyperlink" Target="https://advance.lexis.com/api/document?collection=cases-ca&amp;id=urn:contentItem:5F7T-S7J1-JYYX-62GB-00000-00&amp;context=" TargetMode="External" /><Relationship Id="rId336" Type="http://schemas.openxmlformats.org/officeDocument/2006/relationships/hyperlink" Target="https://advance.lexis.com/api/document?collection=cases-ca&amp;id=urn:contentItem:5JG1-HSD1-F5T5-M0TD-00000-00&amp;context=" TargetMode="External" /><Relationship Id="rId337" Type="http://schemas.openxmlformats.org/officeDocument/2006/relationships/hyperlink" Target="https://advance.lexis.com/api/document?collection=legislation-ca&amp;id=urn:contentItem:5VYK-W9V1-F1WF-M09J-00000-00&amp;context=" TargetMode="External" /><Relationship Id="rId338" Type="http://schemas.openxmlformats.org/officeDocument/2006/relationships/hyperlink" Target="https://advance.lexis.com/api/document?collection=cases-ca&amp;id=urn:contentItem:5F8T-N3V1-JTGH-B1BF-00000-00&amp;context=" TargetMode="External" /><Relationship Id="rId339" Type="http://schemas.openxmlformats.org/officeDocument/2006/relationships/hyperlink" Target="https://advance.lexis.com/api/document?collection=cases-ca&amp;id=urn:contentItem:5GCC-XVB1-JSXV-G02B-00000-00&amp;context=" TargetMode="External" /><Relationship Id="rId34" Type="http://schemas.openxmlformats.org/officeDocument/2006/relationships/hyperlink" Target="https://advance.lexis.com/api/document?collection=cases-ca&amp;id=urn:contentItem:5F16-93C1-F65M-60SG-00000-00&amp;context=" TargetMode="External" /><Relationship Id="rId340" Type="http://schemas.openxmlformats.org/officeDocument/2006/relationships/hyperlink" Target="https://advance.lexis.com/api/document?collection=cases-ca&amp;id=urn:contentItem:5F7T-S751-JNS1-M1KD-00000-00&amp;context=" TargetMode="External" /><Relationship Id="rId341" Type="http://schemas.openxmlformats.org/officeDocument/2006/relationships/hyperlink" Target="https://advance.lexis.com/api/document?collection=cases-ca&amp;id=urn:contentItem:5J70-PKM1-JPGX-S3X1-00000-00&amp;context=" TargetMode="External" /><Relationship Id="rId342" Type="http://schemas.openxmlformats.org/officeDocument/2006/relationships/hyperlink" Target="https://advance.lexis.com/api/document?collection=cases-ca&amp;id=urn:contentItem:5GC0-VTM1-JN14-G1G4-00000-00&amp;context=" TargetMode="External" /><Relationship Id="rId343" Type="http://schemas.openxmlformats.org/officeDocument/2006/relationships/hyperlink" Target="https://advance.lexis.com/api/document?collection=cases-ca&amp;id=urn:contentItem:5RYS-K5V1-FD4T-B458-00000-00&amp;context=" TargetMode="External" /><Relationship Id="rId344" Type="http://schemas.openxmlformats.org/officeDocument/2006/relationships/hyperlink" Target="https://advance.lexis.com/api/document?collection=cases-ca&amp;id=urn:contentItem:5F7T-S7G1-JNY7-X3TG-00000-00&amp;context=" TargetMode="External" /><Relationship Id="rId345" Type="http://schemas.openxmlformats.org/officeDocument/2006/relationships/hyperlink" Target="https://advance.lexis.com/api/document?collection=cases-ca&amp;id=urn:contentItem:5F7T-S7K1-DY33-B1KH-00000-00&amp;context=" TargetMode="External" /><Relationship Id="rId346" Type="http://schemas.openxmlformats.org/officeDocument/2006/relationships/hyperlink" Target="https://advance.lexis.com/api/document?collection=cases-ca&amp;id=urn:contentItem:5F8P-SDN1-FC6N-X4V0-00000-00&amp;context=" TargetMode="External" /><Relationship Id="rId347" Type="http://schemas.openxmlformats.org/officeDocument/2006/relationships/hyperlink" Target="https://advance.lexis.com/api/document?collection=cases-ca&amp;id=urn:contentItem:5M1Y-F741-JWJ0-G2V9-00000-00&amp;context=" TargetMode="External" /><Relationship Id="rId348" Type="http://schemas.openxmlformats.org/officeDocument/2006/relationships/hyperlink" Target="https://advance.lexis.com/api/document?collection=cases-ca&amp;id=urn:contentItem:5F81-VJX1-JJYN-B4WD-00000-00&amp;context=" TargetMode="External" /><Relationship Id="rId349" Type="http://schemas.openxmlformats.org/officeDocument/2006/relationships/hyperlink" Target="https://advance.lexis.com/api/document?collection=cases-ca&amp;id=urn:contentItem:5F8P-SDC1-F1H1-20J5-00000-00&amp;context=" TargetMode="External" /><Relationship Id="rId35" Type="http://schemas.openxmlformats.org/officeDocument/2006/relationships/hyperlink" Target="https://advance.lexis.com/api/document?collection=cases-ca&amp;id=urn:contentItem:5F8T-N3V1-FC1F-M3W9-00000-00&amp;context=" TargetMode="External" /><Relationship Id="rId350" Type="http://schemas.openxmlformats.org/officeDocument/2006/relationships/hyperlink" Target="https://advance.lexis.com/api/document?collection=cases-ca&amp;id=urn:contentItem:5F82-1SF1-K054-G4B6-00000-00&amp;context=" TargetMode="External" /><Relationship Id="rId351" Type="http://schemas.openxmlformats.org/officeDocument/2006/relationships/hyperlink" Target="https://advance.lexis.com/api/document?collection=cases-ca&amp;id=urn:contentItem:5F8T-N3V1-JF75-M3W6-00000-00&amp;context=" TargetMode="External" /><Relationship Id="rId352" Type="http://schemas.openxmlformats.org/officeDocument/2006/relationships/hyperlink" Target="https://advance.lexis.com/api/document?collection=cases-ca&amp;id=urn:contentItem:5F8T-N3T1-JJSF-23DC-00000-00&amp;context=" TargetMode="External" /><Relationship Id="rId353" Type="http://schemas.openxmlformats.org/officeDocument/2006/relationships/hyperlink" Target="https://advance.lexis.com/api/document?collection=cases-ca&amp;id=urn:contentItem:5F8T-N3T1-JJSF-23DD-00000-00&amp;context=" TargetMode="External" /><Relationship Id="rId354" Type="http://schemas.openxmlformats.org/officeDocument/2006/relationships/hyperlink" Target="https://advance.lexis.com/api/document?collection=cases-ca&amp;id=urn:contentItem:5F8T-N3T1-JJSF-23D7-00000-00&amp;context=" TargetMode="External" /><Relationship Id="rId355" Type="http://schemas.openxmlformats.org/officeDocument/2006/relationships/hyperlink" Target="https://advance.lexis.com/api/document?collection=cases-ca&amp;id=urn:contentItem:5F81-VJX1-FCK4-G1F3-00000-00&amp;context=" TargetMode="External" /><Relationship Id="rId356" Type="http://schemas.openxmlformats.org/officeDocument/2006/relationships/hyperlink" Target="https://advance.lexis.com/api/document?collection=cases-ca&amp;id=urn:contentItem:5F81-VJX1-FCK4-G1NS-00000-00&amp;context=" TargetMode="External" /><Relationship Id="rId357" Type="http://schemas.openxmlformats.org/officeDocument/2006/relationships/hyperlink" Target="https://advance.lexis.com/api/document?collection=cases-ca&amp;id=urn:contentItem:5F81-VJX1-FCK4-G1RB-00000-00&amp;context=" TargetMode="External" /><Relationship Id="rId358" Type="http://schemas.openxmlformats.org/officeDocument/2006/relationships/hyperlink" Target="https://advance.lexis.com/api/document?collection=cases-ca&amp;id=urn:contentItem:5F81-VJY1-JWBS-64F8-00000-00&amp;context=" TargetMode="External" /><Relationship Id="rId359" Type="http://schemas.openxmlformats.org/officeDocument/2006/relationships/hyperlink" Target="https://advance.lexis.com/api/document?collection=cases-ca&amp;id=urn:contentItem:5F7T-S7G1-JNY7-X3Y5-00000-00&amp;context=" TargetMode="External" /><Relationship Id="rId36" Type="http://schemas.openxmlformats.org/officeDocument/2006/relationships/hyperlink" Target="https://advance.lexis.com/api/document?collection=cases-ca&amp;id=urn:contentItem:5F8T-N3V1-JF75-M3B2-00000-00&amp;context=" TargetMode="External" /><Relationship Id="rId360" Type="http://schemas.openxmlformats.org/officeDocument/2006/relationships/hyperlink" Target="https://advance.lexis.com/api/document?collection=cases-ca&amp;id=urn:contentItem:5F7T-S771-JSJC-X00V-00000-00&amp;context=" TargetMode="External" /><Relationship Id="rId361" Type="http://schemas.openxmlformats.org/officeDocument/2006/relationships/hyperlink" Target="https://advance.lexis.com/api/document?collection=cases-ca&amp;id=urn:contentItem:5F8T-N3V1-FC1F-M40F-00000-00&amp;context=" TargetMode="External" /><Relationship Id="rId362" Type="http://schemas.openxmlformats.org/officeDocument/2006/relationships/hyperlink" Target="https://advance.lexis.com/api/document?collection=cases-ca&amp;id=urn:contentItem:5F8T-N3V1-JTGH-B194-00000-00&amp;context=" TargetMode="External" /><Relationship Id="rId363" Type="http://schemas.openxmlformats.org/officeDocument/2006/relationships/hyperlink" Target="https://advance.lexis.com/api/document?collection=cases-ca&amp;id=urn:contentItem:5F81-VJY1-JPGX-S51J-00000-00&amp;context=" TargetMode="External" /><Relationship Id="rId364" Type="http://schemas.openxmlformats.org/officeDocument/2006/relationships/hyperlink" Target="https://advance.lexis.com/api/document?collection=cases-ca&amp;id=urn:contentItem:5GC3-4KH1-JG02-S45T-00000-00&amp;context=" TargetMode="External" /><Relationship Id="rId365" Type="http://schemas.openxmlformats.org/officeDocument/2006/relationships/hyperlink" Target="https://advance.lexis.com/api/document?collection=cases-ca&amp;id=urn:contentItem:5F8T-N3V1-FH4C-X21K-00000-00&amp;context=" TargetMode="External" /><Relationship Id="rId366" Type="http://schemas.openxmlformats.org/officeDocument/2006/relationships/header" Target="header46.xml" /><Relationship Id="rId367" Type="http://schemas.openxmlformats.org/officeDocument/2006/relationships/header" Target="header47.xml" /><Relationship Id="rId368" Type="http://schemas.openxmlformats.org/officeDocument/2006/relationships/footer" Target="footer46.xml" /><Relationship Id="rId369" Type="http://schemas.openxmlformats.org/officeDocument/2006/relationships/footer" Target="footer47.xml" /><Relationship Id="rId37" Type="http://schemas.openxmlformats.org/officeDocument/2006/relationships/hyperlink" Target="https://advance.lexis.com/api/document?collection=cases-ca&amp;id=urn:contentItem:5F8T-N3V1-FC1F-M3W8-00000-00&amp;context=" TargetMode="External" /><Relationship Id="rId370" Type="http://schemas.openxmlformats.org/officeDocument/2006/relationships/header" Target="header48.xml" /><Relationship Id="rId371" Type="http://schemas.openxmlformats.org/officeDocument/2006/relationships/footer" Target="footer48.xml" /><Relationship Id="rId372" Type="http://schemas.openxmlformats.org/officeDocument/2006/relationships/hyperlink" Target="https://advance.lexis.com/api/document?collection=cases-ca&amp;id=urn:contentItem:5F7T-S771-JSJC-X0GW-00000-00&amp;context=" TargetMode="External" /><Relationship Id="rId373" Type="http://schemas.openxmlformats.org/officeDocument/2006/relationships/hyperlink" Target="https://advance.lexis.com/api/document?collection=cases-ca&amp;id=urn:contentItem:5F7T-S771-JW5H-X1PN-00000-00&amp;context=" TargetMode="External" /><Relationship Id="rId374" Type="http://schemas.openxmlformats.org/officeDocument/2006/relationships/hyperlink" Target="https://advance.lexis.com/api/document?collection=cases-ca&amp;id=urn:contentItem:5F7T-S731-JC0G-63HG-00000-00&amp;context=" TargetMode="External" /><Relationship Id="rId375" Type="http://schemas.openxmlformats.org/officeDocument/2006/relationships/hyperlink" Target="https://advance.lexis.com/api/document?collection=cases-ca&amp;id=urn:contentItem:5F7T-S731-DY33-B0PM-00000-00&amp;context=" TargetMode="External" /><Relationship Id="rId376" Type="http://schemas.openxmlformats.org/officeDocument/2006/relationships/hyperlink" Target="https://advance.lexis.com/api/document?collection=cases-ca&amp;id=urn:contentItem:5F7T-S751-JG02-S26M-00000-00&amp;context=" TargetMode="External" /><Relationship Id="rId377" Type="http://schemas.openxmlformats.org/officeDocument/2006/relationships/hyperlink" Target="https://advance.lexis.com/api/document?collection=cases-ca&amp;id=urn:contentItem:5F81-VJV1-JK4W-M4WP-00000-00&amp;context=" TargetMode="External" /><Relationship Id="rId378" Type="http://schemas.openxmlformats.org/officeDocument/2006/relationships/hyperlink" Target="https://advance.lexis.com/api/document?collection=cases-ca&amp;id=urn:contentItem:5F7T-S751-JX3N-B182-00000-00&amp;context=" TargetMode="External" /><Relationship Id="rId379" Type="http://schemas.openxmlformats.org/officeDocument/2006/relationships/hyperlink" Target="https://advance.lexis.com/api/document?collection=cases-ca&amp;id=urn:contentItem:5F7T-S771-JW5H-X22S-00000-00&amp;context=" TargetMode="External" /><Relationship Id="rId38" Type="http://schemas.openxmlformats.org/officeDocument/2006/relationships/header" Target="header7.xml" /><Relationship Id="rId380" Type="http://schemas.openxmlformats.org/officeDocument/2006/relationships/header" Target="header49.xml" /><Relationship Id="rId381" Type="http://schemas.openxmlformats.org/officeDocument/2006/relationships/header" Target="header50.xml" /><Relationship Id="rId382" Type="http://schemas.openxmlformats.org/officeDocument/2006/relationships/footer" Target="footer49.xml" /><Relationship Id="rId383" Type="http://schemas.openxmlformats.org/officeDocument/2006/relationships/footer" Target="footer50.xml" /><Relationship Id="rId384" Type="http://schemas.openxmlformats.org/officeDocument/2006/relationships/header" Target="header51.xml" /><Relationship Id="rId385" Type="http://schemas.openxmlformats.org/officeDocument/2006/relationships/footer" Target="footer51.xml" /><Relationship Id="rId386" Type="http://schemas.openxmlformats.org/officeDocument/2006/relationships/hyperlink" Target="https://advance.lexis.com/api/document?collection=cases-ca&amp;id=urn:contentItem:5GCC-XVB1-JGHR-M4DH-00000-00&amp;context=" TargetMode="External" /><Relationship Id="rId387" Type="http://schemas.openxmlformats.org/officeDocument/2006/relationships/hyperlink" Target="https://advance.lexis.com/api/document?collection=legislation-ca&amp;id=urn:contentItem:5F41-1FG1-FC1F-M0SS-00000-00&amp;context=" TargetMode="External" /><Relationship Id="rId388" Type="http://schemas.openxmlformats.org/officeDocument/2006/relationships/hyperlink" Target="https://advance.lexis.com/api/document?collection=cases-ca&amp;id=urn:contentItem:5F7T-S7M1-JJK6-S21G-00000-00&amp;context=" TargetMode="External" /><Relationship Id="rId389" Type="http://schemas.openxmlformats.org/officeDocument/2006/relationships/hyperlink" Target="https://advance.lexis.com/api/document?collection=cases-ca&amp;id=urn:contentItem:5F7T-S7N1-JWR6-S276-00000-00&amp;context=" TargetMode="External" /><Relationship Id="rId39" Type="http://schemas.openxmlformats.org/officeDocument/2006/relationships/header" Target="header8.xml" /><Relationship Id="rId390" Type="http://schemas.openxmlformats.org/officeDocument/2006/relationships/hyperlink" Target="https://advance.lexis.com/api/document?collection=cases-ca&amp;id=urn:contentItem:5F7T-S7N1-F06F-24NM-00000-00&amp;context=" TargetMode="External" /><Relationship Id="rId391" Type="http://schemas.openxmlformats.org/officeDocument/2006/relationships/hyperlink" Target="https://advance.lexis.com/api/document?collection=cases-ca&amp;id=urn:contentItem:5F7T-S721-JSC5-M3N7-00000-00&amp;context=" TargetMode="External" /><Relationship Id="rId392" Type="http://schemas.openxmlformats.org/officeDocument/2006/relationships/header" Target="header52.xml" /><Relationship Id="rId393" Type="http://schemas.openxmlformats.org/officeDocument/2006/relationships/header" Target="header53.xml" /><Relationship Id="rId394" Type="http://schemas.openxmlformats.org/officeDocument/2006/relationships/footer" Target="footer52.xml" /><Relationship Id="rId395" Type="http://schemas.openxmlformats.org/officeDocument/2006/relationships/footer" Target="footer53.xml" /><Relationship Id="rId396" Type="http://schemas.openxmlformats.org/officeDocument/2006/relationships/header" Target="header54.xml" /><Relationship Id="rId397" Type="http://schemas.openxmlformats.org/officeDocument/2006/relationships/footer" Target="footer54.xml" /><Relationship Id="rId398" Type="http://schemas.openxmlformats.org/officeDocument/2006/relationships/hyperlink" Target="https://advance.lexis.com/api/document?collection=cases-ca&amp;id=urn:contentItem:5F7T-S7J1-JNS1-M22N-00000-00&amp;context=" TargetMode="External" /><Relationship Id="rId399" Type="http://schemas.openxmlformats.org/officeDocument/2006/relationships/hyperlink" Target="https://advance.lexis.com/api/document?collection=cases-ca&amp;id=urn:contentItem:5F8T-N3V1-JTGH-B1CN-00000-00&amp;context=" TargetMode="External" /><Relationship Id="rId4" Type="http://schemas.openxmlformats.org/officeDocument/2006/relationships/header" Target="header1.xml" /><Relationship Id="rId40" Type="http://schemas.openxmlformats.org/officeDocument/2006/relationships/footer" Target="footer7.xml" /><Relationship Id="rId400" Type="http://schemas.openxmlformats.org/officeDocument/2006/relationships/hyperlink" Target="https://advance.lexis.com/api/document?collection=cases-ca&amp;id=urn:contentItem:5F8T-N3V1-JTGH-B1C0-00000-00&amp;context=" TargetMode="External" /><Relationship Id="rId401" Type="http://schemas.openxmlformats.org/officeDocument/2006/relationships/header" Target="header55.xml" /><Relationship Id="rId402" Type="http://schemas.openxmlformats.org/officeDocument/2006/relationships/header" Target="header56.xml" /><Relationship Id="rId403" Type="http://schemas.openxmlformats.org/officeDocument/2006/relationships/footer" Target="footer55.xml" /><Relationship Id="rId404" Type="http://schemas.openxmlformats.org/officeDocument/2006/relationships/footer" Target="footer56.xml" /><Relationship Id="rId405" Type="http://schemas.openxmlformats.org/officeDocument/2006/relationships/header" Target="header57.xml" /><Relationship Id="rId406" Type="http://schemas.openxmlformats.org/officeDocument/2006/relationships/footer" Target="footer57.xml" /><Relationship Id="rId407" Type="http://schemas.openxmlformats.org/officeDocument/2006/relationships/hyperlink" Target="https://advance.lexis.com/api/document?collection=cases-ca&amp;id=urn:contentItem:5F7T-S771-F81W-22F4-00000-00&amp;context=" TargetMode="External" /><Relationship Id="rId408" Type="http://schemas.openxmlformats.org/officeDocument/2006/relationships/hyperlink" Target="https://advance.lexis.com/api/document?collection=cases-ca&amp;id=urn:contentItem:5F8T-N3V1-JFKM-609G-00000-00&amp;context=" TargetMode="External" /><Relationship Id="rId409" Type="http://schemas.openxmlformats.org/officeDocument/2006/relationships/header" Target="header58.xml" /><Relationship Id="rId41" Type="http://schemas.openxmlformats.org/officeDocument/2006/relationships/footer" Target="footer8.xml" /><Relationship Id="rId410" Type="http://schemas.openxmlformats.org/officeDocument/2006/relationships/header" Target="header59.xml" /><Relationship Id="rId411" Type="http://schemas.openxmlformats.org/officeDocument/2006/relationships/footer" Target="footer58.xml" /><Relationship Id="rId412" Type="http://schemas.openxmlformats.org/officeDocument/2006/relationships/footer" Target="footer59.xml" /><Relationship Id="rId413" Type="http://schemas.openxmlformats.org/officeDocument/2006/relationships/header" Target="header60.xml" /><Relationship Id="rId414" Type="http://schemas.openxmlformats.org/officeDocument/2006/relationships/footer" Target="footer60.xml" /><Relationship Id="rId415" Type="http://schemas.openxmlformats.org/officeDocument/2006/relationships/hyperlink" Target="https://advance.lexis.com/api/document?collection=cases-ca&amp;id=urn:contentItem:5F7T-S781-JSC5-M472-00000-00&amp;context=" TargetMode="External" /><Relationship Id="rId416" Type="http://schemas.openxmlformats.org/officeDocument/2006/relationships/hyperlink" Target="https://advance.lexis.com/api/document?collection=cases-ca&amp;id=urn:contentItem:5F7T-S771-F81W-22HN-00000-00&amp;context=" TargetMode="External" /><Relationship Id="rId417" Type="http://schemas.openxmlformats.org/officeDocument/2006/relationships/hyperlink" Target="https://advance.lexis.com/api/document?collection=cases-ca&amp;id=urn:contentItem:5F7T-S741-DXPM-S0Y5-00000-00&amp;context=" TargetMode="External" /><Relationship Id="rId418" Type="http://schemas.openxmlformats.org/officeDocument/2006/relationships/hyperlink" Target="https://advance.lexis.com/api/document?collection=cases-ca&amp;id=urn:contentItem:5F7T-S731-FG12-62D7-00000-00&amp;context=" TargetMode="External" /><Relationship Id="rId419" Type="http://schemas.openxmlformats.org/officeDocument/2006/relationships/hyperlink" Target="https://advance.lexis.com/api/document?collection=cases-ca&amp;id=urn:contentItem:5F7T-S761-JCBX-S0DR-00000-00&amp;context=" TargetMode="External" /><Relationship Id="rId42" Type="http://schemas.openxmlformats.org/officeDocument/2006/relationships/header" Target="header9.xml" /><Relationship Id="rId420" Type="http://schemas.openxmlformats.org/officeDocument/2006/relationships/hyperlink" Target="https://advance.lexis.com/api/document?collection=cases-ca&amp;id=urn:contentItem:5F7T-S7G1-JBT7-X4D3-00000-00&amp;context=" TargetMode="External" /><Relationship Id="rId421" Type="http://schemas.openxmlformats.org/officeDocument/2006/relationships/header" Target="header61.xml" /><Relationship Id="rId422" Type="http://schemas.openxmlformats.org/officeDocument/2006/relationships/header" Target="header62.xml" /><Relationship Id="rId423" Type="http://schemas.openxmlformats.org/officeDocument/2006/relationships/footer" Target="footer61.xml" /><Relationship Id="rId424" Type="http://schemas.openxmlformats.org/officeDocument/2006/relationships/footer" Target="footer62.xml" /><Relationship Id="rId425" Type="http://schemas.openxmlformats.org/officeDocument/2006/relationships/header" Target="header63.xml" /><Relationship Id="rId426" Type="http://schemas.openxmlformats.org/officeDocument/2006/relationships/footer" Target="footer63.xml" /><Relationship Id="rId427" Type="http://schemas.openxmlformats.org/officeDocument/2006/relationships/hyperlink" Target="https://advance.lexis.com/api/document?collection=cases-ca&amp;id=urn:contentItem:5F7T-S7F1-JK4W-M1FY-00000-00&amp;context=" TargetMode="External" /><Relationship Id="rId428" Type="http://schemas.openxmlformats.org/officeDocument/2006/relationships/hyperlink" Target="https://advance.lexis.com/api/document?collection=cases-ca&amp;id=urn:contentItem:5F7T-S7D1-JG02-S2VJ-00000-00&amp;context=" TargetMode="External" /><Relationship Id="rId429" Type="http://schemas.openxmlformats.org/officeDocument/2006/relationships/hyperlink" Target="https://advance.lexis.com/api/document?collection=cases-ca&amp;id=urn:contentItem:5F7T-S7C1-F4NT-X44B-00000-00&amp;context=" TargetMode="External" /><Relationship Id="rId43" Type="http://schemas.openxmlformats.org/officeDocument/2006/relationships/footer" Target="footer9.xml" /><Relationship Id="rId430" Type="http://schemas.openxmlformats.org/officeDocument/2006/relationships/hyperlink" Target="https://advance.lexis.com/api/document?collection=cases-ca&amp;id=urn:contentItem:5F7T-S741-F1H1-21RG-00000-00&amp;context=" TargetMode="External" /><Relationship Id="rId431" Type="http://schemas.openxmlformats.org/officeDocument/2006/relationships/hyperlink" Target="https://advance.lexis.com/api/document?collection=cases-ca&amp;id=urn:contentItem:5F7T-S771-F361-M1HH-00000-00&amp;context=" TargetMode="External" /><Relationship Id="rId432" Type="http://schemas.openxmlformats.org/officeDocument/2006/relationships/hyperlink" Target="https://advance.lexis.com/api/document?collection=cases-ca&amp;id=urn:contentItem:5F7T-S7D1-DY89-M44X-00000-00&amp;context=" TargetMode="External" /><Relationship Id="rId433" Type="http://schemas.openxmlformats.org/officeDocument/2006/relationships/header" Target="header64.xml" /><Relationship Id="rId434" Type="http://schemas.openxmlformats.org/officeDocument/2006/relationships/header" Target="header65.xml" /><Relationship Id="rId435" Type="http://schemas.openxmlformats.org/officeDocument/2006/relationships/footer" Target="footer64.xml" /><Relationship Id="rId436" Type="http://schemas.openxmlformats.org/officeDocument/2006/relationships/footer" Target="footer65.xml" /><Relationship Id="rId437" Type="http://schemas.openxmlformats.org/officeDocument/2006/relationships/header" Target="header66.xml" /><Relationship Id="rId438" Type="http://schemas.openxmlformats.org/officeDocument/2006/relationships/footer" Target="footer66.xml" /><Relationship Id="rId439" Type="http://schemas.openxmlformats.org/officeDocument/2006/relationships/hyperlink" Target="https://advance.lexis.com/api/document?collection=cases-ca&amp;id=urn:contentItem:5F7T-S771-JSJC-X06T-00000-00&amp;context=" TargetMode="External" /><Relationship Id="rId44" Type="http://schemas.openxmlformats.org/officeDocument/2006/relationships/hyperlink" Target="https://advance.lexis.com/api/document?collection=cases-ca&amp;id=urn:contentItem:5F7T-S7K1-DY33-B1FK-00000-00&amp;context=" TargetMode="External" /><Relationship Id="rId440" Type="http://schemas.openxmlformats.org/officeDocument/2006/relationships/hyperlink" Target="https://advance.lexis.com/api/document?collection=legislation-ca&amp;id=urn:contentItem:5F41-1FJ1-F5DR-206Y-00000-00&amp;context=" TargetMode="External" /><Relationship Id="rId441" Type="http://schemas.openxmlformats.org/officeDocument/2006/relationships/hyperlink" Target="https://advance.lexis.com/api/document?collection=cases-ca&amp;id=urn:contentItem:5F7T-S711-JC0G-6331-00000-00&amp;context=" TargetMode="External" /><Relationship Id="rId442" Type="http://schemas.openxmlformats.org/officeDocument/2006/relationships/hyperlink" Target="https://advance.lexis.com/api/document?collection=cases-ca&amp;id=urn:contentItem:5F7T-S7G1-JNY7-X3XK-00000-00&amp;context=" TargetMode="External" /><Relationship Id="rId443" Type="http://schemas.openxmlformats.org/officeDocument/2006/relationships/hyperlink" Target="https://advance.lexis.com/api/document?collection=cases-ca&amp;id=urn:contentItem:5F8T-N3V1-JF75-M3VR-00000-00&amp;context=" TargetMode="External" /><Relationship Id="rId444" Type="http://schemas.openxmlformats.org/officeDocument/2006/relationships/header" Target="header67.xml" /><Relationship Id="rId445" Type="http://schemas.openxmlformats.org/officeDocument/2006/relationships/header" Target="header68.xml" /><Relationship Id="rId446" Type="http://schemas.openxmlformats.org/officeDocument/2006/relationships/footer" Target="footer67.xml" /><Relationship Id="rId447" Type="http://schemas.openxmlformats.org/officeDocument/2006/relationships/footer" Target="footer68.xml" /><Relationship Id="rId448" Type="http://schemas.openxmlformats.org/officeDocument/2006/relationships/header" Target="header69.xml" /><Relationship Id="rId449" Type="http://schemas.openxmlformats.org/officeDocument/2006/relationships/footer" Target="footer69.xml" /><Relationship Id="rId45" Type="http://schemas.openxmlformats.org/officeDocument/2006/relationships/hyperlink" Target="https://advance.lexis.com/api/document?collection=cases-ca&amp;id=urn:contentItem:5F7T-S7H1-FCSB-S3D0-00000-00&amp;context=" TargetMode="External" /><Relationship Id="rId450" Type="http://schemas.openxmlformats.org/officeDocument/2006/relationships/hyperlink" Target="https://advance.lexis.com/api/document?collection=cases-ca&amp;id=urn:contentItem:5F7T-S771-JWBS-61XJ-00000-00&amp;context=" TargetMode="External" /><Relationship Id="rId451" Type="http://schemas.openxmlformats.org/officeDocument/2006/relationships/hyperlink" Target="https://advance.lexis.com/api/document?collection=cases-ca&amp;id=urn:contentItem:5F7T-S711-F4GK-M2D2-00000-00&amp;context=" TargetMode="External" /><Relationship Id="rId452" Type="http://schemas.openxmlformats.org/officeDocument/2006/relationships/hyperlink" Target="https://advance.lexis.com/api/document?collection=cases-ca&amp;id=urn:contentItem:5F7T-S701-FJDY-X27D-00000-00&amp;context=" TargetMode="External" /><Relationship Id="rId453" Type="http://schemas.openxmlformats.org/officeDocument/2006/relationships/hyperlink" Target="https://advance.lexis.com/api/document?collection=cases-ca&amp;id=urn:contentItem:5F7T-S721-F4NT-X2BH-00000-00&amp;context=" TargetMode="External" /><Relationship Id="rId454" Type="http://schemas.openxmlformats.org/officeDocument/2006/relationships/hyperlink" Target="https://advance.lexis.com/api/document?collection=cases-ca&amp;id=urn:contentItem:5F7T-S731-DY33-B0TG-00000-00&amp;context=" TargetMode="External" /><Relationship Id="rId455" Type="http://schemas.openxmlformats.org/officeDocument/2006/relationships/hyperlink" Target="https://advance.lexis.com/api/document?collection=cases-ca&amp;id=urn:contentItem:5F7T-S701-JBT7-X2FD-00000-00&amp;context=" TargetMode="External" /><Relationship Id="rId456" Type="http://schemas.openxmlformats.org/officeDocument/2006/relationships/hyperlink" Target="https://advance.lexis.com/api/document?collection=cases-ca&amp;id=urn:contentItem:5F7T-S721-F5T5-M22W-00000-00&amp;context=" TargetMode="External" /><Relationship Id="rId457" Type="http://schemas.openxmlformats.org/officeDocument/2006/relationships/hyperlink" Target="https://advance.lexis.com/api/document?collection=cases-ca&amp;id=urn:contentItem:5F7T-S721-F956-S1DM-00000-00&amp;context=" TargetMode="External" /><Relationship Id="rId458" Type="http://schemas.openxmlformats.org/officeDocument/2006/relationships/hyperlink" Target="https://advance.lexis.com/api/document?collection=cases-ca&amp;id=urn:contentItem:5F7T-S741-F57G-S1X0-00000-00&amp;context=" TargetMode="External" /><Relationship Id="rId459" Type="http://schemas.openxmlformats.org/officeDocument/2006/relationships/hyperlink" Target="https://advance.lexis.com/api/document?collection=cases-ca&amp;id=urn:contentItem:5F7T-S751-JX3N-B126-00000-00&amp;context=" TargetMode="External" /><Relationship Id="rId46" Type="http://schemas.openxmlformats.org/officeDocument/2006/relationships/hyperlink" Target="https://advance.lexis.com/api/document?collection=cases-ca&amp;id=urn:contentItem:5F7T-S7H1-JFKM-62BT-00000-00&amp;context=" TargetMode="External" /><Relationship Id="rId460" Type="http://schemas.openxmlformats.org/officeDocument/2006/relationships/hyperlink" Target="https://advance.lexis.com/api/document?collection=cases-ca&amp;id=urn:contentItem:5F7T-S731-JC0G-63K6-00000-00&amp;context=" TargetMode="External" /><Relationship Id="rId461" Type="http://schemas.openxmlformats.org/officeDocument/2006/relationships/hyperlink" Target="https://advance.lexis.com/api/document?collection=cases-ca&amp;id=urn:contentItem:5F7T-S711-F4W2-61X9-00000-00&amp;context=" TargetMode="External" /><Relationship Id="rId462" Type="http://schemas.openxmlformats.org/officeDocument/2006/relationships/hyperlink" Target="https://advance.lexis.com/api/document?collection=cases-ca&amp;id=urn:contentItem:5F7T-S731-F60C-X11W-00000-00&amp;context=" TargetMode="External" /><Relationship Id="rId463" Type="http://schemas.openxmlformats.org/officeDocument/2006/relationships/header" Target="header70.xml" /><Relationship Id="rId464" Type="http://schemas.openxmlformats.org/officeDocument/2006/relationships/header" Target="header71.xml" /><Relationship Id="rId465" Type="http://schemas.openxmlformats.org/officeDocument/2006/relationships/footer" Target="footer70.xml" /><Relationship Id="rId466" Type="http://schemas.openxmlformats.org/officeDocument/2006/relationships/footer" Target="footer71.xml" /><Relationship Id="rId467" Type="http://schemas.openxmlformats.org/officeDocument/2006/relationships/header" Target="header72.xml" /><Relationship Id="rId468" Type="http://schemas.openxmlformats.org/officeDocument/2006/relationships/footer" Target="footer72.xml" /><Relationship Id="rId469" Type="http://schemas.openxmlformats.org/officeDocument/2006/relationships/hyperlink" Target="https://advance.lexis.com/api/document?collection=cases-ca&amp;id=urn:contentItem:5F7T-S7G1-JWR6-S21F-00000-00&amp;context=" TargetMode="External" /><Relationship Id="rId47" Type="http://schemas.openxmlformats.org/officeDocument/2006/relationships/hyperlink" Target="https://advance.lexis.com/api/document?collection=cases-ca&amp;id=urn:contentItem:5F7T-S7G1-JPP5-21PN-00000-00&amp;context=" TargetMode="External" /><Relationship Id="rId470" Type="http://schemas.openxmlformats.org/officeDocument/2006/relationships/hyperlink" Target="https://advance.lexis.com/api/document?collection=cases-ca&amp;id=urn:contentItem:5F7T-S7C1-F4NT-X41X-00000-00&amp;context=" TargetMode="External" /><Relationship Id="rId471" Type="http://schemas.openxmlformats.org/officeDocument/2006/relationships/hyperlink" Target="https://advance.lexis.com/api/document?collection=cases-ca&amp;id=urn:contentItem:5F7T-S7D1-JXG3-X12H-00000-00&amp;context=" TargetMode="External" /><Relationship Id="rId472" Type="http://schemas.openxmlformats.org/officeDocument/2006/relationships/hyperlink" Target="https://advance.lexis.com/api/document?collection=cases-ca&amp;id=urn:contentItem:5F7T-S7D1-FFFC-B1H2-00000-00&amp;context=" TargetMode="External" /><Relationship Id="rId473" Type="http://schemas.openxmlformats.org/officeDocument/2006/relationships/hyperlink" Target="https://advance.lexis.com/api/document?collection=cases-ca&amp;id=urn:contentItem:5F7T-S711-FJDY-X31M-00000-00&amp;context=" TargetMode="External" /><Relationship Id="rId474" Type="http://schemas.openxmlformats.org/officeDocument/2006/relationships/hyperlink" Target="https://advance.lexis.com/api/document?collection=cases-ca&amp;id=urn:contentItem:5F7T-S781-F27X-616N-00000-00&amp;context=" TargetMode="External" /><Relationship Id="rId475" Type="http://schemas.openxmlformats.org/officeDocument/2006/relationships/header" Target="header73.xml" /><Relationship Id="rId476" Type="http://schemas.openxmlformats.org/officeDocument/2006/relationships/header" Target="header74.xml" /><Relationship Id="rId477" Type="http://schemas.openxmlformats.org/officeDocument/2006/relationships/footer" Target="footer73.xml" /><Relationship Id="rId478" Type="http://schemas.openxmlformats.org/officeDocument/2006/relationships/footer" Target="footer74.xml" /><Relationship Id="rId479" Type="http://schemas.openxmlformats.org/officeDocument/2006/relationships/header" Target="header75.xml" /><Relationship Id="rId48" Type="http://schemas.openxmlformats.org/officeDocument/2006/relationships/hyperlink" Target="https://advance.lexis.com/api/document?collection=legislation-ca&amp;id=urn:contentItem:5F41-1FG1-FC1F-M0TW-00000-00&amp;context=" TargetMode="External" /><Relationship Id="rId480" Type="http://schemas.openxmlformats.org/officeDocument/2006/relationships/footer" Target="footer75.xml" /><Relationship Id="rId481" Type="http://schemas.openxmlformats.org/officeDocument/2006/relationships/hyperlink" Target="https://advance.lexis.com/api/document?collection=cases-ca&amp;id=urn:contentItem:5F7T-S7C1-F30T-B2HD-00000-00&amp;context=" TargetMode="External" /><Relationship Id="rId482" Type="http://schemas.openxmlformats.org/officeDocument/2006/relationships/hyperlink" Target="https://advance.lexis.com/api/document?collection=cases-ca&amp;id=urn:contentItem:5F7T-S7C1-FGRY-B0FG-00000-00&amp;context=" TargetMode="External" /><Relationship Id="rId483" Type="http://schemas.openxmlformats.org/officeDocument/2006/relationships/hyperlink" Target="https://advance.lexis.com/api/document?collection=cases-ca&amp;id=urn:contentItem:5F7T-S741-F2F4-G2B8-00000-00&amp;context=" TargetMode="External" /><Relationship Id="rId484" Type="http://schemas.openxmlformats.org/officeDocument/2006/relationships/hyperlink" Target="https://advance.lexis.com/api/document?collection=cases-ca&amp;id=urn:contentItem:5F8T-N3V1-JF75-M39V-00000-00&amp;context=" TargetMode="External" /><Relationship Id="rId485" Type="http://schemas.openxmlformats.org/officeDocument/2006/relationships/hyperlink" Target="https://advance.lexis.com/api/document?collection=cases-ca&amp;id=urn:contentItem:5F7T-S751-JX3N-B0V9-00000-00&amp;context=" TargetMode="External" /><Relationship Id="rId486" Type="http://schemas.openxmlformats.org/officeDocument/2006/relationships/hyperlink" Target="https://advance.lexis.com/api/document?collection=cases-ca&amp;id=urn:contentItem:5F7T-S721-F5T5-M236-00000-00&amp;context=" TargetMode="External" /><Relationship Id="rId487" Type="http://schemas.openxmlformats.org/officeDocument/2006/relationships/hyperlink" Target="https://advance.lexis.com/api/document?collection=cases-ca&amp;id=urn:contentItem:5F7T-S781-F06F-23YH-00000-00&amp;context=" TargetMode="External" /><Relationship Id="rId488" Type="http://schemas.openxmlformats.org/officeDocument/2006/relationships/hyperlink" Target="https://advance.lexis.com/api/document?collection=cases-ca&amp;id=urn:contentItem:5F7T-S7B1-FH4C-X3DH-00000-00&amp;context=" TargetMode="External" /><Relationship Id="rId489" Type="http://schemas.openxmlformats.org/officeDocument/2006/relationships/hyperlink" Target="https://advance.lexis.com/api/document?collection=cases-ca&amp;id=urn:contentItem:5F7T-S7C1-JCJ5-20TY-00000-00&amp;context=" TargetMode="External" /><Relationship Id="rId49" Type="http://schemas.openxmlformats.org/officeDocument/2006/relationships/hyperlink" Target="https://advance.lexis.com/api/document?collection=cases-ca&amp;id=urn:contentItem:5F7T-S7H1-JG02-S3S8-00000-00&amp;context=" TargetMode="External" /><Relationship Id="rId490" Type="http://schemas.openxmlformats.org/officeDocument/2006/relationships/hyperlink" Target="https://advance.lexis.com/api/document?collection=cases-ca&amp;id=urn:contentItem:5F7T-S711-JNY7-X33S-00000-00&amp;context=" TargetMode="External" /><Relationship Id="rId491" Type="http://schemas.openxmlformats.org/officeDocument/2006/relationships/header" Target="header76.xml" /><Relationship Id="rId492" Type="http://schemas.openxmlformats.org/officeDocument/2006/relationships/header" Target="header77.xml" /><Relationship Id="rId493" Type="http://schemas.openxmlformats.org/officeDocument/2006/relationships/footer" Target="footer76.xml" /><Relationship Id="rId494" Type="http://schemas.openxmlformats.org/officeDocument/2006/relationships/footer" Target="footer77.xml" /><Relationship Id="rId495" Type="http://schemas.openxmlformats.org/officeDocument/2006/relationships/header" Target="header78.xml" /><Relationship Id="rId496" Type="http://schemas.openxmlformats.org/officeDocument/2006/relationships/footer" Target="footer78.xml" /><Relationship Id="rId497" Type="http://schemas.openxmlformats.org/officeDocument/2006/relationships/hyperlink" Target="https://advance.lexis.com/api/document?collection=cases-ca&amp;id=urn:contentItem:5F7T-S771-JWBS-61SW-00000-00&amp;context=" TargetMode="External" /><Relationship Id="rId498" Type="http://schemas.openxmlformats.org/officeDocument/2006/relationships/hyperlink" Target="https://advance.lexis.com/api/document?collection=cases-ca&amp;id=urn:contentItem:5F7T-S7H1-FCSB-S3DN-00000-00&amp;context=" TargetMode="External" /><Relationship Id="rId499" Type="http://schemas.openxmlformats.org/officeDocument/2006/relationships/hyperlink" Target="https://advance.lexis.com/api/document?collection=cases-ca&amp;id=urn:contentItem:5F7T-S701-JF75-M46B-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31-F016-S3HC-00000-00&amp;context=" TargetMode="External" /><Relationship Id="rId500" Type="http://schemas.openxmlformats.org/officeDocument/2006/relationships/hyperlink" Target="https://advance.lexis.com/api/document?collection=cases-ca&amp;id=urn:contentItem:5F7T-S6V1-F2TK-22G9-00000-00&amp;context=" TargetMode="External" /><Relationship Id="rId501" Type="http://schemas.openxmlformats.org/officeDocument/2006/relationships/header" Target="header79.xml" /><Relationship Id="rId502" Type="http://schemas.openxmlformats.org/officeDocument/2006/relationships/header" Target="header80.xml" /><Relationship Id="rId503" Type="http://schemas.openxmlformats.org/officeDocument/2006/relationships/footer" Target="footer79.xml" /><Relationship Id="rId504" Type="http://schemas.openxmlformats.org/officeDocument/2006/relationships/footer" Target="footer80.xml" /><Relationship Id="rId505" Type="http://schemas.openxmlformats.org/officeDocument/2006/relationships/header" Target="header81.xml" /><Relationship Id="rId506" Type="http://schemas.openxmlformats.org/officeDocument/2006/relationships/footer" Target="footer81.xml" /><Relationship Id="rId507" Type="http://schemas.openxmlformats.org/officeDocument/2006/relationships/hyperlink" Target="https://advance.lexis.com/api/document?collection=cases-ca&amp;id=urn:contentItem:5F7T-S7D1-DY89-M484-00000-00&amp;context=" TargetMode="External" /><Relationship Id="rId508" Type="http://schemas.openxmlformats.org/officeDocument/2006/relationships/hyperlink" Target="https://advance.lexis.com/api/document?collection=cases-ca&amp;id=urn:contentItem:5F7T-S721-F8D9-M10X-00000-00&amp;context=" TargetMode="External" /><Relationship Id="rId509" Type="http://schemas.openxmlformats.org/officeDocument/2006/relationships/hyperlink" Target="https://advance.lexis.com/api/document?collection=legislation-ca&amp;id=urn:contentItem:5F41-1FJ1-JG59-2150-00000-00&amp;context=" TargetMode="External" /><Relationship Id="rId51" Type="http://schemas.openxmlformats.org/officeDocument/2006/relationships/hyperlink" Target="https://advance.lexis.com/api/document?collection=cases-ca&amp;id=urn:contentItem:5F7T-S7K1-F1H1-2258-00000-00&amp;context=" TargetMode="External" /><Relationship Id="rId510" Type="http://schemas.openxmlformats.org/officeDocument/2006/relationships/hyperlink" Target="https://advance.lexis.com/api/document?collection=cases-ca&amp;id=urn:contentItem:5F8N-K6Y1-F2MB-S037-00000-00&amp;context=" TargetMode="External" /><Relationship Id="rId511" Type="http://schemas.openxmlformats.org/officeDocument/2006/relationships/hyperlink" Target="https://advance.lexis.com/api/document?collection=cases-ca&amp;id=urn:contentItem:5F7T-S7D1-DY89-M3VD-00000-00&amp;context=" TargetMode="External" /><Relationship Id="rId512" Type="http://schemas.openxmlformats.org/officeDocument/2006/relationships/hyperlink" Target="https://advance.lexis.com/api/document?collection=cases-ca&amp;id=urn:contentItem:5F81-VJX1-JKPJ-G1NV-00000-00&amp;context=" TargetMode="External" /><Relationship Id="rId513" Type="http://schemas.openxmlformats.org/officeDocument/2006/relationships/hyperlink" Target="https://advance.lexis.com/api/document?collection=cases-ca&amp;id=urn:contentItem:5F8T-N3T1-JJSF-2339-00000-00&amp;context=" TargetMode="External" /><Relationship Id="rId514" Type="http://schemas.openxmlformats.org/officeDocument/2006/relationships/hyperlink" Target="https://advance.lexis.com/api/document?collection=cases-ca&amp;id=urn:contentItem:5F16-9361-JW5H-X4JX-00000-00&amp;context=" TargetMode="External" /><Relationship Id="rId515" Type="http://schemas.openxmlformats.org/officeDocument/2006/relationships/hyperlink" Target="https://advance.lexis.com/api/document?collection=cases-ca&amp;id=urn:contentItem:5F8P-SCJ1-FGJR-23NG-00000-00&amp;context=" TargetMode="External" /><Relationship Id="rId516" Type="http://schemas.openxmlformats.org/officeDocument/2006/relationships/header" Target="header82.xml" /><Relationship Id="rId517" Type="http://schemas.openxmlformats.org/officeDocument/2006/relationships/header" Target="header83.xml" /><Relationship Id="rId518" Type="http://schemas.openxmlformats.org/officeDocument/2006/relationships/footer" Target="footer82.xml" /><Relationship Id="rId519" Type="http://schemas.openxmlformats.org/officeDocument/2006/relationships/footer" Target="footer83.xml" /><Relationship Id="rId52" Type="http://schemas.openxmlformats.org/officeDocument/2006/relationships/hyperlink" Target="https://advance.lexis.com/api/document?collection=cases-ca&amp;id=urn:contentItem:5F7T-S711-F4GK-M2DS-00000-00&amp;context=" TargetMode="External" /><Relationship Id="rId520" Type="http://schemas.openxmlformats.org/officeDocument/2006/relationships/header" Target="header84.xml" /><Relationship Id="rId521" Type="http://schemas.openxmlformats.org/officeDocument/2006/relationships/footer" Target="footer84.xml" /><Relationship Id="rId522" Type="http://schemas.openxmlformats.org/officeDocument/2006/relationships/hyperlink" Target="https://advance.lexis.com/api/document?collection=cases-ca&amp;id=urn:contentItem:5F7T-S7C1-F7VM-S3MB-00000-00&amp;context=" TargetMode="External" /><Relationship Id="rId523" Type="http://schemas.openxmlformats.org/officeDocument/2006/relationships/hyperlink" Target="https://advance.lexis.com/api/document?collection=cases-ca&amp;id=urn:contentItem:5F7T-S761-FFMK-M15W-00000-00&amp;context=" TargetMode="External" /><Relationship Id="rId524" Type="http://schemas.openxmlformats.org/officeDocument/2006/relationships/hyperlink" Target="https://advance.lexis.com/api/document?collection=cases-ca&amp;id=urn:contentItem:5F7T-S6Y1-F65M-605F-00000-00&amp;context=" TargetMode="External" /><Relationship Id="rId525" Type="http://schemas.openxmlformats.org/officeDocument/2006/relationships/hyperlink" Target="https://advance.lexis.com/api/document?collection=cases-ca&amp;id=urn:contentItem:5F7T-S711-JB2B-S0W5-00000-00&amp;context=" TargetMode="External" /><Relationship Id="rId526" Type="http://schemas.openxmlformats.org/officeDocument/2006/relationships/hyperlink" Target="https://advance.lexis.com/api/document?collection=cases-ca&amp;id=urn:contentItem:5F7T-S6X1-FJDY-X17B-00000-00&amp;context=" TargetMode="External" /><Relationship Id="rId527" Type="http://schemas.openxmlformats.org/officeDocument/2006/relationships/hyperlink" Target="https://advance.lexis.com/api/document?collection=cases-ca&amp;id=urn:contentItem:5F7T-S711-F4W2-61FJ-00000-00&amp;context=" TargetMode="External" /><Relationship Id="rId528" Type="http://schemas.openxmlformats.org/officeDocument/2006/relationships/hyperlink" Target="https://advance.lexis.com/api/document?collection=cases-ca&amp;id=urn:contentItem:5F7T-S711-JB2B-S0YN-00000-00&amp;context=" TargetMode="External" /><Relationship Id="rId529" Type="http://schemas.openxmlformats.org/officeDocument/2006/relationships/hyperlink" Target="https://advance.lexis.com/api/document?collection=cases-ca&amp;id=urn:contentItem:5F7T-S6W1-JYYX-61X7-00000-00&amp;context=" TargetMode="External" /><Relationship Id="rId53" Type="http://schemas.openxmlformats.org/officeDocument/2006/relationships/hyperlink" Target="https://advance.lexis.com/api/document?collection=cases-ca&amp;id=urn:contentItem:5F7T-S701-JJ6S-61FW-00000-00&amp;context=" TargetMode="External" /><Relationship Id="rId530" Type="http://schemas.openxmlformats.org/officeDocument/2006/relationships/hyperlink" Target="https://advance.lexis.com/api/document?collection=cases-ca&amp;id=urn:contentItem:5F7T-S741-F2F4-G2CF-00000-00&amp;context=" TargetMode="External" /><Relationship Id="rId531" Type="http://schemas.openxmlformats.org/officeDocument/2006/relationships/hyperlink" Target="https://advance.lexis.com/api/document?collection=cases-ca&amp;id=urn:contentItem:5F7T-S711-FJDY-X352-00000-00&amp;context=" TargetMode="External" /><Relationship Id="rId532" Type="http://schemas.openxmlformats.org/officeDocument/2006/relationships/hyperlink" Target="https://advance.lexis.com/api/document?collection=cases-ca&amp;id=urn:contentItem:5F7T-S7C1-F4NT-X31C-00000-00&amp;context=" TargetMode="External" /><Relationship Id="rId533" Type="http://schemas.openxmlformats.org/officeDocument/2006/relationships/hyperlink" Target="https://advance.lexis.com/api/document?collection=cases-ca&amp;id=urn:contentItem:5F8P-SDG1-JGPY-X2K2-00000-00&amp;context=" TargetMode="External" /><Relationship Id="rId534" Type="http://schemas.openxmlformats.org/officeDocument/2006/relationships/hyperlink" Target="https://advance.lexis.com/api/document?collection=cases-ca&amp;id=urn:contentItem:5F7T-S6X1-K054-G1N2-00000-00&amp;context=" TargetMode="External" /><Relationship Id="rId535" Type="http://schemas.openxmlformats.org/officeDocument/2006/relationships/hyperlink" Target="https://advance.lexis.com/api/document?collection=cases-ca&amp;id=urn:contentItem:5F7T-S6X1-JXNB-6372-00000-00&amp;context=" TargetMode="External" /><Relationship Id="rId536" Type="http://schemas.openxmlformats.org/officeDocument/2006/relationships/hyperlink" Target="https://advance.lexis.com/api/document?collection=cases-ca&amp;id=urn:contentItem:5F7T-S7C1-FCSB-S29G-00000-00&amp;context=" TargetMode="External" /><Relationship Id="rId537" Type="http://schemas.openxmlformats.org/officeDocument/2006/relationships/hyperlink" Target="https://advance.lexis.com/api/document?collection=cases-ca&amp;id=urn:contentItem:5F7T-S6R1-F4GK-M0T1-00000-00&amp;context=" TargetMode="External" /><Relationship Id="rId538" Type="http://schemas.openxmlformats.org/officeDocument/2006/relationships/hyperlink" Target="https://advance.lexis.com/api/document?collection=cases-ca&amp;id=urn:contentItem:5F7T-S6V1-JTNR-M3H3-00000-00&amp;context=" TargetMode="External" /><Relationship Id="rId539" Type="http://schemas.openxmlformats.org/officeDocument/2006/relationships/hyperlink" Target="https://advance.lexis.com/api/document?collection=cases-ca&amp;id=urn:contentItem:5F8T-N3T1-JGHR-M1Y0-00000-00&amp;context=" TargetMode="External" /><Relationship Id="rId54" Type="http://schemas.openxmlformats.org/officeDocument/2006/relationships/hyperlink" Target="https://advance.lexis.com/api/document?collection=cases-ca&amp;id=urn:contentItem:5F7T-S7H1-F4GK-M325-00000-00&amp;context=" TargetMode="External" /><Relationship Id="rId540" Type="http://schemas.openxmlformats.org/officeDocument/2006/relationships/hyperlink" Target="https://advance.lexis.com/api/document?collection=cases-ca&amp;id=urn:contentItem:5F8T-N3V1-JFKM-60BP-00000-00&amp;context=" TargetMode="External" /><Relationship Id="rId541" Type="http://schemas.openxmlformats.org/officeDocument/2006/relationships/hyperlink" Target="https://advance.lexis.com/api/document?collection=cases-ca&amp;id=urn:contentItem:5F7T-S6Y1-F7G6-6331-00000-00&amp;context=" TargetMode="External" /><Relationship Id="rId542" Type="http://schemas.openxmlformats.org/officeDocument/2006/relationships/header" Target="header85.xml" /><Relationship Id="rId543" Type="http://schemas.openxmlformats.org/officeDocument/2006/relationships/header" Target="header86.xml" /><Relationship Id="rId544" Type="http://schemas.openxmlformats.org/officeDocument/2006/relationships/footer" Target="footer85.xml" /><Relationship Id="rId545" Type="http://schemas.openxmlformats.org/officeDocument/2006/relationships/footer" Target="footer86.xml" /><Relationship Id="rId546" Type="http://schemas.openxmlformats.org/officeDocument/2006/relationships/header" Target="header87.xml" /><Relationship Id="rId547" Type="http://schemas.openxmlformats.org/officeDocument/2006/relationships/footer" Target="footer87.xml" /><Relationship Id="rId548" Type="http://schemas.openxmlformats.org/officeDocument/2006/relationships/hyperlink" Target="https://advance.lexis.com/api/document?collection=cases-ca&amp;id=urn:contentItem:5F7T-S7H1-JCRC-B0X3-00000-00&amp;context=" TargetMode="External" /><Relationship Id="rId549" Type="http://schemas.openxmlformats.org/officeDocument/2006/relationships/hyperlink" Target="https://advance.lexis.com/api/document?collection=legislation-ca&amp;id=urn:contentItem:5F41-1FG1-FD4T-B047-00000-00&amp;context=" TargetMode="External" /><Relationship Id="rId55" Type="http://schemas.openxmlformats.org/officeDocument/2006/relationships/hyperlink" Target="https://advance.lexis.com/api/document?collection=cases-ca&amp;id=urn:contentItem:5F8P-SF71-JWR6-S46S-00000-00&amp;context=" TargetMode="External" /><Relationship Id="rId550" Type="http://schemas.openxmlformats.org/officeDocument/2006/relationships/hyperlink" Target="https://advance.lexis.com/api/document?collection=cases-ca&amp;id=urn:contentItem:5F81-YGH1-F1P7-B3DW-00000-00&amp;context=" TargetMode="External" /><Relationship Id="rId551" Type="http://schemas.openxmlformats.org/officeDocument/2006/relationships/hyperlink" Target="https://advance.lexis.com/api/document?collection=cases-ca&amp;id=urn:contentItem:5F16-9351-F2MB-S0N0-00000-00&amp;context=" TargetMode="External" /><Relationship Id="rId552" Type="http://schemas.openxmlformats.org/officeDocument/2006/relationships/hyperlink" Target="https://advance.lexis.com/api/document?collection=cases-ca&amp;id=urn:contentItem:5HDC-MS71-FFFC-B1D7-00000-00&amp;context=" TargetMode="External" /><Relationship Id="rId553" Type="http://schemas.openxmlformats.org/officeDocument/2006/relationships/hyperlink" Target="https://advance.lexis.com/api/document?collection=cases-ca&amp;id=urn:contentItem:5F81-VJX1-JX3N-B17H-00000-00&amp;context=" TargetMode="External" /><Relationship Id="rId554" Type="http://schemas.openxmlformats.org/officeDocument/2006/relationships/hyperlink" Target="https://advance.lexis.com/api/document?collection=cases-ca&amp;id=urn:contentItem:5F81-VJX1-FGCG-S2NS-00000-00&amp;context=" TargetMode="External" /><Relationship Id="rId555" Type="http://schemas.openxmlformats.org/officeDocument/2006/relationships/hyperlink" Target="https://advance.lexis.com/api/document?collection=cases-ca&amp;id=urn:contentItem:5F7H-SCP1-JKHB-620R-00000-00&amp;context=" TargetMode="External" /><Relationship Id="rId556" Type="http://schemas.openxmlformats.org/officeDocument/2006/relationships/hyperlink" Target="https://advance.lexis.com/api/document?collection=cases-ca&amp;id=urn:contentItem:5F81-VJX1-FFTT-X1TV-00000-00&amp;context=" TargetMode="External" /><Relationship Id="rId557" Type="http://schemas.openxmlformats.org/officeDocument/2006/relationships/header" Target="header88.xml" /><Relationship Id="rId558" Type="http://schemas.openxmlformats.org/officeDocument/2006/relationships/header" Target="header89.xml" /><Relationship Id="rId559" Type="http://schemas.openxmlformats.org/officeDocument/2006/relationships/footer" Target="footer88.xml" /><Relationship Id="rId56" Type="http://schemas.openxmlformats.org/officeDocument/2006/relationships/header" Target="header10.xml" /><Relationship Id="rId560" Type="http://schemas.openxmlformats.org/officeDocument/2006/relationships/footer" Target="footer89.xml" /><Relationship Id="rId561" Type="http://schemas.openxmlformats.org/officeDocument/2006/relationships/header" Target="header90.xml" /><Relationship Id="rId562" Type="http://schemas.openxmlformats.org/officeDocument/2006/relationships/footer" Target="footer90.xml" /><Relationship Id="rId563" Type="http://schemas.openxmlformats.org/officeDocument/2006/relationships/hyperlink" Target="https://advance.lexis.com/api/document?collection=cases-ca&amp;id=urn:contentItem:5F7T-S771-JJD0-G1B2-00000-00&amp;context=" TargetMode="External" /><Relationship Id="rId564" Type="http://schemas.openxmlformats.org/officeDocument/2006/relationships/hyperlink" Target="https://advance.lexis.com/api/document?collection=cases-ca&amp;id=urn:contentItem:5F7T-S771-JSJC-X09P-00000-00&amp;context=" TargetMode="External" /><Relationship Id="rId565" Type="http://schemas.openxmlformats.org/officeDocument/2006/relationships/hyperlink" Target="https://advance.lexis.com/api/document?collection=cases-ca&amp;id=urn:contentItem:5F7T-S741-F528-G21K-00000-00&amp;context=" TargetMode="External" /><Relationship Id="rId566" Type="http://schemas.openxmlformats.org/officeDocument/2006/relationships/hyperlink" Target="https://advance.lexis.com/api/document?collection=cases-ca&amp;id=urn:contentItem:5F7T-S771-JW5H-X24J-00000-00&amp;context=" TargetMode="External" /><Relationship Id="rId567" Type="http://schemas.openxmlformats.org/officeDocument/2006/relationships/hyperlink" Target="https://advance.lexis.com/api/document?collection=cases-ca&amp;id=urn:contentItem:5F7T-S6W1-JB7K-21HB-00000-00&amp;context=" TargetMode="External" /><Relationship Id="rId568" Type="http://schemas.openxmlformats.org/officeDocument/2006/relationships/hyperlink" Target="https://advance.lexis.com/api/document?collection=cases-ca&amp;id=urn:contentItem:5F7T-S721-F956-S1RJ-00000-00&amp;context=" TargetMode="External" /><Relationship Id="rId569" Type="http://schemas.openxmlformats.org/officeDocument/2006/relationships/hyperlink" Target="https://advance.lexis.com/api/document?collection=cases-ca&amp;id=urn:contentItem:5F7T-S741-F7VM-S324-00000-00&amp;context=" TargetMode="External" /><Relationship Id="rId57" Type="http://schemas.openxmlformats.org/officeDocument/2006/relationships/header" Target="header11.xml" /><Relationship Id="rId570" Type="http://schemas.openxmlformats.org/officeDocument/2006/relationships/hyperlink" Target="https://advance.lexis.com/api/document?collection=cases-ca&amp;id=urn:contentItem:5F7T-S701-JJ6S-61P3-00000-00&amp;context=" TargetMode="External" /><Relationship Id="rId571" Type="http://schemas.openxmlformats.org/officeDocument/2006/relationships/header" Target="header91.xml" /><Relationship Id="rId572" Type="http://schemas.openxmlformats.org/officeDocument/2006/relationships/header" Target="header92.xml" /><Relationship Id="rId573" Type="http://schemas.openxmlformats.org/officeDocument/2006/relationships/footer" Target="footer91.xml" /><Relationship Id="rId574" Type="http://schemas.openxmlformats.org/officeDocument/2006/relationships/footer" Target="footer92.xml" /><Relationship Id="rId575" Type="http://schemas.openxmlformats.org/officeDocument/2006/relationships/header" Target="header93.xml" /><Relationship Id="rId576" Type="http://schemas.openxmlformats.org/officeDocument/2006/relationships/footer" Target="footer93.xml" /><Relationship Id="rId577" Type="http://schemas.openxmlformats.org/officeDocument/2006/relationships/hyperlink" Target="https://advance.lexis.com/api/document?collection=cases-ca&amp;id=urn:contentItem:5F7T-S771-JW5H-X267-00000-00&amp;context=" TargetMode="External" /><Relationship Id="rId578" Type="http://schemas.openxmlformats.org/officeDocument/2006/relationships/hyperlink" Target="https://advance.lexis.com/api/document?collection=legislation-ca&amp;id=urn:contentItem:5F41-1FN1-JBDT-B0W1-00000-00&amp;context=" TargetMode="External" /><Relationship Id="rId579" Type="http://schemas.openxmlformats.org/officeDocument/2006/relationships/hyperlink" Target="https://advance.lexis.com/api/document?collection=legislation-ca&amp;id=urn:contentItem:5VYK-W9T1-JGBH-B3CT-00000-00&amp;context=" TargetMode="External" /><Relationship Id="rId58" Type="http://schemas.openxmlformats.org/officeDocument/2006/relationships/footer" Target="footer10.xml" /><Relationship Id="rId580" Type="http://schemas.openxmlformats.org/officeDocument/2006/relationships/hyperlink" Target="https://advance.lexis.com/api/document?collection=legislation-ca&amp;id=urn:contentItem:5F41-1FG1-FC1F-M12G-00000-00&amp;context=" TargetMode="External" /><Relationship Id="rId581" Type="http://schemas.openxmlformats.org/officeDocument/2006/relationships/hyperlink" Target="https://advance.lexis.com/api/document?collection=legislation-ca&amp;id=urn:contentItem:5F41-1FH1-JT42-S1N3-00000-00&amp;context=" TargetMode="External" /><Relationship Id="rId582" Type="http://schemas.openxmlformats.org/officeDocument/2006/relationships/hyperlink" Target="https://advance.lexis.com/api/document?collection=legislation-ca&amp;id=urn:contentItem:5F41-1FJ1-JPGX-S0PR-00000-00&amp;context=" TargetMode="External" /><Relationship Id="rId583" Type="http://schemas.openxmlformats.org/officeDocument/2006/relationships/hyperlink" Target="https://advance.lexis.com/api/document?collection=legislation-ca&amp;id=urn:contentItem:5YJS-1SG1-JJYN-B002-00000-00&amp;context=" TargetMode="External" /><Relationship Id="rId584" Type="http://schemas.openxmlformats.org/officeDocument/2006/relationships/hyperlink" Target="https://advance.lexis.com/api/document?collection=legislation-ca&amp;id=urn:contentItem:5F41-1FK1-DY33-B0JT-00000-00&amp;context=" TargetMode="External" /><Relationship Id="rId585" Type="http://schemas.openxmlformats.org/officeDocument/2006/relationships/hyperlink" Target="https://advance.lexis.com/api/document?collection=legislation-ca&amp;id=urn:contentItem:5F41-1FK1-DY33-B0FR-00000-00&amp;context=" TargetMode="External" /><Relationship Id="rId586" Type="http://schemas.openxmlformats.org/officeDocument/2006/relationships/hyperlink" Target="https://advance.lexis.com/api/document?collection=cases-ca&amp;id=urn:contentItem:5F8T-N3T1-JJSF-23NN-00000-00&amp;context=" TargetMode="External" /><Relationship Id="rId587" Type="http://schemas.openxmlformats.org/officeDocument/2006/relationships/hyperlink" Target="https://advance.lexis.com/api/document?collection=cases-ca&amp;id=urn:contentItem:5F8T-N3R1-JNS1-M10B-00000-00&amp;context=" TargetMode="External" /><Relationship Id="rId588" Type="http://schemas.openxmlformats.org/officeDocument/2006/relationships/hyperlink" Target="https://advance.lexis.com/api/document?collection=cases-ca&amp;id=urn:contentItem:5F7T-S6T1-F528-G14D-00000-00&amp;context=" TargetMode="External" /><Relationship Id="rId589" Type="http://schemas.openxmlformats.org/officeDocument/2006/relationships/hyperlink" Target="https://advance.lexis.com/api/document?collection=cases-ca&amp;id=urn:contentItem:5F8T-N3V1-JF75-M3B9-00000-00&amp;context=" TargetMode="External" /><Relationship Id="rId59" Type="http://schemas.openxmlformats.org/officeDocument/2006/relationships/footer" Target="footer11.xml" /><Relationship Id="rId590" Type="http://schemas.openxmlformats.org/officeDocument/2006/relationships/hyperlink" Target="https://advance.lexis.com/api/document?collection=legislation-ca&amp;id=urn:contentItem:5F3B-BDF1-JW5H-X09J-00000-00&amp;context=" TargetMode="External" /><Relationship Id="rId591" Type="http://schemas.openxmlformats.org/officeDocument/2006/relationships/hyperlink" Target="https://advance.lexis.com/api/document?collection=cases-ca&amp;id=urn:contentItem:5F8T-N3V1-JF75-M3WK-00000-00&amp;context=" TargetMode="External" /><Relationship Id="rId592" Type="http://schemas.openxmlformats.org/officeDocument/2006/relationships/hyperlink" Target="https://advance.lexis.com/api/document?collection=cases-ca&amp;id=urn:contentItem:5F8T-N3T1-JJSF-238K-00000-00&amp;context=" TargetMode="External" /><Relationship Id="rId593" Type="http://schemas.openxmlformats.org/officeDocument/2006/relationships/hyperlink" Target="https://advance.lexis.com/api/document?collection=cases-ca&amp;id=urn:contentItem:5F81-YGM1-JG02-S10M-00000-00&amp;context=" TargetMode="External" /><Relationship Id="rId594" Type="http://schemas.openxmlformats.org/officeDocument/2006/relationships/hyperlink" Target="https://advance.lexis.com/api/document?collection=cases-ca&amp;id=urn:contentItem:5F8T-N3V1-FC1F-M406-00000-00&amp;context=" TargetMode="External" /><Relationship Id="rId595" Type="http://schemas.openxmlformats.org/officeDocument/2006/relationships/hyperlink" Target="https://advance.lexis.com/api/document?collection=cases-ca&amp;id=urn:contentItem:5F8W-M461-JS0R-21V8-00000-00&amp;context=" TargetMode="External" /><Relationship Id="rId596" Type="http://schemas.openxmlformats.org/officeDocument/2006/relationships/hyperlink" Target="https://advance.lexis.com/api/document?collection=cases-ca&amp;id=urn:contentItem:5F8W-M461-FCYK-23W5-00000-00&amp;context=" TargetMode="External" /><Relationship Id="rId597" Type="http://schemas.openxmlformats.org/officeDocument/2006/relationships/hyperlink" Target="https://advance.lexis.com/api/document?collection=cases-ca&amp;id=urn:contentItem:5F8T-N3T1-JFKM-651W-00000-00&amp;context=" TargetMode="External" /><Relationship Id="rId598" Type="http://schemas.openxmlformats.org/officeDocument/2006/relationships/hyperlink" Target="https://advance.lexis.com/api/document?collection=cases-ca&amp;id=urn:contentItem:5F8T-N3T1-JJSF-23BK-00000-00&amp;context=" TargetMode="External" /><Relationship Id="rId599" Type="http://schemas.openxmlformats.org/officeDocument/2006/relationships/hyperlink" Target="https://advance.lexis.com/api/document?collection=cases-ca&amp;id=urn:contentItem:5F81-VJW1-K0HK-226N-00000-00&amp;context=" TargetMode="External" /><Relationship Id="rId6" Type="http://schemas.openxmlformats.org/officeDocument/2006/relationships/footer" Target="footer1.xml" /><Relationship Id="rId60" Type="http://schemas.openxmlformats.org/officeDocument/2006/relationships/header" Target="header12.xml" /><Relationship Id="rId600" Type="http://schemas.openxmlformats.org/officeDocument/2006/relationships/hyperlink" Target="https://advance.lexis.com/api/document?collection=cases-ca&amp;id=urn:contentItem:5F8T-N3V1-JF75-M3WV-00000-00&amp;context=" TargetMode="External" /><Relationship Id="rId601" Type="http://schemas.openxmlformats.org/officeDocument/2006/relationships/hyperlink" Target="https://advance.lexis.com/api/document?collection=cases-ca&amp;id=urn:contentItem:5F8T-N3V1-JF75-M3MB-00000-00&amp;context=" TargetMode="External" /><Relationship Id="rId602" Type="http://schemas.openxmlformats.org/officeDocument/2006/relationships/hyperlink" Target="https://advance.lexis.com/api/document?collection=cases-ca&amp;id=urn:contentItem:5F8T-N3T1-JGHR-M219-00000-00&amp;context=" TargetMode="External" /><Relationship Id="rId603" Type="http://schemas.openxmlformats.org/officeDocument/2006/relationships/hyperlink" Target="https://advance.lexis.com/api/document?collection=cases-ca&amp;id=urn:contentItem:5F81-YGM1-JG02-S118-00000-00&amp;context=" TargetMode="External" /><Relationship Id="rId604" Type="http://schemas.openxmlformats.org/officeDocument/2006/relationships/hyperlink" Target="https://advance.lexis.com/api/document?collection=cases-ca&amp;id=urn:contentItem:5F8T-N3V1-FC1F-M43S-00000-00&amp;context=" TargetMode="External" /><Relationship Id="rId605" Type="http://schemas.openxmlformats.org/officeDocument/2006/relationships/hyperlink" Target="https://advance.lexis.com/api/document?collection=cases-ca&amp;id=urn:contentItem:5F7T-S751-JX3N-B12X-00000-00&amp;context=" TargetMode="External" /><Relationship Id="rId606" Type="http://schemas.openxmlformats.org/officeDocument/2006/relationships/hyperlink" Target="https://advance.lexis.com/api/document?collection=cases-ca&amp;id=urn:contentItem:5F8T-N3V1-JF75-M3MF-00000-00&amp;context=" TargetMode="External" /><Relationship Id="rId607" Type="http://schemas.openxmlformats.org/officeDocument/2006/relationships/hyperlink" Target="https://advance.lexis.com/api/document?collection=cases-ca&amp;id=urn:contentItem:5F7T-S741-F57G-S1NV-00000-00&amp;context=" TargetMode="External" /><Relationship Id="rId608" Type="http://schemas.openxmlformats.org/officeDocument/2006/relationships/hyperlink" Target="https://advance.lexis.com/api/document?collection=cases-ca&amp;id=urn:contentItem:5F81-VJW1-K0HK-2259-00000-00&amp;context=" TargetMode="External" /><Relationship Id="rId609" Type="http://schemas.openxmlformats.org/officeDocument/2006/relationships/hyperlink" Target="https://advance.lexis.com/api/document?collection=cases-ca&amp;id=urn:contentItem:5F8T-N3T1-JJSF-2374-00000-00&amp;context=" TargetMode="External" /><Relationship Id="rId61" Type="http://schemas.openxmlformats.org/officeDocument/2006/relationships/footer" Target="footer12.xml" /><Relationship Id="rId610" Type="http://schemas.openxmlformats.org/officeDocument/2006/relationships/hyperlink" Target="https://advance.lexis.com/api/document?collection=cases-ca&amp;id=urn:contentItem:5F16-9301-JFDC-X1K2-00000-00&amp;context=" TargetMode="External" /><Relationship Id="rId611" Type="http://schemas.openxmlformats.org/officeDocument/2006/relationships/hyperlink" Target="https://advance.lexis.com/api/document?collection=cases-ca&amp;id=urn:contentItem:5F2P-NNM1-F7ND-G0WJ-00000-00&amp;context=" TargetMode="External" /><Relationship Id="rId612" Type="http://schemas.openxmlformats.org/officeDocument/2006/relationships/hyperlink" Target="https://advance.lexis.com/api/document?collection=cases-ca&amp;id=urn:contentItem:5F81-VJX1-JX3N-B17R-00000-00&amp;context=" TargetMode="External" /><Relationship Id="rId613" Type="http://schemas.openxmlformats.org/officeDocument/2006/relationships/hyperlink" Target="https://advance.lexis.com/api/document?collection=cases-ca&amp;id=urn:contentItem:5F81-VJX1-JX3N-B1PM-00000-00&amp;context=" TargetMode="External" /><Relationship Id="rId614" Type="http://schemas.openxmlformats.org/officeDocument/2006/relationships/hyperlink" Target="https://advance.lexis.com/api/document?collection=cases-ca&amp;id=urn:contentItem:5F8T-N3S1-JBDT-B09R-00000-00&amp;context=" TargetMode="External" /><Relationship Id="rId615" Type="http://schemas.openxmlformats.org/officeDocument/2006/relationships/hyperlink" Target="https://advance.lexis.com/api/document?collection=cases-ca&amp;id=urn:contentItem:5F7T-S771-FG68-G0Y3-00000-00&amp;context=" TargetMode="External" /><Relationship Id="rId616" Type="http://schemas.openxmlformats.org/officeDocument/2006/relationships/hyperlink" Target="https://advance.lexis.com/api/document?collection=cases-ca&amp;id=urn:contentItem:5F8N-K701-FGJR-23DH-00000-00&amp;context=" TargetMode="External" /><Relationship Id="rId617" Type="http://schemas.openxmlformats.org/officeDocument/2006/relationships/hyperlink" Target="https://advance.lexis.com/api/document?collection=cases-ca&amp;id=urn:contentItem:5F8N-K6Y1-JW5H-X2V1-00000-00&amp;context=" TargetMode="External" /><Relationship Id="rId618" Type="http://schemas.openxmlformats.org/officeDocument/2006/relationships/hyperlink" Target="https://advance.lexis.com/api/document?collection=cases-ca&amp;id=urn:contentItem:5F8T-N3T1-JJSF-23CW-00000-00&amp;context=" TargetMode="External" /><Relationship Id="rId619" Type="http://schemas.openxmlformats.org/officeDocument/2006/relationships/hyperlink" Target="https://advance.lexis.com/api/document?collection=cases-ca&amp;id=urn:contentItem:5F81-WC31-F5KY-B4PJ-00000-00&amp;context=" TargetMode="External" /><Relationship Id="rId62" Type="http://schemas.openxmlformats.org/officeDocument/2006/relationships/hyperlink" Target="https://advance.lexis.com/api/document?collection=cases-ca&amp;id=urn:contentItem:5F7T-S7F1-JX3N-B1NY-00000-00&amp;context=" TargetMode="External" /><Relationship Id="rId620" Type="http://schemas.openxmlformats.org/officeDocument/2006/relationships/hyperlink" Target="https://advance.lexis.com/api/document?collection=cases-ca&amp;id=urn:contentItem:5F8T-N3T1-JGHR-M2B4-00000-00&amp;context=" TargetMode="External" /><Relationship Id="rId621" Type="http://schemas.openxmlformats.org/officeDocument/2006/relationships/hyperlink" Target="https://advance.lexis.com/api/document?collection=cases-ca&amp;id=urn:contentItem:5F8T-N3S1-JBDT-B0GB-00000-00&amp;context=" TargetMode="External" /><Relationship Id="rId622" Type="http://schemas.openxmlformats.org/officeDocument/2006/relationships/hyperlink" Target="https://advance.lexis.com/api/document?collection=cases-ca&amp;id=urn:contentItem:5F8T-N3R1-JJSF-22PX-00000-00&amp;context=" TargetMode="External" /><Relationship Id="rId623" Type="http://schemas.openxmlformats.org/officeDocument/2006/relationships/hyperlink" Target="https://advance.lexis.com/api/document?collection=cases-ca&amp;id=urn:contentItem:5F81-VJS1-JN6B-S3FP-00000-00&amp;context=" TargetMode="External" /><Relationship Id="rId624" Type="http://schemas.openxmlformats.org/officeDocument/2006/relationships/hyperlink" Target="https://advance.lexis.com/api/document?collection=cases-ca&amp;id=urn:contentItem:5F7T-S761-JGHR-M2VD-00000-00&amp;context=" TargetMode="External" /><Relationship Id="rId625" Type="http://schemas.openxmlformats.org/officeDocument/2006/relationships/hyperlink" Target="https://advance.lexis.com/api/document?collection=legislation-ca&amp;id=urn:contentItem:5F3B-BCR1-F016-S06K-00000-00&amp;context=" TargetMode="External" /><Relationship Id="rId626" Type="http://schemas.openxmlformats.org/officeDocument/2006/relationships/hyperlink" Target="https://advance.lexis.com/api/document?collection=cases-ca&amp;id=urn:contentItem:5F7T-S6Y1-FJDY-X241-00000-00&amp;context=" TargetMode="External" /><Relationship Id="rId627" Type="http://schemas.openxmlformats.org/officeDocument/2006/relationships/hyperlink" Target="https://advance.lexis.com/api/document?collection=cases-ca&amp;id=urn:contentItem:5F8T-N3V1-JF75-M3GM-00000-00&amp;context=" TargetMode="External" /><Relationship Id="rId628" Type="http://schemas.openxmlformats.org/officeDocument/2006/relationships/hyperlink" Target="https://advance.lexis.com/api/document?collection=cases-ca&amp;id=urn:contentItem:5F8T-N3T1-JJSF-232V-00000-00&amp;context=" TargetMode="External" /><Relationship Id="rId629" Type="http://schemas.openxmlformats.org/officeDocument/2006/relationships/hyperlink" Target="https://advance.lexis.com/api/document?collection=cases-ca&amp;id=urn:contentItem:5F81-WC31-F5KY-B4PD-00000-00&amp;context=" TargetMode="External" /><Relationship Id="rId63" Type="http://schemas.openxmlformats.org/officeDocument/2006/relationships/hyperlink" Target="https://advance.lexis.com/api/document?collection=cases-ca&amp;id=urn:contentItem:5F8T-N3V1-JFKM-60BG-00000-00&amp;context=" TargetMode="External" /><Relationship Id="rId630" Type="http://schemas.openxmlformats.org/officeDocument/2006/relationships/header" Target="header94.xml" /><Relationship Id="rId631" Type="http://schemas.openxmlformats.org/officeDocument/2006/relationships/header" Target="header95.xml" /><Relationship Id="rId632" Type="http://schemas.openxmlformats.org/officeDocument/2006/relationships/footer" Target="footer94.xml" /><Relationship Id="rId633" Type="http://schemas.openxmlformats.org/officeDocument/2006/relationships/footer" Target="footer95.xml" /><Relationship Id="rId634" Type="http://schemas.openxmlformats.org/officeDocument/2006/relationships/header" Target="header96.xml" /><Relationship Id="rId635" Type="http://schemas.openxmlformats.org/officeDocument/2006/relationships/footer" Target="footer96.xml" /><Relationship Id="rId636" Type="http://schemas.openxmlformats.org/officeDocument/2006/relationships/hyperlink" Target="https://advance.lexis.com/api/document?collection=cases-ca&amp;id=urn:contentItem:5F7T-S7B1-JCJ5-2027-00000-00&amp;context=" TargetMode="External" /><Relationship Id="rId637" Type="http://schemas.openxmlformats.org/officeDocument/2006/relationships/hyperlink" Target="https://advance.lexis.com/api/document?collection=cases-ca&amp;id=urn:contentItem:5F7T-S7B1-JSRM-602B-00000-00&amp;context=" TargetMode="External" /><Relationship Id="rId638" Type="http://schemas.openxmlformats.org/officeDocument/2006/relationships/header" Target="header97.xml" /><Relationship Id="rId639" Type="http://schemas.openxmlformats.org/officeDocument/2006/relationships/header" Target="header98.xml" /><Relationship Id="rId64" Type="http://schemas.openxmlformats.org/officeDocument/2006/relationships/hyperlink" Target="https://advance.lexis.com/api/document?collection=cases-ca&amp;id=urn:contentItem:5F7T-S7C1-F30T-B1YP-00000-00&amp;context=" TargetMode="External" /><Relationship Id="rId640" Type="http://schemas.openxmlformats.org/officeDocument/2006/relationships/footer" Target="footer97.xml" /><Relationship Id="rId641" Type="http://schemas.openxmlformats.org/officeDocument/2006/relationships/footer" Target="footer98.xml" /><Relationship Id="rId642" Type="http://schemas.openxmlformats.org/officeDocument/2006/relationships/header" Target="header99.xml" /><Relationship Id="rId643" Type="http://schemas.openxmlformats.org/officeDocument/2006/relationships/footer" Target="footer99.xml" /><Relationship Id="rId644" Type="http://schemas.openxmlformats.org/officeDocument/2006/relationships/hyperlink" Target="https://advance.lexis.com/api/document?collection=cases-ca&amp;id=urn:contentItem:5F7T-S7C1-JXG3-X04T-00000-00&amp;context=" TargetMode="External" /><Relationship Id="rId645" Type="http://schemas.openxmlformats.org/officeDocument/2006/relationships/hyperlink" Target="https://advance.lexis.com/api/document?collection=cases-ca&amp;id=urn:contentItem:5F7T-S781-FH4C-X2R5-00000-00&amp;context=" TargetMode="External" /><Relationship Id="rId646" Type="http://schemas.openxmlformats.org/officeDocument/2006/relationships/hyperlink" Target="https://advance.lexis.com/api/document?collection=cases-ca&amp;id=urn:contentItem:5F7T-S7C1-F4NT-X2WR-00000-00&amp;context=" TargetMode="External" /><Relationship Id="rId647" Type="http://schemas.openxmlformats.org/officeDocument/2006/relationships/hyperlink" Target="https://advance.lexis.com/api/document?collection=cases-ca&amp;id=urn:contentItem:5F82-1SF1-JKPJ-G2G3-00000-00&amp;context=" TargetMode="External" /><Relationship Id="rId648" Type="http://schemas.openxmlformats.org/officeDocument/2006/relationships/hyperlink" Target="https://advance.lexis.com/api/document?collection=cases-ca&amp;id=urn:contentItem:5F7T-S741-FJM6-61BF-00000-00&amp;context=" TargetMode="External" /><Relationship Id="rId649" Type="http://schemas.openxmlformats.org/officeDocument/2006/relationships/hyperlink" Target="https://advance.lexis.com/api/document?collection=cases-ca&amp;id=urn:contentItem:5F7T-S751-JBM1-M2MF-00000-00&amp;context=" TargetMode="External" /><Relationship Id="rId65" Type="http://schemas.openxmlformats.org/officeDocument/2006/relationships/hyperlink" Target="https://advance.lexis.com/api/document?collection=cases-ca&amp;id=urn:contentItem:5F7T-S741-F7VM-S33R-00000-00&amp;context=" TargetMode="External" /><Relationship Id="rId650" Type="http://schemas.openxmlformats.org/officeDocument/2006/relationships/hyperlink" Target="https://advance.lexis.com/api/document?collection=cases-ca&amp;id=urn:contentItem:5F7T-S7C1-FCSB-S20R-00000-00&amp;context=" TargetMode="External" /><Relationship Id="rId651" Type="http://schemas.openxmlformats.org/officeDocument/2006/relationships/hyperlink" Target="https://advance.lexis.com/api/document?collection=cases-ca&amp;id=urn:contentItem:5F7T-S791-FJTD-G2PD-00000-00&amp;context=" TargetMode="External" /><Relationship Id="rId652" Type="http://schemas.openxmlformats.org/officeDocument/2006/relationships/hyperlink" Target="https://advance.lexis.com/api/document?collection=cases-ca&amp;id=urn:contentItem:5F7T-S761-FGJR-22H0-00000-00&amp;context=" TargetMode="External" /><Relationship Id="rId653" Type="http://schemas.openxmlformats.org/officeDocument/2006/relationships/hyperlink" Target="https://advance.lexis.com/api/document?collection=cases-ca&amp;id=urn:contentItem:5F7T-S7B1-JCJ5-2065-00000-00&amp;context=" TargetMode="External" /><Relationship Id="rId654" Type="http://schemas.openxmlformats.org/officeDocument/2006/relationships/hyperlink" Target="https://advance.lexis.com/api/document?collection=cases-ca&amp;id=urn:contentItem:5F7T-S781-F7G6-63RS-00000-00&amp;context=" TargetMode="External" /><Relationship Id="rId655" Type="http://schemas.openxmlformats.org/officeDocument/2006/relationships/hyperlink" Target="https://advance.lexis.com/api/document?collection=cases-ca&amp;id=urn:contentItem:5F7T-S771-F81W-2296-00000-00&amp;context=" TargetMode="External" /><Relationship Id="rId656" Type="http://schemas.openxmlformats.org/officeDocument/2006/relationships/hyperlink" Target="https://advance.lexis.com/api/document?collection=cases-ca&amp;id=urn:contentItem:5F7T-S761-JS5Y-B1G2-00000-00&amp;context=" TargetMode="External" /><Relationship Id="rId657" Type="http://schemas.openxmlformats.org/officeDocument/2006/relationships/hyperlink" Target="https://advance.lexis.com/api/document?collection=cases-ca&amp;id=urn:contentItem:5F7T-S7C1-JSRM-60TP-00000-00&amp;context=" TargetMode="External" /><Relationship Id="rId658" Type="http://schemas.openxmlformats.org/officeDocument/2006/relationships/hyperlink" Target="https://advance.lexis.com/api/document?collection=cases-ca&amp;id=urn:contentItem:5F8T-N3T1-JJSF-23F8-00000-00&amp;context=" TargetMode="External" /><Relationship Id="rId659" Type="http://schemas.openxmlformats.org/officeDocument/2006/relationships/hyperlink" Target="https://advance.lexis.com/api/document?collection=cases-ca&amp;id=urn:contentItem:5F7T-S781-FH4C-X2R3-00000-00&amp;context=" TargetMode="External" /><Relationship Id="rId66" Type="http://schemas.openxmlformats.org/officeDocument/2006/relationships/hyperlink" Target="https://advance.lexis.com/api/document?collection=cases-ca&amp;id=urn:contentItem:5F8T-N3V1-FC1F-M3Y9-00000-00&amp;context=" TargetMode="External" /><Relationship Id="rId660" Type="http://schemas.openxmlformats.org/officeDocument/2006/relationships/hyperlink" Target="https://advance.lexis.com/api/document?collection=cases-ca&amp;id=urn:contentItem:5F8T-N3V1-JTGH-B0Y8-00000-00&amp;context=" TargetMode="External" /><Relationship Id="rId661" Type="http://schemas.openxmlformats.org/officeDocument/2006/relationships/header" Target="header100.xml" /><Relationship Id="rId662" Type="http://schemas.openxmlformats.org/officeDocument/2006/relationships/header" Target="header101.xml" /><Relationship Id="rId663" Type="http://schemas.openxmlformats.org/officeDocument/2006/relationships/footer" Target="footer100.xml" /><Relationship Id="rId664" Type="http://schemas.openxmlformats.org/officeDocument/2006/relationships/footer" Target="footer101.xml" /><Relationship Id="rId665" Type="http://schemas.openxmlformats.org/officeDocument/2006/relationships/header" Target="header102.xml" /><Relationship Id="rId666" Type="http://schemas.openxmlformats.org/officeDocument/2006/relationships/footer" Target="footer102.xml" /><Relationship Id="rId667" Type="http://schemas.openxmlformats.org/officeDocument/2006/relationships/hyperlink" Target="https://advance.lexis.com/api/document?collection=cases-ca&amp;id=urn:contentItem:5JXC-X5T1-F8SS-616P-00000-00&amp;context=" TargetMode="External" /><Relationship Id="rId668" Type="http://schemas.openxmlformats.org/officeDocument/2006/relationships/hyperlink" Target="https://advance.lexis.com/api/document?collection=cases-ca&amp;id=urn:contentItem:5JB0-48F1-FG68-G0W1-00000-00&amp;context=" TargetMode="External" /><Relationship Id="rId669" Type="http://schemas.openxmlformats.org/officeDocument/2006/relationships/hyperlink" Target="https://advance.lexis.com/api/document?collection=cases-ca&amp;id=urn:contentItem:5F16-9351-JFKM-62DX-00000-00&amp;context=" TargetMode="External" /><Relationship Id="rId67" Type="http://schemas.openxmlformats.org/officeDocument/2006/relationships/hyperlink" Target="https://advance.lexis.com/api/document?collection=cases-ca&amp;id=urn:contentItem:5F8P-SDG1-JGPY-X2C6-00000-00&amp;context=" TargetMode="External" /><Relationship Id="rId670" Type="http://schemas.openxmlformats.org/officeDocument/2006/relationships/hyperlink" Target="https://advance.lexis.com/api/document?collection=cases-ca&amp;id=urn:contentItem:5F7T-S7P1-F2TK-23H8-00000-00&amp;context=" TargetMode="External" /><Relationship Id="rId671" Type="http://schemas.openxmlformats.org/officeDocument/2006/relationships/hyperlink" Target="https://advance.lexis.com/api/document?collection=cases-ca&amp;id=urn:contentItem:5F7T-S7K1-JNY7-X4B3-00000-00&amp;context=" TargetMode="External" /><Relationship Id="rId672" Type="http://schemas.openxmlformats.org/officeDocument/2006/relationships/hyperlink" Target="https://advance.lexis.com/api/document?collection=cases-ca&amp;id=urn:contentItem:5F8T-N3V1-JTGH-B101-00000-00&amp;context=" TargetMode="External" /><Relationship Id="rId673" Type="http://schemas.openxmlformats.org/officeDocument/2006/relationships/hyperlink" Target="https://advance.lexis.com/api/document?collection=cases-ca&amp;id=urn:contentItem:5JDH-TJC1-F30T-B0DS-00000-00&amp;context=" TargetMode="External" /><Relationship Id="rId674" Type="http://schemas.openxmlformats.org/officeDocument/2006/relationships/hyperlink" Target="https://advance.lexis.com/api/document?collection=cases-ca&amp;id=urn:contentItem:5F7T-S7H1-JCRC-B18T-00000-00&amp;context=" TargetMode="External" /><Relationship Id="rId675" Type="http://schemas.openxmlformats.org/officeDocument/2006/relationships/hyperlink" Target="https://advance.lexis.com/api/document?collection=cases-ca&amp;id=urn:contentItem:5F7T-S7P1-F2TK-23C9-00000-00&amp;context=" TargetMode="External" /><Relationship Id="rId676" Type="http://schemas.openxmlformats.org/officeDocument/2006/relationships/header" Target="header103.xml" /><Relationship Id="rId677" Type="http://schemas.openxmlformats.org/officeDocument/2006/relationships/header" Target="header104.xml" /><Relationship Id="rId678" Type="http://schemas.openxmlformats.org/officeDocument/2006/relationships/footer" Target="footer103.xml" /><Relationship Id="rId679" Type="http://schemas.openxmlformats.org/officeDocument/2006/relationships/footer" Target="footer104.xml" /><Relationship Id="rId68" Type="http://schemas.openxmlformats.org/officeDocument/2006/relationships/hyperlink" Target="https://advance.lexis.com/api/document?collection=cases-ca&amp;id=urn:contentItem:5F8T-N3V1-FC1F-M4FK-00000-00&amp;context=" TargetMode="External" /><Relationship Id="rId680" Type="http://schemas.openxmlformats.org/officeDocument/2006/relationships/header" Target="header105.xml" /><Relationship Id="rId681" Type="http://schemas.openxmlformats.org/officeDocument/2006/relationships/footer" Target="footer105.xml" /><Relationship Id="rId682" Type="http://schemas.openxmlformats.org/officeDocument/2006/relationships/hyperlink" Target="https://advance.lexis.com/api/document?collection=cases-ca&amp;id=urn:contentItem:5F7T-S7K1-JX3N-B2WB-00000-00&amp;context=" TargetMode="External" /><Relationship Id="rId683" Type="http://schemas.openxmlformats.org/officeDocument/2006/relationships/hyperlink" Target="https://advance.lexis.com/api/document?collection=cases-ca&amp;id=urn:contentItem:5F7T-S7D1-FFFC-B1B4-00000-00&amp;context=" TargetMode="External" /><Relationship Id="rId684" Type="http://schemas.openxmlformats.org/officeDocument/2006/relationships/hyperlink" Target="https://advance.lexis.com/api/document?collection=cases-ca&amp;id=urn:contentItem:5F7T-S7F1-FFFC-B268-00000-00&amp;context=" TargetMode="External" /><Relationship Id="rId685" Type="http://schemas.openxmlformats.org/officeDocument/2006/relationships/hyperlink" Target="https://advance.lexis.com/api/document?collection=cases-ca&amp;id=urn:contentItem:5F7T-S7H1-JCRC-B0RW-00000-00&amp;context=" TargetMode="External" /><Relationship Id="rId686" Type="http://schemas.openxmlformats.org/officeDocument/2006/relationships/hyperlink" Target="https://advance.lexis.com/api/document?collection=cases-ca&amp;id=urn:contentItem:5F7T-S7K1-JSJC-X0XM-00000-00&amp;context=" TargetMode="External" /><Relationship Id="rId687" Type="http://schemas.openxmlformats.org/officeDocument/2006/relationships/hyperlink" Target="https://advance.lexis.com/api/document?collection=cases-ca&amp;id=urn:contentItem:5F2P-NNN1-JXG3-X2B5-00000-00&amp;context=" TargetMode="External" /><Relationship Id="rId688" Type="http://schemas.openxmlformats.org/officeDocument/2006/relationships/hyperlink" Target="https://advance.lexis.com/api/document?collection=cases-ca&amp;id=urn:contentItem:5F7T-S711-JG02-S1HK-00000-00&amp;context=" TargetMode="External" /><Relationship Id="rId689" Type="http://schemas.openxmlformats.org/officeDocument/2006/relationships/hyperlink" Target="https://advance.lexis.com/api/document?collection=cases-ca&amp;id=urn:contentItem:5F7T-S7K1-F1H1-229C-00000-00&amp;context=" TargetMode="External" /><Relationship Id="rId69" Type="http://schemas.openxmlformats.org/officeDocument/2006/relationships/header" Target="header13.xml" /><Relationship Id="rId690" Type="http://schemas.openxmlformats.org/officeDocument/2006/relationships/hyperlink" Target="https://advance.lexis.com/api/document?collection=cases-ca&amp;id=urn:contentItem:5F7T-S721-F4NT-X2NS-00000-00&amp;context=" TargetMode="External" /><Relationship Id="rId691" Type="http://schemas.openxmlformats.org/officeDocument/2006/relationships/hyperlink" Target="https://advance.lexis.com/api/document?collection=cases-ca&amp;id=urn:contentItem:5F16-9321-JJK6-S1VS-00000-00&amp;context=" TargetMode="External" /><Relationship Id="rId692" Type="http://schemas.openxmlformats.org/officeDocument/2006/relationships/hyperlink" Target="https://advance.lexis.com/api/document?collection=cases-ca&amp;id=urn:contentItem:5F16-9321-FC6N-X1YC-00000-00&amp;context=" TargetMode="External" /><Relationship Id="rId693" Type="http://schemas.openxmlformats.org/officeDocument/2006/relationships/hyperlink" Target="https://advance.lexis.com/api/document?collection=cases-ca&amp;id=urn:contentItem:5F81-VJT1-JK4W-M47W-00000-00&amp;context=" TargetMode="External" /><Relationship Id="rId694" Type="http://schemas.openxmlformats.org/officeDocument/2006/relationships/hyperlink" Target="https://advance.lexis.com/api/document?collection=cases-ca&amp;id=urn:contentItem:5F8T-N3R1-JJSF-2327-00000-00&amp;context=" TargetMode="External" /><Relationship Id="rId695" Type="http://schemas.openxmlformats.org/officeDocument/2006/relationships/hyperlink" Target="https://advance.lexis.com/api/document?collection=cases-ca&amp;id=urn:contentItem:5F8T-N3P1-F81W-21X8-00000-00&amp;context=" TargetMode="External" /><Relationship Id="rId696" Type="http://schemas.openxmlformats.org/officeDocument/2006/relationships/hyperlink" Target="https://advance.lexis.com/api/document?collection=cases-ca&amp;id=urn:contentItem:5F8P-SF21-FH4C-X1JT-00000-00&amp;context=" TargetMode="External" /><Relationship Id="rId697" Type="http://schemas.openxmlformats.org/officeDocument/2006/relationships/hyperlink" Target="https://advance.lexis.com/api/document?collection=cases-ca&amp;id=urn:contentItem:5F7T-S731-F1WF-M229-00000-00&amp;context=" TargetMode="External" /><Relationship Id="rId698" Type="http://schemas.openxmlformats.org/officeDocument/2006/relationships/hyperlink" Target="https://advance.lexis.com/api/document?collection=cases-ca&amp;id=urn:contentItem:5F7T-S701-JK4W-M182-00000-00&amp;context=" TargetMode="External" /><Relationship Id="rId699" Type="http://schemas.openxmlformats.org/officeDocument/2006/relationships/hyperlink" Target="https://advance.lexis.com/api/document?collection=cases-ca&amp;id=urn:contentItem:5F82-1SH1-F8KH-X1R1-00000-00&amp;context=" TargetMode="External" /><Relationship Id="rId7" Type="http://schemas.openxmlformats.org/officeDocument/2006/relationships/footer" Target="footer2.xml" /><Relationship Id="rId70" Type="http://schemas.openxmlformats.org/officeDocument/2006/relationships/header" Target="header14.xml" /><Relationship Id="rId700" Type="http://schemas.openxmlformats.org/officeDocument/2006/relationships/hyperlink" Target="https://advance.lexis.com/api/document?collection=cases-ca&amp;id=urn:contentItem:5F82-1SJ1-DYMS-6378-00000-00&amp;context=" TargetMode="External" /><Relationship Id="rId701" Type="http://schemas.openxmlformats.org/officeDocument/2006/relationships/header" Target="header106.xml" /><Relationship Id="rId702" Type="http://schemas.openxmlformats.org/officeDocument/2006/relationships/header" Target="header107.xml" /><Relationship Id="rId703" Type="http://schemas.openxmlformats.org/officeDocument/2006/relationships/footer" Target="footer106.xml" /><Relationship Id="rId704" Type="http://schemas.openxmlformats.org/officeDocument/2006/relationships/footer" Target="footer107.xml" /><Relationship Id="rId705" Type="http://schemas.openxmlformats.org/officeDocument/2006/relationships/header" Target="header108.xml" /><Relationship Id="rId706" Type="http://schemas.openxmlformats.org/officeDocument/2006/relationships/footer" Target="footer108.xml" /><Relationship Id="rId707" Type="http://schemas.openxmlformats.org/officeDocument/2006/relationships/hyperlink" Target="https://advance.lexis.com/api/document?collection=cases-ca&amp;id=urn:contentItem:5F7T-S7F1-FBN1-21V2-00000-00&amp;context=" TargetMode="External" /><Relationship Id="rId708" Type="http://schemas.openxmlformats.org/officeDocument/2006/relationships/hyperlink" Target="https://advance.lexis.com/api/document?collection=cases-ca&amp;id=urn:contentItem:5F7T-S7D1-DY89-M47F-00000-00&amp;context=" TargetMode="External" /><Relationship Id="rId709" Type="http://schemas.openxmlformats.org/officeDocument/2006/relationships/hyperlink" Target="https://advance.lexis.com/api/document?collection=cases-ca&amp;id=urn:contentItem:5F8T-N3T1-JJSF-235C-00000-00&amp;context=" TargetMode="External" /><Relationship Id="rId71" Type="http://schemas.openxmlformats.org/officeDocument/2006/relationships/footer" Target="footer13.xml" /><Relationship Id="rId710" Type="http://schemas.openxmlformats.org/officeDocument/2006/relationships/hyperlink" Target="https://advance.lexis.com/api/document?collection=cases-ca&amp;id=urn:contentItem:5F7T-S7C1-F7VM-S3CW-00000-00&amp;context=" TargetMode="External" /><Relationship Id="rId711" Type="http://schemas.openxmlformats.org/officeDocument/2006/relationships/header" Target="header109.xml" /><Relationship Id="rId712" Type="http://schemas.openxmlformats.org/officeDocument/2006/relationships/header" Target="header110.xml" /><Relationship Id="rId713" Type="http://schemas.openxmlformats.org/officeDocument/2006/relationships/footer" Target="footer109.xml" /><Relationship Id="rId714" Type="http://schemas.openxmlformats.org/officeDocument/2006/relationships/footer" Target="footer110.xml" /><Relationship Id="rId715" Type="http://schemas.openxmlformats.org/officeDocument/2006/relationships/header" Target="header111.xml" /><Relationship Id="rId716" Type="http://schemas.openxmlformats.org/officeDocument/2006/relationships/footer" Target="footer111.xml" /><Relationship Id="rId717" Type="http://schemas.openxmlformats.org/officeDocument/2006/relationships/hyperlink" Target="https://advance.lexis.com/api/document?collection=cases-ca&amp;id=urn:contentItem:5F7T-S771-JWBS-61CR-00000-00&amp;context=" TargetMode="External" /><Relationship Id="rId718" Type="http://schemas.openxmlformats.org/officeDocument/2006/relationships/hyperlink" Target="https://advance.lexis.com/api/document?collection=legislation-ca&amp;id=urn:contentItem:5F41-1FJ1-JKPJ-G0P7-00000-00&amp;context=" TargetMode="External" /><Relationship Id="rId719" Type="http://schemas.openxmlformats.org/officeDocument/2006/relationships/hyperlink" Target="https://advance.lexis.com/api/document?collection=cases-ca&amp;id=urn:contentItem:5F81-VJV1-JK4W-M4GH-00000-00&amp;context=" TargetMode="External" /><Relationship Id="rId72" Type="http://schemas.openxmlformats.org/officeDocument/2006/relationships/footer" Target="footer14.xml" /><Relationship Id="rId720" Type="http://schemas.openxmlformats.org/officeDocument/2006/relationships/hyperlink" Target="https://advance.lexis.com/api/document?collection=cases-ca&amp;id=urn:contentItem:5F7T-S7H1-JFKM-626F-00000-00&amp;context=" TargetMode="External" /><Relationship Id="rId721" Type="http://schemas.openxmlformats.org/officeDocument/2006/relationships/hyperlink" Target="https://advance.lexis.com/api/document?collection=cases-ca&amp;id=urn:contentItem:5F7T-S711-JNS1-M134-00000-00&amp;context=" TargetMode="External" /><Relationship Id="rId722" Type="http://schemas.openxmlformats.org/officeDocument/2006/relationships/hyperlink" Target="https://advance.lexis.com/api/document?collection=cases-ca&amp;id=urn:contentItem:5F7T-S6T1-F2F4-G1FF-00000-00&amp;context=" TargetMode="External" /><Relationship Id="rId723" Type="http://schemas.openxmlformats.org/officeDocument/2006/relationships/hyperlink" Target="https://advance.lexis.com/api/document?collection=cases-ca&amp;id=urn:contentItem:5F7T-S741-F57G-S21R-00000-00&amp;context=" TargetMode="External" /><Relationship Id="rId724" Type="http://schemas.openxmlformats.org/officeDocument/2006/relationships/hyperlink" Target="https://advance.lexis.com/api/document?collection=cases-ca&amp;id=urn:contentItem:5F7T-S741-DXPM-S0RB-00000-00&amp;context=" TargetMode="External" /><Relationship Id="rId725" Type="http://schemas.openxmlformats.org/officeDocument/2006/relationships/hyperlink" Target="https://advance.lexis.com/api/document?collection=cases-ca&amp;id=urn:contentItem:5F81-VJX1-F5T5-M4HH-00000-00&amp;context=" TargetMode="External" /><Relationship Id="rId726" Type="http://schemas.openxmlformats.org/officeDocument/2006/relationships/hyperlink" Target="https://advance.lexis.com/api/document?collection=cases-ca&amp;id=urn:contentItem:5F7T-S751-JG02-S24T-00000-00&amp;context=" TargetMode="External" /><Relationship Id="rId727" Type="http://schemas.openxmlformats.org/officeDocument/2006/relationships/header" Target="header112.xml" /><Relationship Id="rId728" Type="http://schemas.openxmlformats.org/officeDocument/2006/relationships/header" Target="header113.xml" /><Relationship Id="rId729" Type="http://schemas.openxmlformats.org/officeDocument/2006/relationships/footer" Target="footer112.xml" /><Relationship Id="rId73" Type="http://schemas.openxmlformats.org/officeDocument/2006/relationships/header" Target="header15.xml" /><Relationship Id="rId730" Type="http://schemas.openxmlformats.org/officeDocument/2006/relationships/footer" Target="footer113.xml" /><Relationship Id="rId731" Type="http://schemas.openxmlformats.org/officeDocument/2006/relationships/header" Target="header114.xml" /><Relationship Id="rId732" Type="http://schemas.openxmlformats.org/officeDocument/2006/relationships/footer" Target="footer114.xml" /><Relationship Id="rId733" Type="http://schemas.openxmlformats.org/officeDocument/2006/relationships/hyperlink" Target="https://advance.lexis.com/api/document?collection=cases-ca&amp;id=urn:contentItem:5F7T-S7F1-DXWW-23PN-00000-00&amp;context=" TargetMode="External" /><Relationship Id="rId734" Type="http://schemas.openxmlformats.org/officeDocument/2006/relationships/hyperlink" Target="https://advance.lexis.com/api/document?collection=cases-ca&amp;id=urn:contentItem:5F7T-S781-F06F-246J-00000-00&amp;context=" TargetMode="External" /><Relationship Id="rId735" Type="http://schemas.openxmlformats.org/officeDocument/2006/relationships/hyperlink" Target="https://advance.lexis.com/api/document?collection=cases-ca&amp;id=urn:contentItem:5F7T-S7B1-FH4C-X3TV-00000-00&amp;context=" TargetMode="External" /><Relationship Id="rId736" Type="http://schemas.openxmlformats.org/officeDocument/2006/relationships/hyperlink" Target="https://advance.lexis.com/api/document?collection=cases-ca&amp;id=urn:contentItem:5F7T-S7B1-F7ND-G55R-00000-00&amp;context=" TargetMode="External" /><Relationship Id="rId737" Type="http://schemas.openxmlformats.org/officeDocument/2006/relationships/hyperlink" Target="https://advance.lexis.com/api/document?collection=cases-ca&amp;id=urn:contentItem:5F7T-S7B1-JCJ5-2038-00000-00&amp;context=" TargetMode="External" /><Relationship Id="rId738" Type="http://schemas.openxmlformats.org/officeDocument/2006/relationships/hyperlink" Target="https://advance.lexis.com/api/document?collection=cases-ca&amp;id=urn:contentItem:5F7T-S781-F900-G0NV-00000-00&amp;context=" TargetMode="External" /><Relationship Id="rId739" Type="http://schemas.openxmlformats.org/officeDocument/2006/relationships/hyperlink" Target="https://advance.lexis.com/api/document?collection=cases-ca&amp;id=urn:contentItem:5F7T-S7C1-F7VM-S3HT-00000-00&amp;context=" TargetMode="External" /><Relationship Id="rId74" Type="http://schemas.openxmlformats.org/officeDocument/2006/relationships/footer" Target="footer15.xml" /><Relationship Id="rId740" Type="http://schemas.openxmlformats.org/officeDocument/2006/relationships/hyperlink" Target="https://advance.lexis.com/api/document?collection=cases-ca&amp;id=urn:contentItem:5F7T-S6Y1-DY33-B06C-00000-00&amp;context=" TargetMode="External" /><Relationship Id="rId741" Type="http://schemas.openxmlformats.org/officeDocument/2006/relationships/hyperlink" Target="https://advance.lexis.com/api/document?collection=cases-ca&amp;id=urn:contentItem:5F7T-S6T1-FD4T-B028-00000-00&amp;context=" TargetMode="External" /><Relationship Id="rId742" Type="http://schemas.openxmlformats.org/officeDocument/2006/relationships/hyperlink" Target="https://advance.lexis.com/api/document?collection=cases-ca&amp;id=urn:contentItem:5K6Y-81K1-JKHB-63FD-00000-00&amp;context=" TargetMode="External" /><Relationship Id="rId743" Type="http://schemas.openxmlformats.org/officeDocument/2006/relationships/hyperlink" Target="https://advance.lexis.com/api/document?collection=cases-ca&amp;id=urn:contentItem:5F7T-S7D1-JXG3-X0NK-00000-00&amp;context=" TargetMode="External" /><Relationship Id="rId744" Type="http://schemas.openxmlformats.org/officeDocument/2006/relationships/hyperlink" Target="https://advance.lexis.com/api/document?collection=cases-ca&amp;id=urn:contentItem:5F7T-S7D1-JG02-S2YG-00000-00&amp;context=" TargetMode="External" /><Relationship Id="rId745" Type="http://schemas.openxmlformats.org/officeDocument/2006/relationships/hyperlink" Target="https://advance.lexis.com/api/document?collection=cases-ca&amp;id=urn:contentItem:5F7T-S7D1-JS5Y-B28N-00000-00&amp;context=" TargetMode="External" /><Relationship Id="rId746" Type="http://schemas.openxmlformats.org/officeDocument/2006/relationships/hyperlink" Target="https://advance.lexis.com/api/document?collection=cases-ca&amp;id=urn:contentItem:5F7T-S7D1-JXG3-X0Y6-00000-00&amp;context=" TargetMode="External" /><Relationship Id="rId747" Type="http://schemas.openxmlformats.org/officeDocument/2006/relationships/hyperlink" Target="https://advance.lexis.com/api/document?collection=cases-ca&amp;id=urn:contentItem:5F7T-S781-DYMS-61NB-00000-00&amp;context=" TargetMode="External" /><Relationship Id="rId748" Type="http://schemas.openxmlformats.org/officeDocument/2006/relationships/hyperlink" Target="https://advance.lexis.com/api/document?collection=cases-ca&amp;id=urn:contentItem:5F7T-S771-F361-M1VH-00000-00&amp;context=" TargetMode="External" /><Relationship Id="rId749" Type="http://schemas.openxmlformats.org/officeDocument/2006/relationships/hyperlink" Target="https://advance.lexis.com/api/document?collection=cases-ca&amp;id=urn:contentItem:5F7T-S7D1-FBFS-S1MK-00000-00&amp;context=" TargetMode="External" /><Relationship Id="rId75" Type="http://schemas.openxmlformats.org/officeDocument/2006/relationships/hyperlink" Target="https://advance.lexis.com/api/document?collection=cases-ca&amp;id=urn:contentItem:5F7T-S7C1-F7VM-S3F5-00000-00&amp;context=" TargetMode="External" /><Relationship Id="rId750" Type="http://schemas.openxmlformats.org/officeDocument/2006/relationships/hyperlink" Target="https://advance.lexis.com/api/document?collection=cases-ca&amp;id=urn:contentItem:5F7T-S6T1-FJTD-G17V-00000-00&amp;context=" TargetMode="External" /><Relationship Id="rId751" Type="http://schemas.openxmlformats.org/officeDocument/2006/relationships/hyperlink" Target="https://advance.lexis.com/api/document?collection=cases-ca&amp;id=urn:contentItem:5F7T-S781-F7G6-63BD-00000-00&amp;context=" TargetMode="External" /><Relationship Id="rId752" Type="http://schemas.openxmlformats.org/officeDocument/2006/relationships/hyperlink" Target="https://advance.lexis.com/api/document?collection=cases-ca&amp;id=urn:contentItem:5F7T-S721-F06F-236K-00000-00&amp;context=" TargetMode="External" /><Relationship Id="rId753" Type="http://schemas.openxmlformats.org/officeDocument/2006/relationships/hyperlink" Target="https://advance.lexis.com/api/document?collection=cases-ca&amp;id=urn:contentItem:5F7T-S6V1-F956-S05N-00000-00&amp;context=" TargetMode="External" /><Relationship Id="rId754" Type="http://schemas.openxmlformats.org/officeDocument/2006/relationships/hyperlink" Target="https://advance.lexis.com/api/document?collection=cases-ca&amp;id=urn:contentItem:5F7T-S6V1-F2TK-21XR-00000-00&amp;context=" TargetMode="External" /><Relationship Id="rId755" Type="http://schemas.openxmlformats.org/officeDocument/2006/relationships/header" Target="header115.xml" /><Relationship Id="rId756" Type="http://schemas.openxmlformats.org/officeDocument/2006/relationships/header" Target="header116.xml" /><Relationship Id="rId757" Type="http://schemas.openxmlformats.org/officeDocument/2006/relationships/footer" Target="footer115.xml" /><Relationship Id="rId758" Type="http://schemas.openxmlformats.org/officeDocument/2006/relationships/footer" Target="footer116.xml" /><Relationship Id="rId759" Type="http://schemas.openxmlformats.org/officeDocument/2006/relationships/header" Target="header117.xml" /><Relationship Id="rId76" Type="http://schemas.openxmlformats.org/officeDocument/2006/relationships/hyperlink" Target="https://advance.lexis.com/api/document?collection=cases-ca&amp;id=urn:contentItem:5F7T-S7B1-FH4C-X37B-00000-00&amp;context=" TargetMode="External" /><Relationship Id="rId760" Type="http://schemas.openxmlformats.org/officeDocument/2006/relationships/footer" Target="footer117.xml" /><Relationship Id="rId761" Type="http://schemas.openxmlformats.org/officeDocument/2006/relationships/hyperlink" Target="https://advance.lexis.com/api/document?collection=cases-ca&amp;id=urn:contentItem:5F7T-S7C1-F30T-B284-00000-00&amp;context=" TargetMode="External" /><Relationship Id="rId762" Type="http://schemas.openxmlformats.org/officeDocument/2006/relationships/hyperlink" Target="https://advance.lexis.com/api/document?collection=cases-ca&amp;id=urn:contentItem:5F7T-S781-DYMS-619P-00000-00&amp;context=" TargetMode="External" /><Relationship Id="rId763" Type="http://schemas.openxmlformats.org/officeDocument/2006/relationships/hyperlink" Target="https://advance.lexis.com/api/document?collection=cases-ca&amp;id=urn:contentItem:5F7T-S7C1-F7ND-G044-00000-00&amp;context=" TargetMode="External" /><Relationship Id="rId764" Type="http://schemas.openxmlformats.org/officeDocument/2006/relationships/hyperlink" Target="https://advance.lexis.com/api/document?collection=cases-ca&amp;id=urn:contentItem:5F8P-SDM1-F5T5-M2K8-00000-00&amp;context=" TargetMode="External" /><Relationship Id="rId765" Type="http://schemas.openxmlformats.org/officeDocument/2006/relationships/hyperlink" Target="https://advance.lexis.com/api/document?collection=cases-ca&amp;id=urn:contentItem:5F7T-S7C1-FCSB-S26B-00000-00&amp;context=" TargetMode="External" /><Relationship Id="rId766" Type="http://schemas.openxmlformats.org/officeDocument/2006/relationships/hyperlink" Target="https://advance.lexis.com/api/document?collection=cases-ca&amp;id=urn:contentItem:5F7T-S781-JC5P-G1W7-00000-00&amp;context=" TargetMode="External" /><Relationship Id="rId767" Type="http://schemas.openxmlformats.org/officeDocument/2006/relationships/hyperlink" Target="https://advance.lexis.com/api/document?collection=cases-ca&amp;id=urn:contentItem:5F7T-S771-JJD0-G1DB-00000-00&amp;context=" TargetMode="External" /><Relationship Id="rId768" Type="http://schemas.openxmlformats.org/officeDocument/2006/relationships/hyperlink" Target="https://advance.lexis.com/api/document?collection=cases-ca&amp;id=urn:contentItem:5F7T-S781-F900-G0RC-00000-00&amp;context=" TargetMode="External" /><Relationship Id="rId769" Type="http://schemas.openxmlformats.org/officeDocument/2006/relationships/hyperlink" Target="https://advance.lexis.com/api/document?collection=cases-ca&amp;id=urn:contentItem:5F8P-SCT1-JJK6-S52K-00000-00&amp;context=" TargetMode="External" /><Relationship Id="rId77" Type="http://schemas.openxmlformats.org/officeDocument/2006/relationships/hyperlink" Target="https://advance.lexis.com/api/document?collection=cases-ca&amp;id=urn:contentItem:5F7T-S6R1-JW09-M09C-00000-00&amp;context=" TargetMode="External" /><Relationship Id="rId770" Type="http://schemas.openxmlformats.org/officeDocument/2006/relationships/hyperlink" Target="https://advance.lexis.com/api/document?collection=cases-ca&amp;id=urn:contentItem:5F8T-N3V1-FC1F-M48G-00000-00&amp;context=" TargetMode="External" /><Relationship Id="rId771" Type="http://schemas.openxmlformats.org/officeDocument/2006/relationships/hyperlink" Target="https://advance.lexis.com/api/document?collection=cases-ca&amp;id=urn:contentItem:5F8P-SBV1-DXWW-2288-00000-00&amp;context=" TargetMode="External" /><Relationship Id="rId772" Type="http://schemas.openxmlformats.org/officeDocument/2006/relationships/hyperlink" Target="https://advance.lexis.com/api/document?collection=cases-ca&amp;id=urn:contentItem:5F8T-N3S1-JBDT-B0CD-00000-00&amp;context=" TargetMode="External" /><Relationship Id="rId773" Type="http://schemas.openxmlformats.org/officeDocument/2006/relationships/hyperlink" Target="https://advance.lexis.com/api/document?collection=cases-ca&amp;id=urn:contentItem:5F8T-N3N1-JWXF-24JF-00000-00&amp;context=" TargetMode="External" /><Relationship Id="rId774" Type="http://schemas.openxmlformats.org/officeDocument/2006/relationships/hyperlink" Target="https://advance.lexis.com/api/document?collection=cases-ca&amp;id=urn:contentItem:5F81-VJX1-JKPJ-G1FM-00000-00&amp;context=" TargetMode="External" /><Relationship Id="rId775" Type="http://schemas.openxmlformats.org/officeDocument/2006/relationships/hyperlink" Target="https://advance.lexis.com/api/document?collection=cases-ca&amp;id=urn:contentItem:5F8N-K6W1-JNJT-B50T-00000-00&amp;context=" TargetMode="External" /><Relationship Id="rId776" Type="http://schemas.openxmlformats.org/officeDocument/2006/relationships/hyperlink" Target="https://advance.lexis.com/api/document?collection=cases-ca&amp;id=urn:contentItem:5F7V-3DG1-JJK6-S3K7-00000-00&amp;context=" TargetMode="External" /><Relationship Id="rId777" Type="http://schemas.openxmlformats.org/officeDocument/2006/relationships/hyperlink" Target="https://advance.lexis.com/api/document?collection=cases-ca&amp;id=urn:contentItem:5F7V-3DG1-JJK6-S3YV-00000-00&amp;context=" TargetMode="External" /><Relationship Id="rId778" Type="http://schemas.openxmlformats.org/officeDocument/2006/relationships/hyperlink" Target="https://advance.lexis.com/api/document?collection=cases-ca&amp;id=urn:contentItem:5F7T-S741-F528-G2FD-00000-00&amp;context=" TargetMode="External" /><Relationship Id="rId779" Type="http://schemas.openxmlformats.org/officeDocument/2006/relationships/hyperlink" Target="https://advance.lexis.com/api/document?collection=cases-ca&amp;id=urn:contentItem:5F8P-SDM1-F5T5-M27G-00000-00&amp;context=" TargetMode="External" /><Relationship Id="rId78" Type="http://schemas.openxmlformats.org/officeDocument/2006/relationships/hyperlink" Target="https://advance.lexis.com/api/document?collection=cases-ca&amp;id=urn:contentItem:5F8T-N3T1-JFKM-655K-00000-00&amp;context=" TargetMode="External" /><Relationship Id="rId780" Type="http://schemas.openxmlformats.org/officeDocument/2006/relationships/hyperlink" Target="https://advance.lexis.com/api/document?collection=cases-ca&amp;id=urn:contentItem:5F8T-N3T1-JGHR-M27Y-00000-00&amp;context=" TargetMode="External" /><Relationship Id="rId781" Type="http://schemas.openxmlformats.org/officeDocument/2006/relationships/hyperlink" Target="https://advance.lexis.com/api/document?collection=cases-ca&amp;id=urn:contentItem:5F8T-N3V1-FC1F-M486-00000-00&amp;context=" TargetMode="External" /><Relationship Id="rId782" Type="http://schemas.openxmlformats.org/officeDocument/2006/relationships/hyperlink" Target="https://advance.lexis.com/api/document?collection=cases-ca&amp;id=urn:contentItem:5F8T-N3V1-FC1F-M497-00000-00&amp;context=" TargetMode="External" /><Relationship Id="rId783" Type="http://schemas.openxmlformats.org/officeDocument/2006/relationships/hyperlink" Target="https://advance.lexis.com/api/document?collection=cases-ca&amp;id=urn:contentItem:5F8P-SDG1-F4GK-M2C1-00000-00&amp;context=" TargetMode="External" /><Relationship Id="rId784" Type="http://schemas.openxmlformats.org/officeDocument/2006/relationships/hyperlink" Target="https://advance.lexis.com/api/document?collection=cases-ca&amp;id=urn:contentItem:5F8P-SDM1-F5T5-M2KV-00000-00&amp;context=" TargetMode="External" /><Relationship Id="rId785" Type="http://schemas.openxmlformats.org/officeDocument/2006/relationships/header" Target="header118.xml" /><Relationship Id="rId786" Type="http://schemas.openxmlformats.org/officeDocument/2006/relationships/header" Target="header119.xml" /><Relationship Id="rId787" Type="http://schemas.openxmlformats.org/officeDocument/2006/relationships/footer" Target="footer118.xml" /><Relationship Id="rId788" Type="http://schemas.openxmlformats.org/officeDocument/2006/relationships/footer" Target="footer119.xml" /><Relationship Id="rId789" Type="http://schemas.openxmlformats.org/officeDocument/2006/relationships/header" Target="header120.xml" /><Relationship Id="rId79" Type="http://schemas.openxmlformats.org/officeDocument/2006/relationships/hyperlink" Target="https://advance.lexis.com/api/document?collection=cases-ca&amp;id=urn:contentItem:5F7T-S771-JW5H-X1V7-00000-00&amp;context=" TargetMode="External" /><Relationship Id="rId790" Type="http://schemas.openxmlformats.org/officeDocument/2006/relationships/footer" Target="footer120.xml" /><Relationship Id="rId791" Type="http://schemas.openxmlformats.org/officeDocument/2006/relationships/hyperlink" Target="https://advance.lexis.com/api/document?collection=cases-ca&amp;id=urn:contentItem:5F7T-S7F1-DXWW-23R7-00000-00&amp;context=" TargetMode="External" /><Relationship Id="rId792" Type="http://schemas.openxmlformats.org/officeDocument/2006/relationships/hyperlink" Target="https://advance.lexis.com/api/document?collection=cases-ca&amp;id=urn:contentItem:5F7T-S6Y1-F65M-6050-00000-00&amp;context=" TargetMode="External" /><Relationship Id="rId793" Type="http://schemas.openxmlformats.org/officeDocument/2006/relationships/hyperlink" Target="https://advance.lexis.com/api/document?collection=cases-ca&amp;id=urn:contentItem:5F7T-S731-F1WF-M284-00000-00&amp;context=" TargetMode="External" /><Relationship Id="rId794" Type="http://schemas.openxmlformats.org/officeDocument/2006/relationships/hyperlink" Target="https://advance.lexis.com/api/document?collection=cases-ca&amp;id=urn:contentItem:5F7F-5RG1-JT42-S07M-00000-00&amp;context=" TargetMode="External" /><Relationship Id="rId795" Type="http://schemas.openxmlformats.org/officeDocument/2006/relationships/hyperlink" Target="https://advance.lexis.com/api/document?collection=cases-ca&amp;id=urn:contentItem:5F7T-S721-F4NT-X2W2-00000-00&amp;context=" TargetMode="External" /><Relationship Id="rId796" Type="http://schemas.openxmlformats.org/officeDocument/2006/relationships/hyperlink" Target="https://advance.lexis.com/api/document?collection=cases-ca&amp;id=urn:contentItem:5F7T-S791-FJTD-G2PM-00000-00&amp;context=" TargetMode="External" /><Relationship Id="rId797" Type="http://schemas.openxmlformats.org/officeDocument/2006/relationships/header" Target="header121.xml" /><Relationship Id="rId798" Type="http://schemas.openxmlformats.org/officeDocument/2006/relationships/header" Target="header122.xml" /><Relationship Id="rId799" Type="http://schemas.openxmlformats.org/officeDocument/2006/relationships/footer" Target="footer121.xml" /><Relationship Id="rId8" Type="http://schemas.openxmlformats.org/officeDocument/2006/relationships/header" Target="header3.xml" /><Relationship Id="rId80" Type="http://schemas.openxmlformats.org/officeDocument/2006/relationships/header" Target="header16.xml" /><Relationship Id="rId800" Type="http://schemas.openxmlformats.org/officeDocument/2006/relationships/footer" Target="footer122.xml" /><Relationship Id="rId801" Type="http://schemas.openxmlformats.org/officeDocument/2006/relationships/header" Target="header123.xml" /><Relationship Id="rId802" Type="http://schemas.openxmlformats.org/officeDocument/2006/relationships/footer" Target="footer123.xml" /><Relationship Id="rId803" Type="http://schemas.openxmlformats.org/officeDocument/2006/relationships/hyperlink" Target="https://advance.lexis.com/api/document?collection=cases-ca&amp;id=urn:contentItem:5F7T-S7F1-DXWW-23SP-00000-00&amp;context=" TargetMode="External" /><Relationship Id="rId804" Type="http://schemas.openxmlformats.org/officeDocument/2006/relationships/hyperlink" Target="https://advance.lexis.com/api/document?collection=cases-ca&amp;id=urn:contentItem:5F7T-S6V1-JFKM-60W1-00000-00&amp;context=" TargetMode="External" /><Relationship Id="rId805" Type="http://schemas.openxmlformats.org/officeDocument/2006/relationships/hyperlink" Target="https://advance.lexis.com/api/document?collection=cases-ca&amp;id=urn:contentItem:5F7T-S6R1-DXWW-22SS-00000-00&amp;context=" TargetMode="External" /><Relationship Id="rId806" Type="http://schemas.openxmlformats.org/officeDocument/2006/relationships/header" Target="header124.xml" /><Relationship Id="rId807" Type="http://schemas.openxmlformats.org/officeDocument/2006/relationships/header" Target="header125.xml" /><Relationship Id="rId808" Type="http://schemas.openxmlformats.org/officeDocument/2006/relationships/footer" Target="footer124.xml" /><Relationship Id="rId809" Type="http://schemas.openxmlformats.org/officeDocument/2006/relationships/footer" Target="footer125.xml" /><Relationship Id="rId81" Type="http://schemas.openxmlformats.org/officeDocument/2006/relationships/header" Target="header17.xml" /><Relationship Id="rId810" Type="http://schemas.openxmlformats.org/officeDocument/2006/relationships/header" Target="header126.xml" /><Relationship Id="rId811" Type="http://schemas.openxmlformats.org/officeDocument/2006/relationships/footer" Target="footer126.xml" /><Relationship Id="rId812" Type="http://schemas.openxmlformats.org/officeDocument/2006/relationships/hyperlink" Target="https://advance.lexis.com/api/document?collection=cases-ca&amp;id=urn:contentItem:5F7T-S7D1-DY89-M45J-00000-00&amp;context=" TargetMode="External" /><Relationship Id="rId813" Type="http://schemas.openxmlformats.org/officeDocument/2006/relationships/hyperlink" Target="https://advance.lexis.com/api/document?collection=cases-ca&amp;id=urn:contentItem:5F7T-S7D1-FCSB-S33F-00000-00&amp;context=" TargetMode="External" /><Relationship Id="rId814" Type="http://schemas.openxmlformats.org/officeDocument/2006/relationships/hyperlink" Target="https://advance.lexis.com/api/document?collection=cases-ca&amp;id=urn:contentItem:5F7T-S781-JC5P-G1HX-00000-00&amp;context=" TargetMode="External" /><Relationship Id="rId815" Type="http://schemas.openxmlformats.org/officeDocument/2006/relationships/hyperlink" Target="https://advance.lexis.com/api/document?collection=cases-ca&amp;id=urn:contentItem:5F7T-S781-F27X-61JT-00000-00&amp;context=" TargetMode="External" /><Relationship Id="rId816" Type="http://schemas.openxmlformats.org/officeDocument/2006/relationships/hyperlink" Target="https://advance.lexis.com/api/document?collection=cases-ca&amp;id=urn:contentItem:5F7T-S7C1-F4NT-X33H-00000-00&amp;context=" TargetMode="External" /><Relationship Id="rId817" Type="http://schemas.openxmlformats.org/officeDocument/2006/relationships/hyperlink" Target="https://advance.lexis.com/api/document?collection=cases-ca&amp;id=urn:contentItem:5F7T-S761-JGHR-M2F7-00000-00&amp;context=" TargetMode="External" /><Relationship Id="rId818" Type="http://schemas.openxmlformats.org/officeDocument/2006/relationships/hyperlink" Target="https://advance.lexis.com/api/document?collection=cases-ca&amp;id=urn:contentItem:5F7T-S781-JC5P-G1SV-00000-00&amp;context=" TargetMode="External" /><Relationship Id="rId819" Type="http://schemas.openxmlformats.org/officeDocument/2006/relationships/hyperlink" Target="https://advance.lexis.com/api/document?collection=cases-ca&amp;id=urn:contentItem:5F7T-S771-JW5H-X26S-00000-00&amp;context=" TargetMode="External" /><Relationship Id="rId82" Type="http://schemas.openxmlformats.org/officeDocument/2006/relationships/footer" Target="footer16.xml" /><Relationship Id="rId820" Type="http://schemas.openxmlformats.org/officeDocument/2006/relationships/hyperlink" Target="https://advance.lexis.com/api/document?collection=cases-ca&amp;id=urn:contentItem:5F7T-S761-JS5Y-B1PG-00000-00&amp;context=" TargetMode="External" /><Relationship Id="rId821" Type="http://schemas.openxmlformats.org/officeDocument/2006/relationships/hyperlink" Target="https://advance.lexis.com/api/document?collection=cases-ca&amp;id=urn:contentItem:5F8T-N3V1-JF75-M3JV-00000-00&amp;context=" TargetMode="External" /><Relationship Id="rId822" Type="http://schemas.openxmlformats.org/officeDocument/2006/relationships/hyperlink" Target="https://advance.lexis.com/api/document?collection=cases-ca&amp;id=urn:contentItem:5F8T-N3V1-JTGH-B11H-00000-00&amp;context=" TargetMode="External" /><Relationship Id="rId823" Type="http://schemas.openxmlformats.org/officeDocument/2006/relationships/hyperlink" Target="https://advance.lexis.com/api/document?collection=cases-ca&amp;id=urn:contentItem:5F8T-N3V1-JF75-M3JW-00000-00&amp;context=" TargetMode="External" /><Relationship Id="rId824" Type="http://schemas.openxmlformats.org/officeDocument/2006/relationships/hyperlink" Target="https://advance.lexis.com/api/document?collection=cases-ca&amp;id=urn:contentItem:5F81-VJX1-JKPJ-G1D0-00000-00&amp;context=" TargetMode="External" /><Relationship Id="rId825" Type="http://schemas.openxmlformats.org/officeDocument/2006/relationships/hyperlink" Target="https://advance.lexis.com/api/document?collection=cases-ca&amp;id=urn:contentItem:5F8T-N3V1-FC1F-M4FN-00000-00&amp;context=" TargetMode="External" /><Relationship Id="rId826" Type="http://schemas.openxmlformats.org/officeDocument/2006/relationships/hyperlink" Target="https://advance.lexis.com/api/document?collection=cases-ca&amp;id=urn:contentItem:5F7T-S741-FJM6-61FS-00000-00&amp;context=" TargetMode="External" /><Relationship Id="rId827" Type="http://schemas.openxmlformats.org/officeDocument/2006/relationships/header" Target="header127.xml" /><Relationship Id="rId828" Type="http://schemas.openxmlformats.org/officeDocument/2006/relationships/header" Target="header128.xml" /><Relationship Id="rId829" Type="http://schemas.openxmlformats.org/officeDocument/2006/relationships/footer" Target="footer127.xml" /><Relationship Id="rId83" Type="http://schemas.openxmlformats.org/officeDocument/2006/relationships/footer" Target="footer17.xml" /><Relationship Id="rId830" Type="http://schemas.openxmlformats.org/officeDocument/2006/relationships/footer" Target="footer128.xml" /><Relationship Id="rId831" Type="http://schemas.openxmlformats.org/officeDocument/2006/relationships/header" Target="header129.xml" /><Relationship Id="rId832" Type="http://schemas.openxmlformats.org/officeDocument/2006/relationships/footer" Target="footer129.xml" /><Relationship Id="rId833" Type="http://schemas.openxmlformats.org/officeDocument/2006/relationships/hyperlink" Target="https://advance.lexis.com/api/document?collection=cases-ca&amp;id=urn:contentItem:5F7T-S7C1-F4NT-X44D-00000-00&amp;context=" TargetMode="External" /><Relationship Id="rId834" Type="http://schemas.openxmlformats.org/officeDocument/2006/relationships/hyperlink" Target="https://advance.lexis.com/api/document?collection=cases-ca&amp;id=urn:contentItem:5F7T-S7C1-JS0R-2262-00000-00&amp;context=" TargetMode="External" /><Relationship Id="rId835" Type="http://schemas.openxmlformats.org/officeDocument/2006/relationships/hyperlink" Target="https://advance.lexis.com/api/document?collection=cases-ca&amp;id=urn:contentItem:5F7T-S781-F06F-23M6-00000-00&amp;context=" TargetMode="External" /><Relationship Id="rId836" Type="http://schemas.openxmlformats.org/officeDocument/2006/relationships/hyperlink" Target="https://advance.lexis.com/api/document?collection=cases-ca&amp;id=urn:contentItem:5F7T-S6T1-JTNR-M2MX-00000-00&amp;context=" TargetMode="External" /><Relationship Id="rId837" Type="http://schemas.openxmlformats.org/officeDocument/2006/relationships/hyperlink" Target="https://advance.lexis.com/api/document?collection=cases-ca&amp;id=urn:contentItem:5F7T-S6W1-JB7K-21FR-00000-00&amp;context=" TargetMode="External" /><Relationship Id="rId838" Type="http://schemas.openxmlformats.org/officeDocument/2006/relationships/hyperlink" Target="https://advance.lexis.com/api/document?collection=cases-ca&amp;id=urn:contentItem:5F7T-S7C1-FCSB-S2J7-00000-00&amp;context=" TargetMode="External" /><Relationship Id="rId839" Type="http://schemas.openxmlformats.org/officeDocument/2006/relationships/hyperlink" Target="https://advance.lexis.com/api/document?collection=cases-ca&amp;id=urn:contentItem:5F7T-S7C1-FGRY-B03S-00000-00&amp;context=" TargetMode="External" /><Relationship Id="rId84" Type="http://schemas.openxmlformats.org/officeDocument/2006/relationships/header" Target="header18.xml" /><Relationship Id="rId840" Type="http://schemas.openxmlformats.org/officeDocument/2006/relationships/hyperlink" Target="https://advance.lexis.com/api/document?collection=cases-ca&amp;id=urn:contentItem:5F7T-S7C1-F4NT-X3X3-00000-00&amp;context=" TargetMode="External" /><Relationship Id="rId841" Type="http://schemas.openxmlformats.org/officeDocument/2006/relationships/hyperlink" Target="https://advance.lexis.com/api/document?collection=cases-ca&amp;id=urn:contentItem:5F7T-S771-JW5H-X1M8-00000-00&amp;context=" TargetMode="External" /><Relationship Id="rId842" Type="http://schemas.openxmlformats.org/officeDocument/2006/relationships/hyperlink" Target="https://advance.lexis.com/api/document?collection=cases-ca&amp;id=urn:contentItem:5F7T-S711-F4GK-M2NT-00000-00&amp;context=" TargetMode="External" /><Relationship Id="rId843" Type="http://schemas.openxmlformats.org/officeDocument/2006/relationships/hyperlink" Target="https://advance.lexis.com/api/document?collection=cases-ca&amp;id=urn:contentItem:5F7T-S771-JSJC-X01R-00000-00&amp;context=" TargetMode="External" /><Relationship Id="rId844" Type="http://schemas.openxmlformats.org/officeDocument/2006/relationships/hyperlink" Target="https://advance.lexis.com/api/document?collection=cases-ca&amp;id=urn:contentItem:5F7T-S7C1-JS0R-22GJ-00000-00&amp;context=" TargetMode="External" /><Relationship Id="rId845" Type="http://schemas.openxmlformats.org/officeDocument/2006/relationships/header" Target="header130.xml" /><Relationship Id="rId846" Type="http://schemas.openxmlformats.org/officeDocument/2006/relationships/header" Target="header131.xml" /><Relationship Id="rId847" Type="http://schemas.openxmlformats.org/officeDocument/2006/relationships/footer" Target="footer130.xml" /><Relationship Id="rId848" Type="http://schemas.openxmlformats.org/officeDocument/2006/relationships/footer" Target="footer131.xml" /><Relationship Id="rId849" Type="http://schemas.openxmlformats.org/officeDocument/2006/relationships/header" Target="header132.xml" /><Relationship Id="rId85" Type="http://schemas.openxmlformats.org/officeDocument/2006/relationships/footer" Target="footer18.xml" /><Relationship Id="rId850" Type="http://schemas.openxmlformats.org/officeDocument/2006/relationships/footer" Target="footer132.xml" /><Relationship Id="rId851" Type="http://schemas.openxmlformats.org/officeDocument/2006/relationships/hyperlink" Target="https://advance.lexis.com/api/document?collection=cases-ca&amp;id=urn:contentItem:5F7T-S7D1-JS5Y-B2DH-00000-00&amp;context=" TargetMode="External" /><Relationship Id="rId852" Type="http://schemas.openxmlformats.org/officeDocument/2006/relationships/hyperlink" Target="https://advance.lexis.com/api/document?collection=cases-ca&amp;id=urn:contentItem:5F7T-S751-JGHR-M1MX-00000-00&amp;context=" TargetMode="External" /><Relationship Id="rId853" Type="http://schemas.openxmlformats.org/officeDocument/2006/relationships/hyperlink" Target="https://advance.lexis.com/api/document?collection=cases-ca&amp;id=urn:contentItem:5F8P-SDN1-FC6N-X4JF-00000-00&amp;context=" TargetMode="External" /><Relationship Id="rId854" Type="http://schemas.openxmlformats.org/officeDocument/2006/relationships/header" Target="header133.xml" /><Relationship Id="rId855" Type="http://schemas.openxmlformats.org/officeDocument/2006/relationships/header" Target="header134.xml" /><Relationship Id="rId856" Type="http://schemas.openxmlformats.org/officeDocument/2006/relationships/footer" Target="footer133.xml" /><Relationship Id="rId857" Type="http://schemas.openxmlformats.org/officeDocument/2006/relationships/footer" Target="footer134.xml" /><Relationship Id="rId858" Type="http://schemas.openxmlformats.org/officeDocument/2006/relationships/header" Target="header135.xml" /><Relationship Id="rId859" Type="http://schemas.openxmlformats.org/officeDocument/2006/relationships/footer" Target="footer135.xml" /><Relationship Id="rId86" Type="http://schemas.openxmlformats.org/officeDocument/2006/relationships/hyperlink" Target="https://advance.lexis.com/api/document?collection=cases-ca&amp;id=urn:contentItem:5GCC-XVC1-JSRM-60KT-00000-00&amp;context=" TargetMode="External" /><Relationship Id="rId860" Type="http://schemas.openxmlformats.org/officeDocument/2006/relationships/hyperlink" Target="https://advance.lexis.com/api/document?collection=cases-ca&amp;id=urn:contentItem:5Y0H-8R21-JX8W-M3VR-00000-00&amp;context=" TargetMode="External" /><Relationship Id="rId861" Type="http://schemas.openxmlformats.org/officeDocument/2006/relationships/image" Target="media/image1.png" /><Relationship Id="rId862" Type="http://schemas.openxmlformats.org/officeDocument/2006/relationships/image" Target="media/image2.png" /><Relationship Id="rId863" Type="http://schemas.openxmlformats.org/officeDocument/2006/relationships/image" Target="media/image3.png" /><Relationship Id="rId864" Type="http://schemas.openxmlformats.org/officeDocument/2006/relationships/hyperlink" Target="https://advance.lexis.com/api/document?collection=cases-ca&amp;id=urn:contentItem:5N59-FCC1-F1P7-B3S6-00000-00&amp;context=" TargetMode="External" /><Relationship Id="rId865" Type="http://schemas.openxmlformats.org/officeDocument/2006/relationships/hyperlink" Target="https://advance.lexis.com/api/document?collection=cases-ca&amp;id=urn:contentItem:5W78-2BT1-F30T-B35H-00000-00&amp;context=" TargetMode="External" /><Relationship Id="rId866" Type="http://schemas.openxmlformats.org/officeDocument/2006/relationships/hyperlink" Target="https://advance.lexis.com/api/document?collection=cases-ca&amp;id=urn:contentItem:5F81-VJY1-FBN1-231T-00000-00&amp;context=" TargetMode="External" /><Relationship Id="rId867" Type="http://schemas.openxmlformats.org/officeDocument/2006/relationships/hyperlink" Target="https://advance.lexis.com/api/document?collection=cases-ca&amp;id=urn:contentItem:5F8T-N3V1-FC1F-M47R-00000-00&amp;context=" TargetMode="External" /><Relationship Id="rId868" Type="http://schemas.openxmlformats.org/officeDocument/2006/relationships/hyperlink" Target="https://advance.lexis.com/api/document?collection=cases-ca&amp;id=urn:contentItem:5F7T-S781-JC5P-G1G3-00000-00&amp;context=" TargetMode="External" /><Relationship Id="rId869" Type="http://schemas.openxmlformats.org/officeDocument/2006/relationships/hyperlink" Target="https://advance.lexis.com/api/document?collection=cases-ca&amp;id=urn:contentItem:5F7T-S7K1-JX3N-B33P-00000-00&amp;context=" TargetMode="External" /><Relationship Id="rId87" Type="http://schemas.openxmlformats.org/officeDocument/2006/relationships/hyperlink" Target="https://advance.lexis.com/api/document?collection=cases-ca&amp;id=urn:contentItem:5F7T-S7K1-F528-G2XC-00000-00&amp;context=" TargetMode="External" /><Relationship Id="rId870" Type="http://schemas.openxmlformats.org/officeDocument/2006/relationships/hyperlink" Target="https://advance.lexis.com/api/document?collection=cases-ca&amp;id=urn:contentItem:5F7T-S771-FG68-G10V-00000-00&amp;context=" TargetMode="External" /><Relationship Id="rId871" Type="http://schemas.openxmlformats.org/officeDocument/2006/relationships/image" Target="media/image4.jpeg" /><Relationship Id="rId872" Type="http://schemas.openxmlformats.org/officeDocument/2006/relationships/hyperlink" Target="https://advance.lexis.com/api/document?collection=cases-ca&amp;id=urn:contentItem:5F81-VJY1-JWBS-64JP-00000-00&amp;context=" TargetMode="External" /><Relationship Id="rId873" Type="http://schemas.openxmlformats.org/officeDocument/2006/relationships/hyperlink" Target="https://advance.lexis.com/api/document?collection=cases-ca&amp;id=urn:contentItem:5F7T-S7D1-JG02-S32J-00000-00&amp;context=" TargetMode="External" /><Relationship Id="rId874" Type="http://schemas.openxmlformats.org/officeDocument/2006/relationships/hyperlink" Target="https://advance.lexis.com/api/document?collection=cases-ca&amp;id=urn:contentItem:5F7T-S6W1-JB7K-21K9-00000-00&amp;context=" TargetMode="External" /><Relationship Id="rId875" Type="http://schemas.openxmlformats.org/officeDocument/2006/relationships/hyperlink" Target="https://advance.lexis.com/api/document?collection=cases-ca&amp;id=urn:contentItem:5F7T-S7H1-F016-S42T-00000-00&amp;context=" TargetMode="External" /><Relationship Id="rId876" Type="http://schemas.openxmlformats.org/officeDocument/2006/relationships/hyperlink" Target="https://advance.lexis.com/api/document?collection=cases-ca&amp;id=urn:contentItem:5F8T-N3V1-JTGH-B1J4-00000-00&amp;context=" TargetMode="External" /><Relationship Id="rId877" Type="http://schemas.openxmlformats.org/officeDocument/2006/relationships/hyperlink" Target="https://advance.lexis.com/api/document?collection=cases-ca&amp;id=urn:contentItem:5F81-VJY1-JPGX-S4G7-00000-00&amp;context=" TargetMode="External" /><Relationship Id="rId878" Type="http://schemas.openxmlformats.org/officeDocument/2006/relationships/hyperlink" Target="https://advance.lexis.com/api/document?collection=cases-ca&amp;id=urn:contentItem:5F8P-SDT1-F7ND-G4T9-00000-00&amp;context=" TargetMode="External" /><Relationship Id="rId879" Type="http://schemas.openxmlformats.org/officeDocument/2006/relationships/hyperlink" Target="https://advance.lexis.com/api/document?collection=cases-ca&amp;id=urn:contentItem:5F82-1SG1-JWBS-6507-00000-00&amp;context=" TargetMode="External" /><Relationship Id="rId88" Type="http://schemas.openxmlformats.org/officeDocument/2006/relationships/hyperlink" Target="https://advance.lexis.com/api/document?collection=cases-ca&amp;id=urn:contentItem:5F7T-S7M1-F4W2-626V-00000-00&amp;context=" TargetMode="External" /><Relationship Id="rId880" Type="http://schemas.openxmlformats.org/officeDocument/2006/relationships/hyperlink" Target="https://advance.lexis.com/api/document?collection=cases-ca&amp;id=urn:contentItem:5XDY-G0T1-JN6B-S2N7-00000-00&amp;context=" TargetMode="External" /><Relationship Id="rId881" Type="http://schemas.openxmlformats.org/officeDocument/2006/relationships/hyperlink" Target="https://advance.lexis.com/api/document?collection=cases-ca&amp;id=urn:contentItem:5F81-VJS1-JN6B-S3BJ-00000-00&amp;context=" TargetMode="External" /><Relationship Id="rId882" Type="http://schemas.openxmlformats.org/officeDocument/2006/relationships/hyperlink" Target="https://advance.lexis.com/api/document?collection=cases-ca&amp;id=urn:contentItem:5FXJ-PSX1-JNJT-B0JG-00000-00&amp;context=" TargetMode="External" /><Relationship Id="rId883" Type="http://schemas.openxmlformats.org/officeDocument/2006/relationships/hyperlink" Target="https://advance.lexis.com/api/document?collection=cases-ca&amp;id=urn:contentItem:5F7T-S751-JBM1-M2HC-00000-00&amp;context=" TargetMode="External" /><Relationship Id="rId884" Type="http://schemas.openxmlformats.org/officeDocument/2006/relationships/hyperlink" Target="https://advance.lexis.com/api/document?collection=cases-ca&amp;id=urn:contentItem:5F7T-S7F1-DXWW-24BY-00000-00&amp;context=" TargetMode="External" /><Relationship Id="rId885" Type="http://schemas.openxmlformats.org/officeDocument/2006/relationships/hyperlink" Target="https://advance.lexis.com/api/document?collection=cases-ca&amp;id=urn:contentItem:5F7T-S7H1-JFSV-G32T-00000-00&amp;context=" TargetMode="External" /><Relationship Id="rId886" Type="http://schemas.openxmlformats.org/officeDocument/2006/relationships/hyperlink" Target="https://advance.lexis.com/api/document?collection=cases-ca&amp;id=urn:contentItem:5F7T-S7F1-JX3N-B1R5-00000-00&amp;context=" TargetMode="External" /><Relationship Id="rId887" Type="http://schemas.openxmlformats.org/officeDocument/2006/relationships/hyperlink" Target="https://advance.lexis.com/api/document?collection=cases-ca&amp;id=urn:contentItem:5F16-9371-F5DR-235B-00000-00&amp;context=" TargetMode="External" /><Relationship Id="rId888" Type="http://schemas.openxmlformats.org/officeDocument/2006/relationships/hyperlink" Target="https://advance.lexis.com/api/document?collection=cases-ca&amp;id=urn:contentItem:5F7T-S7F1-JBT7-X2K8-00000-00&amp;context=" TargetMode="External" /><Relationship Id="rId889" Type="http://schemas.openxmlformats.org/officeDocument/2006/relationships/hyperlink" Target="https://advance.lexis.com/api/document?collection=cases-ca&amp;id=urn:contentItem:5F16-9371-JBT7-X23N-00000-00&amp;context=" TargetMode="External" /><Relationship Id="rId89" Type="http://schemas.openxmlformats.org/officeDocument/2006/relationships/hyperlink" Target="https://advance.lexis.com/api/document?collection=cases-ca&amp;id=urn:contentItem:5F7T-S7K1-JX3N-B2V4-00000-00&amp;context=" TargetMode="External" /><Relationship Id="rId890" Type="http://schemas.openxmlformats.org/officeDocument/2006/relationships/hyperlink" Target="https://advance.lexis.com/api/document?collection=cases-ca&amp;id=urn:contentItem:5T8W-F501-FH4C-X2KW-00000-00&amp;context=" TargetMode="External" /><Relationship Id="rId891" Type="http://schemas.openxmlformats.org/officeDocument/2006/relationships/hyperlink" Target="https://advance.lexis.com/api/document?collection=cases-ca&amp;id=urn:contentItem:5F7T-S701-FJDY-X2B2-00000-00&amp;context=" TargetMode="External" /><Relationship Id="rId892" Type="http://schemas.openxmlformats.org/officeDocument/2006/relationships/hyperlink" Target="https://advance.lexis.com/api/document?collection=cases-ca&amp;id=urn:contentItem:5F81-VJX1-FD4T-B318-00000-00&amp;context=" TargetMode="External" /><Relationship Id="rId893" Type="http://schemas.openxmlformats.org/officeDocument/2006/relationships/hyperlink" Target="https://advance.lexis.com/api/document?collection=cases-ca&amp;id=urn:contentItem:5F81-VJX1-FCK4-G1J2-00000-00&amp;context=" TargetMode="External" /><Relationship Id="rId894" Type="http://schemas.openxmlformats.org/officeDocument/2006/relationships/hyperlink" Target="https://advance.lexis.com/api/document?collection=cases-ca&amp;id=urn:contentItem:5F7T-S6Y1-F81W-219C-00000-00&amp;context=" TargetMode="External" /><Relationship Id="rId895" Type="http://schemas.openxmlformats.org/officeDocument/2006/relationships/hyperlink" Target="https://advance.lexis.com/api/document?collection=cases-ca&amp;id=urn:contentItem:5F81-VJX1-FGY5-M386-00000-00&amp;context=" TargetMode="External" /><Relationship Id="rId896" Type="http://schemas.openxmlformats.org/officeDocument/2006/relationships/hyperlink" Target="https://advance.lexis.com/api/document?collection=cases-ca&amp;id=urn:contentItem:5F82-1SF1-JKPJ-G228-00000-00&amp;context=" TargetMode="External" /><Relationship Id="rId897" Type="http://schemas.openxmlformats.org/officeDocument/2006/relationships/hyperlink" Target="https://advance.lexis.com/api/document?collection=cases-ca&amp;id=urn:contentItem:5F81-VJX1-FFTT-X1T2-00000-00&amp;context=" TargetMode="External" /><Relationship Id="rId898" Type="http://schemas.openxmlformats.org/officeDocument/2006/relationships/hyperlink" Target="https://advance.lexis.com/api/document?collection=cases-ca&amp;id=urn:contentItem:5F8P-SD91-F30T-B52G-00000-00&amp;context=" TargetMode="External" /><Relationship Id="rId899" Type="http://schemas.openxmlformats.org/officeDocument/2006/relationships/hyperlink" Target="https://advance.lexis.com/api/document?collection=cases-ca&amp;id=urn:contentItem:5K6Y-81M1-JJ1H-X2Y1-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N1-F06F-24KX-00000-00&amp;context=" TargetMode="External" /><Relationship Id="rId900" Type="http://schemas.openxmlformats.org/officeDocument/2006/relationships/hyperlink" Target="https://advance.lexis.com/api/document?collection=cases-ca&amp;id=urn:contentItem:5F8P-SCV1-F22N-X4X2-00000-00&amp;context=" TargetMode="External" /><Relationship Id="rId901" Type="http://schemas.openxmlformats.org/officeDocument/2006/relationships/hyperlink" Target="https://advance.lexis.com/api/document?collection=cases-ca&amp;id=urn:contentItem:5F8N-K751-F528-G2GR-00000-00&amp;context=" TargetMode="External" /><Relationship Id="rId902" Type="http://schemas.openxmlformats.org/officeDocument/2006/relationships/hyperlink" Target="https://advance.lexis.com/api/document?collection=cases-ca&amp;id=urn:contentItem:5F7T-S7K1-DY33-B1FX-00000-00&amp;context=" TargetMode="External" /><Relationship Id="rId903" Type="http://schemas.openxmlformats.org/officeDocument/2006/relationships/header" Target="header136.xml" /><Relationship Id="rId904" Type="http://schemas.openxmlformats.org/officeDocument/2006/relationships/header" Target="header137.xml" /><Relationship Id="rId905" Type="http://schemas.openxmlformats.org/officeDocument/2006/relationships/footer" Target="footer136.xml" /><Relationship Id="rId906" Type="http://schemas.openxmlformats.org/officeDocument/2006/relationships/footer" Target="footer137.xml" /><Relationship Id="rId907" Type="http://schemas.openxmlformats.org/officeDocument/2006/relationships/header" Target="header138.xml" /><Relationship Id="rId908" Type="http://schemas.openxmlformats.org/officeDocument/2006/relationships/footer" Target="footer138.xml" /><Relationship Id="rId909" Type="http://schemas.openxmlformats.org/officeDocument/2006/relationships/hyperlink" Target="https://advance.lexis.com/api/document?collection=cases-ca&amp;id=urn:contentItem:5F7T-S791-JCJ5-254T-00000-00&amp;context=" TargetMode="External" /><Relationship Id="rId91" Type="http://schemas.openxmlformats.org/officeDocument/2006/relationships/hyperlink" Target="https://advance.lexis.com/api/document?collection=cases-ca&amp;id=urn:contentItem:5F8T-N3P1-F7ND-G14C-00000-00&amp;context=" TargetMode="External" /><Relationship Id="rId910" Type="http://schemas.openxmlformats.org/officeDocument/2006/relationships/hyperlink" Target="https://advance.lexis.com/api/document?collection=cases-ca&amp;id=urn:contentItem:5F7T-S711-JB2B-S158-00000-00&amp;context=" TargetMode="External" /><Relationship Id="rId911" Type="http://schemas.openxmlformats.org/officeDocument/2006/relationships/header" Target="header139.xml" /><Relationship Id="rId912" Type="http://schemas.openxmlformats.org/officeDocument/2006/relationships/header" Target="header140.xml" /><Relationship Id="rId913" Type="http://schemas.openxmlformats.org/officeDocument/2006/relationships/footer" Target="footer139.xml" /><Relationship Id="rId914" Type="http://schemas.openxmlformats.org/officeDocument/2006/relationships/footer" Target="footer140.xml" /><Relationship Id="rId915" Type="http://schemas.openxmlformats.org/officeDocument/2006/relationships/header" Target="header141.xml" /><Relationship Id="rId916" Type="http://schemas.openxmlformats.org/officeDocument/2006/relationships/footer" Target="footer141.xml" /><Relationship Id="rId917" Type="http://schemas.openxmlformats.org/officeDocument/2006/relationships/hyperlink" Target="https://advance.lexis.com/api/document?collection=cases-ca&amp;id=urn:contentItem:5F7T-S7H1-JCRC-B164-00000-00&amp;context=" TargetMode="External" /><Relationship Id="rId918" Type="http://schemas.openxmlformats.org/officeDocument/2006/relationships/hyperlink" Target="https://advance.lexis.com/api/document?collection=cases-ca&amp;id=urn:contentItem:5F7T-S7C1-F4NT-X3JG-00000-00&amp;context=" TargetMode="External" /><Relationship Id="rId919" Type="http://schemas.openxmlformats.org/officeDocument/2006/relationships/hyperlink" Target="https://advance.lexis.com/api/document?collection=cases-ca&amp;id=urn:contentItem:5F7T-S731-FG12-62D5-00000-00&amp;context=" TargetMode="External" /><Relationship Id="rId92" Type="http://schemas.openxmlformats.org/officeDocument/2006/relationships/hyperlink" Target="https://advance.lexis.com/api/document?collection=cases-ca&amp;id=urn:contentItem:5F81-YGW1-DYFH-X025-00000-00&amp;context=" TargetMode="External" /><Relationship Id="rId920" Type="http://schemas.openxmlformats.org/officeDocument/2006/relationships/hyperlink" Target="https://advance.lexis.com/api/document?collection=cases-ca&amp;id=urn:contentItem:5F7T-S771-JJD0-G10X-00000-00&amp;context=" TargetMode="External" /><Relationship Id="rId921" Type="http://schemas.openxmlformats.org/officeDocument/2006/relationships/hyperlink" Target="https://advance.lexis.com/api/document?collection=cases-ca&amp;id=urn:contentItem:5F7T-S6W1-F5T5-M1WC-00000-00&amp;context=" TargetMode="External" /><Relationship Id="rId922" Type="http://schemas.openxmlformats.org/officeDocument/2006/relationships/hyperlink" Target="https://advance.lexis.com/api/document?collection=cases-ca&amp;id=urn:contentItem:5F7T-S761-F81W-2259-00000-00&amp;context=" TargetMode="External" /><Relationship Id="rId923" Type="http://schemas.openxmlformats.org/officeDocument/2006/relationships/header" Target="header142.xml" /><Relationship Id="rId924" Type="http://schemas.openxmlformats.org/officeDocument/2006/relationships/header" Target="header143.xml" /><Relationship Id="rId925" Type="http://schemas.openxmlformats.org/officeDocument/2006/relationships/footer" Target="footer142.xml" /><Relationship Id="rId926" Type="http://schemas.openxmlformats.org/officeDocument/2006/relationships/footer" Target="footer143.xml" /><Relationship Id="rId927" Type="http://schemas.openxmlformats.org/officeDocument/2006/relationships/header" Target="header144.xml" /><Relationship Id="rId928" Type="http://schemas.openxmlformats.org/officeDocument/2006/relationships/footer" Target="footer144.xml" /><Relationship Id="rId929" Type="http://schemas.openxmlformats.org/officeDocument/2006/relationships/hyperlink" Target="https://advance.lexis.com/api/document?collection=cases-ca&amp;id=urn:contentItem:5F7T-S7F1-JX3N-B1V8-00000-00&amp;context=" TargetMode="External" /><Relationship Id="rId93" Type="http://schemas.openxmlformats.org/officeDocument/2006/relationships/hyperlink" Target="https://advance.lexis.com/api/document?collection=cases-ca&amp;id=urn:contentItem:5F8P-SC71-JK4W-M2MK-00000-00&amp;context=" TargetMode="External" /><Relationship Id="rId930" Type="http://schemas.openxmlformats.org/officeDocument/2006/relationships/hyperlink" Target="https://advance.lexis.com/api/document?collection=legislation-ca&amp;id=urn:contentItem:5F41-1FM1-FJM6-61MX-00000-00&amp;context=" TargetMode="External" /><Relationship Id="rId931" Type="http://schemas.openxmlformats.org/officeDocument/2006/relationships/hyperlink" Target="https://advance.lexis.com/api/document?collection=cases-ca&amp;id=urn:contentItem:5F7T-S6V1-JFKM-61CW-00000-00&amp;context=" TargetMode="External" /><Relationship Id="rId932" Type="http://schemas.openxmlformats.org/officeDocument/2006/relationships/hyperlink" Target="https://advance.lexis.com/api/document?collection=cases-ca&amp;id=urn:contentItem:5F7T-S7D1-FCSB-S339-00000-00&amp;context=" TargetMode="External" /><Relationship Id="rId933" Type="http://schemas.openxmlformats.org/officeDocument/2006/relationships/hyperlink" Target="https://advance.lexis.com/api/document?collection=cases-ca&amp;id=urn:contentItem:5F7T-S731-FG12-62V6-00000-00&amp;context=" TargetMode="External" /><Relationship Id="rId934" Type="http://schemas.openxmlformats.org/officeDocument/2006/relationships/hyperlink" Target="https://advance.lexis.com/api/document?collection=cases-ca&amp;id=urn:contentItem:5F7T-S741-F1H1-21VJ-00000-00&amp;context=" TargetMode="External" /><Relationship Id="rId935" Type="http://schemas.openxmlformats.org/officeDocument/2006/relationships/hyperlink" Target="https://advance.lexis.com/api/document?collection=cases-ca&amp;id=urn:contentItem:5F7T-S7D1-JN6B-S0TN-00000-00&amp;context=" TargetMode="External" /><Relationship Id="rId936" Type="http://schemas.openxmlformats.org/officeDocument/2006/relationships/hyperlink" Target="https://advance.lexis.com/api/document?collection=cases-ca&amp;id=urn:contentItem:5F7T-S751-JP4G-610J-00000-00&amp;context=" TargetMode="External" /><Relationship Id="rId937" Type="http://schemas.openxmlformats.org/officeDocument/2006/relationships/hyperlink" Target="https://advance.lexis.com/api/document?collection=cases-ca&amp;id=urn:contentItem:5F7T-S781-JC5P-G1JG-00000-00&amp;context=" TargetMode="External" /><Relationship Id="rId938" Type="http://schemas.openxmlformats.org/officeDocument/2006/relationships/hyperlink" Target="https://advance.lexis.com/api/document?collection=cases-ca&amp;id=urn:contentItem:5F7T-S7F1-DXWW-23XV-00000-00&amp;context=" TargetMode="External" /><Relationship Id="rId939" Type="http://schemas.openxmlformats.org/officeDocument/2006/relationships/hyperlink" Target="https://advance.lexis.com/api/document?collection=cases-ca&amp;id=urn:contentItem:5F7T-S761-JS5Y-B1XS-00000-00&amp;context=" TargetMode="External" /><Relationship Id="rId94" Type="http://schemas.openxmlformats.org/officeDocument/2006/relationships/hyperlink" Target="https://advance.lexis.com/api/document?collection=cases-ca&amp;id=urn:contentItem:5F7T-S7G1-JBT7-X40C-00000-00&amp;context=" TargetMode="External" /><Relationship Id="rId940" Type="http://schemas.openxmlformats.org/officeDocument/2006/relationships/hyperlink" Target="https://advance.lexis.com/api/document?collection=cases-ca&amp;id=urn:contentItem:5F7T-S751-JGHR-M1V2-00000-00&amp;context=" TargetMode="External" /><Relationship Id="rId941" Type="http://schemas.openxmlformats.org/officeDocument/2006/relationships/hyperlink" Target="https://advance.lexis.com/api/document?collection=cases-ca&amp;id=urn:contentItem:5F7T-S741-F2F4-G2GY-00000-00&amp;context=" TargetMode="External" /><Relationship Id="rId942" Type="http://schemas.openxmlformats.org/officeDocument/2006/relationships/hyperlink" Target="https://advance.lexis.com/api/document?collection=cases-ca&amp;id=urn:contentItem:5F7T-S771-JW5H-X1R6-00000-00&amp;context=" TargetMode="External" /><Relationship Id="rId943" Type="http://schemas.openxmlformats.org/officeDocument/2006/relationships/hyperlink" Target="https://advance.lexis.com/api/document?collection=cases-ca&amp;id=urn:contentItem:5F7T-S751-JNS1-M1WN-00000-00&amp;context=" TargetMode="External" /><Relationship Id="rId944" Type="http://schemas.openxmlformats.org/officeDocument/2006/relationships/hyperlink" Target="https://advance.lexis.com/api/document?collection=cases-ca&amp;id=urn:contentItem:5F7T-S7F1-FJTD-G3K1-00000-00&amp;context=" TargetMode="External" /><Relationship Id="rId945" Type="http://schemas.openxmlformats.org/officeDocument/2006/relationships/header" Target="header145.xml" /><Relationship Id="rId946" Type="http://schemas.openxmlformats.org/officeDocument/2006/relationships/header" Target="header146.xml" /><Relationship Id="rId947" Type="http://schemas.openxmlformats.org/officeDocument/2006/relationships/footer" Target="footer145.xml" /><Relationship Id="rId948" Type="http://schemas.openxmlformats.org/officeDocument/2006/relationships/footer" Target="footer146.xml" /><Relationship Id="rId949" Type="http://schemas.openxmlformats.org/officeDocument/2006/relationships/header" Target="header147.xml" /><Relationship Id="rId95" Type="http://schemas.openxmlformats.org/officeDocument/2006/relationships/hyperlink" Target="https://advance.lexis.com/api/document?collection=cases-ca&amp;id=urn:contentItem:5F8T-N3V1-JF75-M3WX-00000-00&amp;context=" TargetMode="External" /><Relationship Id="rId950" Type="http://schemas.openxmlformats.org/officeDocument/2006/relationships/footer" Target="footer147.xml" /><Relationship Id="rId951" Type="http://schemas.openxmlformats.org/officeDocument/2006/relationships/hyperlink" Target="https://advance.lexis.com/api/document?collection=cases-ca&amp;id=urn:contentItem:5F7T-S781-F900-G178-00000-00&amp;context=" TargetMode="External" /><Relationship Id="rId952" Type="http://schemas.openxmlformats.org/officeDocument/2006/relationships/header" Target="header148.xml" /><Relationship Id="rId953" Type="http://schemas.openxmlformats.org/officeDocument/2006/relationships/header" Target="header149.xml" /><Relationship Id="rId954" Type="http://schemas.openxmlformats.org/officeDocument/2006/relationships/footer" Target="footer148.xml" /><Relationship Id="rId955" Type="http://schemas.openxmlformats.org/officeDocument/2006/relationships/footer" Target="footer149.xml" /><Relationship Id="rId956" Type="http://schemas.openxmlformats.org/officeDocument/2006/relationships/header" Target="header150.xml" /><Relationship Id="rId957" Type="http://schemas.openxmlformats.org/officeDocument/2006/relationships/footer" Target="footer150.xml" /><Relationship Id="rId958" Type="http://schemas.openxmlformats.org/officeDocument/2006/relationships/hyperlink" Target="https://advance.lexis.com/api/document?collection=cases-ca&amp;id=urn:contentItem:5G8T-89T1-JNCK-22VK-00000-00&amp;context=" TargetMode="External" /><Relationship Id="rId959" Type="http://schemas.openxmlformats.org/officeDocument/2006/relationships/hyperlink" Target="https://advance.lexis.com/api/document?collection=cases-ca&amp;id=urn:contentItem:5F7T-S7M1-F4W2-621G-00000-00&amp;context=" TargetMode="External" /><Relationship Id="rId96" Type="http://schemas.openxmlformats.org/officeDocument/2006/relationships/hyperlink" Target="https://advance.lexis.com/api/document?collection=cases-ca&amp;id=urn:contentItem:5F7T-S7G1-JNY7-X443-00000-00&amp;context=" TargetMode="External" /><Relationship Id="rId960" Type="http://schemas.openxmlformats.org/officeDocument/2006/relationships/hyperlink" Target="https://advance.lexis.com/api/document?collection=cases-ca&amp;id=urn:contentItem:5F7T-S7K1-JKHB-62J8-00000-00&amp;context=" TargetMode="External" /><Relationship Id="rId961" Type="http://schemas.openxmlformats.org/officeDocument/2006/relationships/hyperlink" Target="https://advance.lexis.com/api/document?collection=cases-ca&amp;id=urn:contentItem:5F7T-S731-JNJT-B1SM-00000-00&amp;context=" TargetMode="External" /><Relationship Id="rId962" Type="http://schemas.openxmlformats.org/officeDocument/2006/relationships/hyperlink" Target="https://advance.lexis.com/api/document?collection=cases-ca&amp;id=urn:contentItem:5F7T-S741-F528-G29P-00000-00&amp;context=" TargetMode="External" /><Relationship Id="rId963" Type="http://schemas.openxmlformats.org/officeDocument/2006/relationships/hyperlink" Target="https://advance.lexis.com/api/document?collection=cases-ca&amp;id=urn:contentItem:5F7T-S7N1-JWR6-S2GP-00000-00&amp;context=" TargetMode="External" /><Relationship Id="rId964" Type="http://schemas.openxmlformats.org/officeDocument/2006/relationships/hyperlink" Target="https://advance.lexis.com/api/document?collection=cases-ca&amp;id=urn:contentItem:5F7T-S7P1-F2TK-2376-00000-00&amp;context=" TargetMode="External" /><Relationship Id="rId965" Type="http://schemas.openxmlformats.org/officeDocument/2006/relationships/hyperlink" Target="https://advance.lexis.com/api/document?collection=cases-ca&amp;id=urn:contentItem:5F7T-S7J1-DXWW-24YP-00000-00&amp;context=" TargetMode="External" /><Relationship Id="rId966" Type="http://schemas.openxmlformats.org/officeDocument/2006/relationships/hyperlink" Target="https://advance.lexis.com/api/document?collection=cases-ca&amp;id=urn:contentItem:5F7T-S7N1-JWR6-S25K-00000-00&amp;context=" TargetMode="External" /><Relationship Id="rId967" Type="http://schemas.openxmlformats.org/officeDocument/2006/relationships/hyperlink" Target="https://advance.lexis.com/api/document?collection=cases-ca&amp;id=urn:contentItem:5F7T-S7M1-JCRC-B1V5-00000-00&amp;context=" TargetMode="External" /><Relationship Id="rId968" Type="http://schemas.openxmlformats.org/officeDocument/2006/relationships/hyperlink" Target="https://advance.lexis.com/api/document?collection=cases-ca&amp;id=urn:contentItem:5F7T-S7C1-F4NT-X3M4-00000-00&amp;context=" TargetMode="External" /><Relationship Id="rId969" Type="http://schemas.openxmlformats.org/officeDocument/2006/relationships/hyperlink" Target="https://advance.lexis.com/api/document?collection=cases-ca&amp;id=urn:contentItem:5F7T-S7F1-DXWW-23FJ-00000-00&amp;context=" TargetMode="External" /><Relationship Id="rId97" Type="http://schemas.openxmlformats.org/officeDocument/2006/relationships/hyperlink" Target="https://advance.lexis.com/api/document?collection=cases-ca&amp;id=urn:contentItem:5F7T-S7N1-JW09-M15G-00000-00&amp;context=" TargetMode="External" /><Relationship Id="rId970" Type="http://schemas.openxmlformats.org/officeDocument/2006/relationships/hyperlink" Target="https://advance.lexis.com/api/document?collection=cases-ca&amp;id=urn:contentItem:5F7T-S7M1-JJK6-S25C-00000-00&amp;context=" TargetMode="External" /><Relationship Id="rId971" Type="http://schemas.openxmlformats.org/officeDocument/2006/relationships/hyperlink" Target="https://advance.lexis.com/api/document?collection=cases-ca&amp;id=urn:contentItem:5F7T-S7K1-JKHB-62PV-00000-00&amp;context=" TargetMode="External" /><Relationship Id="rId972" Type="http://schemas.openxmlformats.org/officeDocument/2006/relationships/image" Target="media/image5.jpeg" /><Relationship Id="rId973" Type="http://schemas.openxmlformats.org/officeDocument/2006/relationships/hyperlink" Target="https://advance.lexis.com/api/document?collection=cases-ca&amp;id=urn:contentItem:5F7T-S711-JNY7-X30K-00000-00&amp;context=" TargetMode="External" /><Relationship Id="rId974" Type="http://schemas.openxmlformats.org/officeDocument/2006/relationships/hyperlink" Target="https://advance.lexis.com/api/document?collection=cases-ca&amp;id=urn:contentItem:5F7T-S7F1-F7VM-S475-00000-00&amp;context=" TargetMode="External" /><Relationship Id="rId975" Type="http://schemas.openxmlformats.org/officeDocument/2006/relationships/hyperlink" Target="https://advance.lexis.com/api/document?collection=cases-ca&amp;id=urn:contentItem:5F7T-S7G1-FCYK-207V-00000-00&amp;context=" TargetMode="External" /><Relationship Id="rId976" Type="http://schemas.openxmlformats.org/officeDocument/2006/relationships/hyperlink" Target="https://advance.lexis.com/api/document?collection=cases-ca&amp;id=urn:contentItem:5F7T-S7K1-JSJC-X0R5-00000-00&amp;context=" TargetMode="External" /><Relationship Id="rId977" Type="http://schemas.openxmlformats.org/officeDocument/2006/relationships/hyperlink" Target="https://advance.lexis.com/api/document?collection=cases-ca&amp;id=urn:contentItem:5F7T-S761-F81W-21RK-00000-00&amp;context=" TargetMode="External" /><Relationship Id="rId978" Type="http://schemas.openxmlformats.org/officeDocument/2006/relationships/hyperlink" Target="https://advance.lexis.com/api/document?collection=cases-ca&amp;id=urn:contentItem:5F7T-S7M1-JCRC-B1FJ-00000-00&amp;context=" TargetMode="External" /><Relationship Id="rId979" Type="http://schemas.openxmlformats.org/officeDocument/2006/relationships/hyperlink" Target="https://advance.lexis.com/api/document?collection=legislation-ca&amp;id=urn:contentItem:5F41-1FG1-F4NT-X0BX-00000-00&amp;context=" TargetMode="External" /><Relationship Id="rId98" Type="http://schemas.openxmlformats.org/officeDocument/2006/relationships/hyperlink" Target="https://advance.lexis.com/api/document?collection=cases-ca&amp;id=urn:contentItem:5F7T-S7F1-JBT7-X2KB-00000-00&amp;context=" TargetMode="External" /><Relationship Id="rId980" Type="http://schemas.openxmlformats.org/officeDocument/2006/relationships/hyperlink" Target="https://advance.lexis.com/api/document?collection=cases-ca&amp;id=urn:contentItem:5F7T-S771-JSJC-X05N-00000-00&amp;context=" TargetMode="External" /><Relationship Id="rId981" Type="http://schemas.openxmlformats.org/officeDocument/2006/relationships/hyperlink" Target="https://advance.lexis.com/api/document?collection=cases-ca&amp;id=urn:contentItem:5F7T-S7D1-JG02-S2Y2-00000-00&amp;context=" TargetMode="External" /><Relationship Id="rId982" Type="http://schemas.openxmlformats.org/officeDocument/2006/relationships/hyperlink" Target="https://advance.lexis.com/api/document?collection=cases-ca&amp;id=urn:contentItem:5F7T-S7G1-JWR6-S1K1-00000-00&amp;context=" TargetMode="External" /><Relationship Id="rId983" Type="http://schemas.openxmlformats.org/officeDocument/2006/relationships/hyperlink" Target="https://advance.lexis.com/api/document?collection=cases-ca&amp;id=urn:contentItem:5F7T-S7P1-F2TK-239H-00000-00&amp;context=" TargetMode="External" /><Relationship Id="rId984" Type="http://schemas.openxmlformats.org/officeDocument/2006/relationships/hyperlink" Target="https://advance.lexis.com/api/document?collection=cases-ca&amp;id=urn:contentItem:5F7T-S7N1-JJ1H-X2TF-00000-00&amp;context=" TargetMode="External" /><Relationship Id="rId985" Type="http://schemas.openxmlformats.org/officeDocument/2006/relationships/hyperlink" Target="https://advance.lexis.com/api/document?collection=cases-ca&amp;id=urn:contentItem:5F7T-S7K1-DXWW-2019-00000-00&amp;context=" TargetMode="External" /><Relationship Id="rId986" Type="http://schemas.openxmlformats.org/officeDocument/2006/relationships/hyperlink" Target="https://advance.lexis.com/api/document?collection=cases-ca&amp;id=urn:contentItem:5F7T-S6X1-JTNR-M3X3-00000-00&amp;context=" TargetMode="External" /><Relationship Id="rId987" Type="http://schemas.openxmlformats.org/officeDocument/2006/relationships/hyperlink" Target="https://advance.lexis.com/api/document?collection=cases-ca&amp;id=urn:contentItem:5F7T-S7N1-JWR6-S235-00000-00&amp;context=" TargetMode="External" /><Relationship Id="rId988" Type="http://schemas.openxmlformats.org/officeDocument/2006/relationships/hyperlink" Target="https://advance.lexis.com/api/document?collection=cases-ca&amp;id=urn:contentItem:5F7T-S7H1-FCSB-S3RY-00000-00&amp;context=" TargetMode="External" /><Relationship Id="rId989" Type="http://schemas.openxmlformats.org/officeDocument/2006/relationships/numbering" Target="numbering.xml" /><Relationship Id="rId99" Type="http://schemas.openxmlformats.org/officeDocument/2006/relationships/hyperlink" Target="https://advance.lexis.com/api/document?collection=cases-ca&amp;id=urn:contentItem:5F8T-N3V1-JF75-M3S6-00000-00&amp;context=" TargetMode="External" /><Relationship Id="rId990"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Amini v. Khania, [2014] B.C.J. No. 2254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115053039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