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McLaren v. Rice, [2008] B.C.J. No. 2648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T.R. Brooke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24, 2008.</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24,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M063770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2648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1821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174 A.C.W.S. (3d) 689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187 A.C.W.S. (3d) 53</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CarswellBC 2948</w:t>
      </w:r>
    </w:p>
    <w:p>
      <w:pPr>
        <w:spacing w:before="120" w:line="260" w:lineRule="atLeast"/>
        <w:rPr>
          <w:lang w:val="en-US" w:eastAsia="en-US" w:bidi="ar-SA"/>
        </w:rPr>
      </w:pPr>
      <w:r>
        <w:rPr>
          <w:rFonts w:ascii="arial" w:eastAsia="arial" w:hAnsi="arial" w:cs="arial"/>
          <w:color w:val="000000"/>
          <w:sz w:val="20"/>
          <w:lang w:val="en-US" w:eastAsia="en-US" w:bidi="ar-SA"/>
        </w:rPr>
        <w:t>Between Matthew Robert John McLaren, Plaintiff, and Jacob John Rice, Michael John Rice and Hilltop Gardens Farm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(9 paras.)</w:t>
      </w:r>
    </w:p>
    <w:p>
      <w:pPr>
        <w:jc w:val="both"/>
        <w:rPr>
          <w:lang w:val="en-US" w:eastAsia="en-US" w:bidi="ar-SA"/>
        </w:rPr>
      </w:pPr>
      <w:bookmarkStart w:id="0" w:name="Counsel"/>
      <w:bookmarkEnd w:id="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 ter Borg, J. Prodor.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G. Somers, Q.C., K. Chong.</w:t>
      </w:r>
      <w:r>
        <w:rPr>
          <w:lang w:val="en-US" w:eastAsia="en-US" w:bidi="ar-SA"/>
        </w:rPr>
        <w:cr/>
      </w:r>
    </w:p>
    <w:p>
      <w:pPr>
        <w:spacing w:after="240"/>
        <w:rPr>
          <w:lang w:val="en-US" w:eastAsia="en-US" w:bidi="ar-SA"/>
        </w:rPr>
      </w:pPr>
      <w:bookmarkStart w:id="1" w:name="Judgment"/>
      <w:bookmarkEnd w:id="1"/>
      <w:r>
        <w:pict>
          <v:line id="_x0000_s1026" style="position:absolute;z-index:25170944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 w:name="T.R. BROOKE J. (orally)"/>
            <w:bookmarkEnd w:id="2"/>
            <w:r>
              <w:rPr>
                <w:rFonts w:ascii="arial" w:eastAsia="arial" w:hAnsi="arial" w:cs="arial"/>
                <w:b/>
                <w:color w:val="000000"/>
                <w:sz w:val="30"/>
                <w:lang w:val="en-US" w:eastAsia="en-US" w:bidi="ar-SA"/>
              </w:rPr>
              <w:t>T.R. BROOKE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motor vehicle accident in which the plaintiff sustained what I am told are devastating injuries, on February 26,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the order of a master of this court made July 24, 2008 the issues of liability and the assessment of damages were separated, with the issue of liability to be tried first, and today was scheduled for the commencement of the liability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When the matter was called this morning, it was brought to my attention that the defence relies upon a seat belt defence and invokes s. 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which requires the court to apportion liability in respect of the fault of two or more parties who are alleged to be at fault. That was addressed by Justice Lambert in </w:t>
      </w:r>
      <w:r>
        <w:rPr>
          <w:rFonts w:ascii="arial" w:eastAsia="arial" w:hAnsi="arial" w:cs="arial"/>
          <w:b/>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where he said at paragraph 19: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that the apportionment must be made on the basis of "</w:t>
      </w:r>
      <w:r>
        <w:rPr>
          <w:rFonts w:ascii="arial" w:eastAsia="arial" w:hAnsi="arial" w:cs="arial"/>
          <w:i/>
          <w:color w:val="000000"/>
          <w:sz w:val="20"/>
          <w:lang w:val="en-US" w:eastAsia="en-US" w:bidi="ar-SA"/>
        </w:rPr>
        <w:t>the degree</w:t>
      </w:r>
      <w:r>
        <w:rPr>
          <w:rFonts w:ascii="arial" w:eastAsia="arial" w:hAnsi="arial" w:cs="arial"/>
          <w:color w:val="000000"/>
          <w:sz w:val="20"/>
          <w:lang w:val="en-US" w:eastAsia="en-US" w:bidi="ar-SA"/>
        </w:rPr>
        <w:t xml:space="preserve"> to which each person was </w:t>
      </w:r>
      <w:r>
        <w:rPr>
          <w:rFonts w:ascii="arial" w:eastAsia="arial" w:hAnsi="arial" w:cs="arial"/>
          <w:i/>
          <w:color w:val="000000"/>
          <w:sz w:val="20"/>
          <w:lang w:val="en-US" w:eastAsia="en-US" w:bidi="ar-SA"/>
        </w:rPr>
        <w:t>at fault</w:t>
      </w:r>
      <w:r>
        <w:rPr>
          <w:rFonts w:ascii="arial" w:eastAsia="arial" w:hAnsi="arial" w:cs="arial"/>
          <w:color w:val="000000"/>
          <w:sz w:val="20"/>
          <w:lang w:val="en-US" w:eastAsia="en-US" w:bidi="ar-SA"/>
        </w:rPr>
        <w:t xml:space="preserve">." It does not say that the apportionment should be on the basis of the degree to which each person's fault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before="120" w:line="260" w:lineRule="atLeast"/>
        <w:ind w:left="2520"/>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emphasis</w:t>
      </w:r>
      <w:r>
        <w:rPr>
          <w:rFonts w:ascii="arial" w:eastAsia="arial" w:hAnsi="arial" w:cs="arial"/>
          <w:color w:val="000000"/>
          <w:sz w:val="20"/>
          <w:lang w:val="en-US" w:eastAsia="en-US" w:bidi="ar-SA"/>
        </w:rPr>
        <w:t xml:space="preserve">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Fault of course bottoms the plaintiff's claim against the defendant, and fault, too, is raised by the defendant in answer, the fault of the plaintiff in failing to wear a seat 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has obtained an opinion from an automotive or mechanical engineer, Mr. Brown, which addresses the seat belt defence and supports it. The report had not been delivered to the plaintiff in accordance with Rule 40A prior to the liability matter being called for trial, and the defendants say that they would be prejudiced if they are precluded from calling the expert and relying upon the expert's report until the assessment of damages part of the trial, that that must be part of the liability trial. I agree.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difficulty that I have with the defendants' submission is that it is the defendants' failure to deliver his report giving substance to the seat belt defence which is clearly pled in the statement of defence that prevents the seat belt defence from being fully canvassed in accordance with Rule 40A at this liability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indicated to counsel earlier in the hearing of the matter that I expected that I would decide the case on the question of course on the authorities but also on the question of prejudice. This matter is almost four years old. The plaintiff is ready to proceed on the liability trial but is not ready to proceed on the liability trial to the extent that it includes the seat belt defence, because of the late delivery of the report relied upon by the defendants. That late delivery by the way was made during the course of the proceedings earlier today.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What I have determined is that the interests of justice require that the matter proceed, and the matter being the trial of the issue of liability, that at the end of the week or the end of the liability portion of the trial, with the exception of the seat belt defence, there will be an adjournment to the 11th of December, which I understand to be a day that suits the convenience of counsel and that if the matter cannot be completed in a single day, that is the seat belt issue, in a single day on December the 11th, that a day will be fixed in the weeks of the 12th or the 19th of January 2009 for such period of time as may be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am declaring myself seized of the trial of the issue of the amount of damages should there be a finding of liability on the basis that if it is just and convenient that I can later de-seize myself, but I am doing that so that there is no suggestion that there is a need to consider calling evidence given at the liability trial at the damages trial if some liability is found if there is a different judge. To the extent that that is an issue, then of course I will remain seized of the matter.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T.R. BROOKE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M. Hasegawa &amp; Co. v. Pepsi Bottling Group (Canada) Co., [2000] I.L.R. para. G-1350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Stewart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July 18, 2000.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[2000] I.L.R. para. G-1350</w:t>
      </w:r>
    </w:p>
    <w:p>
      <w:pPr>
        <w:spacing w:before="120" w:line="260" w:lineRule="atLeast"/>
        <w:rPr>
          <w:lang w:val="en-US" w:eastAsia="en-US" w:bidi="ar-SA"/>
        </w:rPr>
      </w:pPr>
      <w:r>
        <w:rPr>
          <w:rFonts w:ascii="arial" w:eastAsia="arial" w:hAnsi="arial" w:cs="arial"/>
          <w:color w:val="000000"/>
          <w:sz w:val="20"/>
          <w:lang w:val="en-US" w:eastAsia="en-US" w:bidi="ar-SA"/>
        </w:rPr>
        <w:t>M. Hasegawa &amp; Co. v. Pepsi Bottling Group (Canada) Co.</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8" style="position:absolute;z-index:2516592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 w:name="Keywords"/>
      <w:bookmarkEnd w:id="3"/>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Bottled water contaminated by mould — Bottler did not fall below required standard of care — Mould not an inherently hazardous substance.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 w:name="Case Summary"/>
            <w:bookmarkEnd w:id="4"/>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damages arising from the contamination of bottled water by mould. The plaintiff had contracted to purchase bottled water from the defendant. The water was bottled by the defendant. It became contaminated and discoloured, and had to be destroyed, thus causing the plaintiff's loss. The mould had been introduced into the water from the caps, which the defendant obtained in sealed plastic packages. The plaintiff claimed that the bottler had been negligent. </w:t>
            </w:r>
            <w:r>
              <w:rPr>
                <w:lang w:val="en-US" w:eastAsia="en-US" w:bidi="ar-SA"/>
              </w:rPr>
              <w:cr/>
            </w:r>
          </w:p>
          <w:p>
            <w:pPr>
              <w:spacing w:before="120" w:line="260" w:lineRule="atLeast"/>
              <w:ind w:left="240"/>
              <w:jc w:val="both"/>
              <w:rPr>
                <w:lang w:val="en-US" w:eastAsia="en-US" w:bidi="ar-SA"/>
              </w:rPr>
            </w:pPr>
            <w:bookmarkStart w:id="5" w:name="Holdings of Court"/>
            <w:bookmarkEnd w:id="5"/>
            <w:r>
              <w:rPr>
                <w:rFonts w:ascii="arial" w:eastAsia="arial" w:hAnsi="arial" w:cs="arial"/>
                <w:color w:val="000000"/>
                <w:sz w:val="20"/>
                <w:lang w:val="en-US" w:eastAsia="en-US" w:bidi="ar-SA"/>
              </w:rPr>
              <w:t>HELD: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was required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posed a real and substantial danger to potential consumers of the water. Mould was not proven to pose a real and substantial health hazard; it was a substance commonly present in the bottling process. The Court also found that the plaintiff had not proven the defendant had been negligent. The defendant had adhered to the industry standard in using caps packed in a sanitary but not sterile condition. Any minimal number of mould spores introduced into the water would be expected to be killed by the ozonated water itself.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10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Moffoot v. Royal Bank of Canada, [2014] B.C.J. No. 1928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24 and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S133590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1928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1387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Nina Louise Moffoot, Plaintiff, and Royal Bank of Canada, Bank of Montreal, Barry E. Dinning, Jagdeep Singh Maan, James West, Wendy Whiting Enterprises Inc., Ravi Bachra, Homelife Glenayre Realty (Chilliwack) Ltd., and Greg Newberry,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(123 paras.)</w:t>
      </w:r>
    </w:p>
    <w:p>
      <w:pPr>
        <w:jc w:val="both"/>
        <w:rPr>
          <w:rFonts w:ascii="arial" w:eastAsia="arial" w:hAnsi="arial" w:cs="arial"/>
          <w:sz w:val="20"/>
          <w:lang w:val="en-US" w:eastAsia="en-US" w:bidi="ar-SA"/>
        </w:rPr>
      </w:pPr>
      <w:bookmarkStart w:id="6" w:name="Counsel_0"/>
      <w:bookmarkEnd w:id="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0"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G.A.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Royal Bank of Canada: A. Aguilar.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Bank of Montreal: P.J.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Homelife Glenayre Realty (Chilliwack) Ltd. and Greg Newberry: O.C. Hyatt.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Barry E. Dinning: M.G.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 w:name="Judgment_0"/>
      <w:bookmarkEnd w:id="7"/>
      <w:r>
        <w:pict>
          <v:line id="_x0000_s1031"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Rulings on Applications to Dismiss</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Plaintiff's Claims Against the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Defendants Royal Bank of Canada, Bank</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of Montreal, Homelife Glenayre Realty</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(Chilliwack) Ltd. and Greg Newberry</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 w:name="B.M. DAVIES J."/>
            <w:bookmarkEnd w:id="8"/>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judgment concerns applications brought by the defendants, Royal Bank of Canada ("RBC"), Bank of Montreal ("BMO"), Homelife Glenayre Realty (Chilliwack) Ltd.("Homelife") and Greg Newberry ("Newberry") for the dismissal of all of the claims of the plaintiff, Nina Louise Moffoot,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RBC applies to strike Ms. Moffoot's claims against it pursuant to Rule 9-5(b) and (c)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BMO similarly applies to strike Ms. Moffoot's claims against it pursuant to Rule 9-5(b) and (c) but also, alternatively and cumulatively, applies for the summary dismissal of her claims against it pursuant to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application of the defendants Homelife and Newberry (a real estate agent employed by Homelife) is for the summary dismissal of her claims against each of them brought pursuant to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Concurrently with the hearing of these three applications upon which I reserved judgment a number of other applications were brought by counsel appearing for some of the defendants and two applications were brought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Because of the interrelationship of many of those applications to the issues that I must now decide, I will record briefly my disposition of those other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Firstly, the plaintiff made an application for an order requiring further production of documents by some of the defendants. That application had, however, not been filed within the time required before it could be heard and was also not served on some defendants. Due to those procedural irregularities and the lack of sufficient court time to hear that application, together with all of the other applications brought, I adjourned the application to a date to be set after the delivery of these reasons which could substantively impact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Secondly, the plaintiff applied to join this proceeding with those in </w:t>
      </w:r>
      <w:r>
        <w:rPr>
          <w:rFonts w:ascii="arial" w:eastAsia="arial" w:hAnsi="arial" w:cs="arial"/>
          <w:i/>
          <w:color w:val="000000"/>
          <w:sz w:val="20"/>
          <w:lang w:val="en-US" w:eastAsia="en-US" w:bidi="ar-SA"/>
        </w:rPr>
        <w:t>Smith v. Royal Bank of Canada and others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filed in the New Westminster Registry under file No. 131323, which involved many of the same allegations against some or all of the defendants in this proceeding. That application was opposed by counsel for the defendants appearing on these applications and had not been served on all other defendants. I also adjourned that application to be heard only on notice to all defendants at a date to be set after the delivery of these reasons which could substantively impact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Thirdly, I allowed a consent application by BMO to dismiss the claims of the plaintiff against it in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xml:space="preserve">. In so doing I also adjourned an application by BMO for special costs against Mr. Pyper personally as counsel for the plaintiff in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Fourthly, RBC applied to dismiss the claims of the plaintiff against it by reason of the plaintiff's alleged non-compliance with the orders and directions made by N. Brown J., by way of a memorandum to counsel dated February 13, 2013, concerning the amendment of the plaintiff's pleadings. I adjourned that application both due to the lack of sufficient time to hear it given all of the other applications which had to be heard and because, in my view, the efficient use of judicial resources would be better served if the application was heard by N. Brown J., if he is available and prepared to hear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Fifthly, all of the defendants appearing by counsel applied to adjourn the trial of this matter, which was then set for June 23, 2014. I allowed that application over the objections of counsel for the plaintiff, in part because the matter was obviously not ready for trial given the many outstanding issues I had been required to address by way of adjournment of applications, and in part because I was concerned about the inadequacy of the length of time then set for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background to this litigation is both procedurally and factually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will only record those background circumstances in the following Chronology of Events necessary to resolve the three specific applications that must now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must also observe that the evidentiary record upon which the plaintiff's claims are based (as adduced in her defences to the applications upon which I have reserved judgment) is deficient in many respects. Those deficiencies include reliance upon hearsay, double hearsay, inadmissible opinion evidence, bare allegations and innuendo.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make that observation because nothing I say in this judgment concerning the merits of the plaintiff's case against any of the defendants other than BMO, Homelife and Newberry in relation to their respective Rule 9-7 applications should embarrass, hinder, or inhibit any further future fact-finding that may be required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Before proceeding to set forth the chronology of events and background facts necessary for the determination of the three applications I must now decide, I must also observe that:</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most significant to the resolution of the issues raised by these applications is that in large measure the substantive allegations against RBC and BMO arise from mortgage financing granted on three properties (which, for simplicity, I will refer to as "Peters Street," "Rosewood Place" and "Flood Road") in November of 2007, and the subsequent realization proceedings that were commenced upon default that have been the subject of ongoing court proceedings since then.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complex and confusing, to the extent that I am able to distil them, the plaintiff's claims against RBC arise from her allegations of fraud, conspiracy and breach of contract against the defendant Jagdeep Maan ("Maan") and others of the personal defendants, including the defendant Ravi Bachra ("Bachra"), whom she says perpetrated such acts upon her and others with whom she was associated to cause her financial ruin through the acquisition of the three properties to which I have referred. The plaintiff alleges that RBC is either vicariously liable for the acts of Maan as an employee or agent of RBC or directly liable for breaches of fiduciary duties owed to her by it in failing to prevent Maan and others from harming her as he did. Because no application for summary dismissal of the plaintiff's claims against RBC was brought pursuant to Rule 9-7 I will not comment on any of those aspects of its alleged liability to the plaintiff. I will address only facts and circumstances relating to the plaintiff's allegations as they relate to the validity and enforceability of a mortgage of the Peters Street property granted by RBC that arise under Rule 9-5.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similarly complex and confusing, the plaintiff's claims against BMO arise from those similar allegations of fraud, conspiracy, and breach of contract against those same personal defendants including the defendant Bachra. Ms. Moffoot alleges that BMO is either vicariously liable for the acts of Bachra as an employee or agent of BMO or directly liable for breaches of fiduciary duties owed to her by it in failing to prevent Bachra and others from harming her as he did. Because of the summary judgment application brought by BMO it will be necessary to consider to the limited extent it involves BMO, the alleged role of Bachra in the alleged underlying fraud and conspiracy, as well as the allegations of breach of fiduciary from which they arise.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against Homelife and Newberry are based upon an allegation that Newberry was either negligent or in breach of his fiduciary duty owed to Ms. Moffoot, or was engaged in a fraudulent transaction or conspiracy to sell the Rosewood Place property to her and her friend, Jennifer Adolf, in November of 2007 when they knew it had been sold one month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CHRONOLOGY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Ms. Moffoot, in 2007 she and Jennifer Adolf became involved with the defendant James West ("West") whom Ms. Moffoot had first known in 2002 (and with whom she had become reacquainted in 2006) in a venture that was to involve the acquisition of the Flood Road property in Hope, the farming of it by Ms. Moffoot and Ms. Adolf, and its eventual disposition for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West introduced Ms. Moffoot to Maan who was to be responsible for obtaining the financing for the venture to be paid in part by West arranging various tenancies.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From May of 2006 until May of 2008 Maan was an employee of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this venture was in contemplation, Ms. Moffoot owned the Peters Street property located in Hope. She says that West and Maan suggested that she remortgage the Peters Street property to obtain the down payment for the purchase of the Flood Road property at a price of $899,000 pursuant to an offer to purchase that property first made by Ms. Moffoot on August 3, 2007, the closing date of which was eventually extended to November 27,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November 7, 200,7 Ms. Moffoot refinanced the Peters Street property by obtaining a mortgage in the amount of $240,000 from RBC (the "RBC Mortgage") for loans made at the time, $25,000 of which was used to repay an existing line of credit that had been granted by RBC in the amount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November 6, 2007, Ms. Moffoot entered into an agreement to purchase the Rosewood Place property in Chilliwack for a purchase price of $472,000, with an initial completion date of November 13, 2007, that was extended to November 26, 2007. The sale completed with title being put into the names of Ms. Moffoot and Ms. Adolf.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November 26, 2007, Ms. Moffoot and Ms. Adolf granted a mortgage of the Rosewood Place property to BMO to secure a loan to them in the principal amount of $463,421.40 (the "BMO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Moffoot has at various times denied knowing that she was purchasing the Rosewood Place property in which West was living when the purchase occurred. While she has acknowledged signing some purchase documents and has admitted signing the BMO Mortgage she has asserted that it was only for "bridge financing" for the purchase of the Flood Road property arranged by Maan and West that was to be repaid by West. She alleges that Bachra knew of the true state of affairs and was complicit with Maan and West in requiring her to undertake debt obligations that both Maan and Bachra knew Ms. Moffoot and Ms. Adolf could never repay. In her sworn testimony she has alleged that Bachra represented to her that the financing would be "done" in three months and also said that West knew where to make the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November 26, 2007, Ms. Moffoot and Ms. Adolf completed the purchase of the Flood Road Property for $899,000. To do so, they granted a first mortgage to the property to CMIC Mortgage Investment Corporation ("CMIC") and Schuman Holdings Investments Ltd. (the "CMIC Mortgage"), the principal amount outstanding on which, when foreclosed upon for non-payment four months later, was in excess of $633,000. The CMIC Mortgage was also guaranteed by Ms. Moffoot's mother, Marilyn Smith, the petitioner in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xml:space="preserve"> to which I earlier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Also on November 26, 2007, to complete the purchase of the Flood Road property, Ms. Moffoot and Ms. Adolf granted a second mortgage of the Flood Road property, that was also guaranteed by Ms. Smith, to Wendy Whiting Enterprises (the "Whiting Mortgage") in the principal amount of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Simple arithmetic establishes that the purchase of the Flood Road property was financed entirely by debt financing entered into by Ms. Moffoot, Ms. Adolf and Ms. Smith by way of the approximately $760,000 raised through the CMIC and Whiting Mortgages, together with approximately $140,000 from the RBC Mortgage. In addition to those amounts, Ms. Moffoot and Ms. Adolf borrowed and allegedly contributed another approximately $560,000 to the venture from the proceeds of the BMO Mortgage of the Rosewood Place (approximately $460,000) and the balance of the RBC Mortgage of the Peters Street property (approximately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no evidence that West or Maan made any substantial financial contribution to the acquisition of the Floods Roads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Not surprisingly given Ms. Moffoot's and Ms. Adolf's limited financial means and the more than $1,550,000 in secured debt they incurred to purchase the Flood Road property for less than $1 million, some if not all of that financing fell into almost immediate default. Realization proceedings were then eventually commenced by all of the lenders.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More specifically:</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April 10, 2008, foreclosure proceedings were commenced under the CMIC Mortgage of the Flood Road property. On May 13, 2008, Ms. Moffoot entered an appearance in those proceedings and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granted to the petitioners on June 2, 2008.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provided for a six month redemption period to December 2, 2008, declared that $671,743.29 was then owing and included a judgment award in that amount against Ms. Moffoot, Ms. Adolf and Ms. Smith. That judgment was registered against the Peters Street property, behind the RBC Mortgage.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January 14, 2009, foreclosure proceedings were commenced under the Whiting Mortgage of the Flood Road property and a certificate of pending litigation was filed against the title to the Peters Street property. On January 30, 2009, Ms. Moffoot entered an appearance in those proceedings and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granted to the petitioner on May 6, 2009. The evidence filed on this application does not disclose the length of the redemption period or the amount of the judgments made against Ms. Moffoot, Ms. Adolf and Ms. Smith.</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 2009, BMO made demand on the BMO Mortgage of the Rosewood Place property.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15, 2009, CMIC sold the Flood Road property for $671,850.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27, 2009, RBC made demand under the RBC Mortgage of the Peters Street property and on December 18, 2009, commenced foreclosure proceedings to which Ms. Moffoot entered an appearance on December 21, 2009.</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 2010, BMO commenced foreclosure proceedings under the BMO Mortgage of the Rosewood Place property and Ms. Moffoot entered an appearance in those proceedings.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March 11, 2010, RBC obtained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in the RBC Mortgage foreclosure proceedings, that provided for a one day redemption period, declared that $271,374.14 was owing, and granted judgment against Ms. Moffoot for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April 12, 2010, after all of those foreclosure proceedings had been commenced and the related personal judgments against her had been entered, Ms. Moffoot made an assignment into bankruptcy under which E. Sands &amp; Associates was appointed as her Trustee in Bankruptcy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August 26, 2010, notwithstanding her status as a then undischarged bankrupt, Ms. Moffoot entered an appearance in the foreclosure proceedings that had been commenced by BMO on March 2, 2010, under the BMO Mortgage of the Rosewood Place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On August 31, 2010, BMO obtained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in its foreclosure proceedings against the Rosewood Place property with a one day redemption period and a declaration that the amount owing under the BMO Mortgage was then $477,154.80.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November 6, 2010, Ms. Moffoot and Ms. Smith commenced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xml:space="preserve"> notwithstanding Ms. Moffoot's lack of status as an undischarged bankrupt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January 13, 2011, Ms. Moffoot was discharged from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On January 18, 2011, BMO filed an application in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xml:space="preserve"> seeking an order that Ms. Moffoot's claims in that action be struck because those claims had vested in the Trustee. In response, Ms. Moffoot sought an assignment of those claims from the Trustee or alternatively that the Trustee continue to pursue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Ms. Moffoot's creditors declined to have the Trustee continue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xml:space="preserve"> and the Trustee then advised her that unless a creditor objected, the Trustee would assign the claims to her. After no objection was received the Trustee agreed to assign the claims to Ms. Moffoot on February 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On February 24, 2011, Master Caldwell heard BMO's application to have Ms. Moffoot's claims in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xml:space="preserve"> struck. He made that order after concluding that any claims Ms. Moffoot may have had against the defendants when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xml:space="preserve"> was commenced had been vested in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Moffoot then commenced this proceeding on March 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March 22, 2011, BMO also applied to have Ms. Moffoot's claims in this proceeding struck because those claims had vested in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response, on May 19, 2011, Ms. Moffoot filed an application seeking orders allowing her to commence proceedings against the Trustee, to compel the Trustee to allow her to proceed with her claims in this proceeding, or alternatively, convey the Trustee's interest in the proceeding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much procedural wrangling and many adjournments of those competing applications and security for costs applications brought by Homelife and BMO, as well as a bidding process which eventually involved bids by Maan and Ms. Moffoot, on July 13, 2012, Abrioux J. approved the assignment to Ms. Moffoot of all of the Trustee's "right title and interest" in this proceeding in return for the payment of $3,011 and costs in the amount of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Abrioux J. also lifted the provisional stay of proceedings that had precluded this action from proceeding, before that assignment was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Assignment Agreement entered into between the Trustee and Ms. Moffoot pursuant to the order of Abrioux J. includes the following terms: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Assignee [Ms. Moffoot] hereafter will have and hold absolutely all of the right, title and interest to the Action for her sole use and benefit.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understood between the parties that the Assignor does not make any representation, warranty, covenant or agreement as to the future success of the Action.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Assignee agrees that she will be solely responsible to pay for the costs of the Action and will not seek any contribution or reimbursement from the Assignor.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Assignee agrees that hereafter she will be responsible for any and all costs, losses, damages, liabilities, claims or other expenses in any way relating to or arising from this Assignment or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proceeding then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Before addressing the Rule 9-7 summary trial applications brought by BMO and by Homelife and Newberry I will first discuss and decide the Rule 9-5 applications brought by BMO and RBC.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Applications of RBC and BMO under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applicable provisions of Rule 9-5 upon which both BMO and RBC rely state: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BMO and RBC submit that the relief sought against each in this proceeding is an abuse of process because all of the issues raised by the plaintiff either were or should have been raised by her in the proceedings brought by them in the foreclosures of the BMO Mortgage of the Rosewood Place property and the RBC Mortgage of the Peters Street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making those submissions RBC and BMO rely upon the equitable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support of those arguments the applicants rely primarily upon:</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Cliffs Over Maple Bay (Re</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2011 BCCA 180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Cliffs</w:t>
      </w:r>
      <w:r>
        <w:rPr>
          <w:rFonts w:ascii="arial" w:eastAsia="arial" w:hAnsi="arial" w:cs="arial"/>
          <w:color w:val="000000"/>
          <w:sz w:val="20"/>
          <w:lang w:val="en-US" w:eastAsia="en-US" w:bidi="ar-SA"/>
        </w:rPr>
        <w:t>], in which at paras. 25 to 28, Newbury J.A. for the court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policy objectives underlying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generally are well-known and have been discussed at length in the jurisprudence and in the academic context: see for example, Donald J. Lange, </w:t>
      </w:r>
      <w:r>
        <w:rPr>
          <w:rFonts w:ascii="arial" w:eastAsia="arial" w:hAnsi="arial" w:cs="arial"/>
          <w:i/>
          <w:color w:val="000000"/>
          <w:sz w:val="20"/>
          <w:lang w:val="en-US" w:eastAsia="en-US" w:bidi="ar-SA"/>
        </w:rPr>
        <w:t>Res Judicata in Canada</w:t>
      </w:r>
      <w:r>
        <w:rPr>
          <w:rFonts w:ascii="arial" w:eastAsia="arial" w:hAnsi="arial" w:cs="arial"/>
          <w:color w:val="000000"/>
          <w:sz w:val="20"/>
          <w:lang w:val="en-US" w:eastAsia="en-US" w:bidi="ar-SA"/>
        </w:rPr>
        <w:t xml:space="preserve"> (3rd ed., 2010), chapter 1; </w:t>
      </w:r>
      <w:r>
        <w:rPr>
          <w:rFonts w:ascii="arial" w:eastAsia="arial" w:hAnsi="arial" w:cs="arial"/>
          <w:i/>
          <w:color w:val="000000"/>
          <w:sz w:val="20"/>
          <w:lang w:val="en-US" w:eastAsia="en-US" w:bidi="ar-SA"/>
        </w:rPr>
        <w:t>Henderson v. Henderson,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Hoystead v. Taxation Commissioner</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[1926] A.C. 155</w:t>
        </w:r>
      </w:hyperlink>
      <w:r>
        <w:rPr>
          <w:rFonts w:ascii="arial" w:eastAsia="arial" w:hAnsi="arial" w:cs="arial"/>
          <w:color w:val="000000"/>
          <w:sz w:val="20"/>
          <w:lang w:val="en-US" w:eastAsia="en-US" w:bidi="ar-SA"/>
        </w:rPr>
        <w:t xml:space="preserve"> (J.C.P.C.); </w:t>
      </w:r>
      <w:r>
        <w:rPr>
          <w:rFonts w:ascii="arial" w:eastAsia="arial" w:hAnsi="arial" w:cs="arial"/>
          <w:i/>
          <w:color w:val="000000"/>
          <w:sz w:val="20"/>
          <w:lang w:val="en-US" w:eastAsia="en-US" w:bidi="ar-SA"/>
        </w:rPr>
        <w:t>Angle v. Minister of National Revenue</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Danyluk v. Ainsworth Technologies Ltd.</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The authors of Spencer Bower and Turner, </w:t>
      </w:r>
      <w:r>
        <w:rPr>
          <w:rFonts w:ascii="arial" w:eastAsia="arial" w:hAnsi="arial" w:cs="arial"/>
          <w:i/>
          <w:color w:val="000000"/>
          <w:sz w:val="20"/>
          <w:lang w:val="en-US" w:eastAsia="en-US" w:bidi="ar-SA"/>
        </w:rPr>
        <w:t>The Doctrine of Res Judicata</w:t>
      </w:r>
      <w:r>
        <w:rPr>
          <w:rFonts w:ascii="arial" w:eastAsia="arial" w:hAnsi="arial" w:cs="arial"/>
          <w:color w:val="000000"/>
          <w:sz w:val="20"/>
          <w:lang w:val="en-US" w:eastAsia="en-US" w:bidi="ar-SA"/>
        </w:rPr>
        <w:t xml:space="preserve"> (4th ed., 2009), state: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policies support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estoppel: the interest of the community in the termination of disputes and the finality and conclusiveness of judicial decisions; and the interest of an individual in being protected from repeated suits and prosecutions for the same cause. Maugham L.C. said: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The doctrine of estoppel is one founded on considerations of justice and good sense. If an issue has been distinctly raised and decided in an action, in which the parties are represented, it is unjust and unreasonable to permit the same issue to be litigated afresh between the same parties or persons claiming under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[26] Appellate courts in Canada have emphasized that the importance of finality and the principle that a party should not be 'twice vexed' (</w:t>
      </w:r>
      <w:r>
        <w:rPr>
          <w:rFonts w:ascii="arial" w:eastAsia="arial" w:hAnsi="arial" w:cs="arial"/>
          <w:i/>
          <w:color w:val="000000"/>
          <w:sz w:val="20"/>
          <w:lang w:val="en-US" w:eastAsia="en-US" w:bidi="ar-SA"/>
        </w:rPr>
        <w:t>bis vixari</w:t>
      </w:r>
      <w:r>
        <w:rPr>
          <w:rFonts w:ascii="arial" w:eastAsia="arial" w:hAnsi="arial" w:cs="arial"/>
          <w:color w:val="000000"/>
          <w:sz w:val="20"/>
          <w:lang w:val="en-US" w:eastAsia="en-US" w:bidi="ar-SA"/>
        </w:rPr>
        <w:t xml:space="preserve">) for the same cause, must be balanced against the other "fundamental principle" (see </w:t>
      </w:r>
      <w:r>
        <w:rPr>
          <w:rFonts w:ascii="arial" w:eastAsia="arial" w:hAnsi="arial" w:cs="arial"/>
          <w:i/>
          <w:color w:val="000000"/>
          <w:sz w:val="20"/>
          <w:lang w:val="en-US" w:eastAsia="en-US" w:bidi="ar-SA"/>
        </w:rPr>
        <w:t>Hoque</w:t>
      </w:r>
      <w:r>
        <w:rPr>
          <w:rFonts w:ascii="arial" w:eastAsia="arial" w:hAnsi="arial" w:cs="arial"/>
          <w:color w:val="000000"/>
          <w:sz w:val="20"/>
          <w:lang w:val="en-US" w:eastAsia="en-US" w:bidi="ar-SA"/>
        </w:rPr>
        <w:t xml:space="preserve"> at para. 21) that courts are reluctant to deprive litigants of the right to have their cases decided on the merits: see </w:t>
      </w:r>
      <w:r>
        <w:rPr>
          <w:rFonts w:ascii="arial" w:eastAsia="arial" w:hAnsi="arial" w:cs="arial"/>
          <w:i/>
          <w:color w:val="000000"/>
          <w:sz w:val="20"/>
          <w:lang w:val="en-US" w:eastAsia="en-US" w:bidi="ar-SA"/>
        </w:rPr>
        <w:t>Toronto (City) v. Canadian Union of Public Employees, Local 79</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Revane v. Homersham</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2006 BCCA 8</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53 B.C.L.R. (4th) 76</w:t>
        </w:r>
      </w:hyperlink>
      <w:r>
        <w:rPr>
          <w:rFonts w:ascii="arial" w:eastAsia="arial" w:hAnsi="arial" w:cs="arial"/>
          <w:color w:val="000000"/>
          <w:sz w:val="20"/>
          <w:lang w:val="en-US" w:eastAsia="en-US" w:bidi="ar-SA"/>
        </w:rPr>
        <w:t xml:space="preserve"> (C.A.) at paras. 16-7; Lange at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takes two forms in modern practice, cause of action estoppel (still sometimes called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issue estoppel. Lange summarizes them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their simplest definitions, issue estoppel means that a litigant is estopped because the issue has clearly been decided in the previous proceeding, and cause of action estoppel means that a litigant is estopped because the cause has passed into a matter adjudged in the previous proceeding. [At 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distinction was described in more elaborate terms by Lord Denning, M.R. in </w:t>
      </w:r>
      <w:r>
        <w:rPr>
          <w:rFonts w:ascii="arial" w:eastAsia="arial" w:hAnsi="arial" w:cs="arial"/>
          <w:i/>
          <w:color w:val="000000"/>
          <w:sz w:val="20"/>
          <w:lang w:val="en-US" w:eastAsia="en-US" w:bidi="ar-SA"/>
        </w:rPr>
        <w:t>Fidelitas Shipping Co., Ltd., v. V/O Exportchleb</w:t>
      </w:r>
      <w:r>
        <w:rPr>
          <w:rFonts w:ascii="arial" w:eastAsia="arial" w:hAnsi="arial" w:cs="arial"/>
          <w:color w:val="000000"/>
          <w:sz w:val="20"/>
          <w:lang w:val="en-US" w:eastAsia="en-US" w:bidi="ar-SA"/>
        </w:rPr>
        <w:t xml:space="preserve"> [1965] 2 All E.R. 4 (C.A.):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as I understand it, is this: if one party brings an action against another for a particular cause and judgment is given on it, there is a strict rule of law that he cannot bring another action against the same party for the same cause. Transit in </w:t>
      </w:r>
      <w:r>
        <w:rPr>
          <w:rFonts w:ascii="arial" w:eastAsia="arial" w:hAnsi="arial" w:cs="arial"/>
          <w:i/>
          <w:color w:val="000000"/>
          <w:sz w:val="20"/>
          <w:lang w:val="en-US" w:eastAsia="en-US" w:bidi="ar-SA"/>
        </w:rPr>
        <w:t>rem judicatam</w:t>
      </w:r>
      <w:r>
        <w:rPr>
          <w:rFonts w:ascii="arial" w:eastAsia="arial" w:hAnsi="arial" w:cs="arial"/>
          <w:color w:val="000000"/>
          <w:sz w:val="20"/>
          <w:lang w:val="en-US" w:eastAsia="en-US" w:bidi="ar-SA"/>
        </w:rPr>
        <w:t xml:space="preserve"> ... But within one cause of action, there may be several issues raised which are necessary for the determination of the whole case. The rule then is that, once an issue has been raised and distinctly determined between the parties, then, as a general rule, neither party can be allowed to fight that issue all over again. The same issue cannot be raised by either of them again in the same or subsequent proceedings except in special circumstances ... And within one issue, there may be several points available which go to aid one party or the other in his efforts to secure a determination of the issue in his favour. The rule then is that each party must use reasonable diligence to bring forward every point which he thinks would help him. If he omits to raise any particular point,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inadvertence, or even accident (which would or might have decided the issue in his favour), he may find himself shut out from raising that point again, at any rate in any case where the self-same issue arises in the same or subsequent proceedings. ... But this again is not an inflexible rule. It can be departed from in special circumstances. ... [At 8-9; quoted with apparent approval in </w:t>
      </w:r>
      <w:r>
        <w:rPr>
          <w:rFonts w:ascii="arial" w:eastAsia="arial" w:hAnsi="arial" w:cs="arial"/>
          <w:i/>
          <w:color w:val="000000"/>
          <w:sz w:val="20"/>
          <w:lang w:val="en-US" w:eastAsia="en-US" w:bidi="ar-SA"/>
        </w:rPr>
        <w:t>Grandview v. Doering, infra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Although grounded in the same basic considerations, each form involves, or has traditionally involved, criteria that have been expressed in slightly different terms. The traditional criteria for cause of action estoppel, confirmed in Canada in </w:t>
      </w:r>
      <w:r>
        <w:rPr>
          <w:rFonts w:ascii="arial" w:eastAsia="arial" w:hAnsi="arial" w:cs="arial"/>
          <w:i/>
          <w:color w:val="000000"/>
          <w:sz w:val="20"/>
          <w:lang w:val="en-US" w:eastAsia="en-US" w:bidi="ar-SA"/>
        </w:rPr>
        <w:t>Angle, supra</w:t>
      </w:r>
      <w:r>
        <w:rPr>
          <w:rFonts w:ascii="arial" w:eastAsia="arial" w:hAnsi="arial" w:cs="arial"/>
          <w:color w:val="000000"/>
          <w:sz w:val="20"/>
          <w:lang w:val="en-US" w:eastAsia="en-US" w:bidi="ar-SA"/>
        </w:rPr>
        <w:t xml:space="preserve">, were summarized by Chief Justice Hewak in </w:t>
      </w:r>
      <w:r>
        <w:rPr>
          <w:rFonts w:ascii="arial" w:eastAsia="arial" w:hAnsi="arial" w:cs="arial"/>
          <w:i/>
          <w:color w:val="000000"/>
          <w:sz w:val="20"/>
          <w:lang w:val="en-US" w:eastAsia="en-US" w:bidi="ar-SA"/>
        </w:rPr>
        <w:t>Bjarnarson v. Manitoba</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at 34,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(1987) 45 D.L.R. (4th) 766</w:t>
        </w:r>
      </w:hyperlink>
      <w:r>
        <w:rPr>
          <w:rFonts w:ascii="arial" w:eastAsia="arial" w:hAnsi="arial" w:cs="arial"/>
          <w:color w:val="000000"/>
          <w:sz w:val="20"/>
          <w:lang w:val="en-US" w:eastAsia="en-US" w:bidi="ar-SA"/>
        </w:rPr>
        <w:t xml:space="preserve"> (Man. C.A.), as taken from </w:t>
      </w:r>
      <w:r>
        <w:rPr>
          <w:rFonts w:ascii="arial" w:eastAsia="arial" w:hAnsi="arial" w:cs="arial"/>
          <w:i/>
          <w:color w:val="000000"/>
          <w:sz w:val="20"/>
          <w:lang w:val="en-US" w:eastAsia="en-US" w:bidi="ar-SA"/>
        </w:rPr>
        <w:t>Grandview v. Doering</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a </w:t>
      </w:r>
      <w:r>
        <w:rPr>
          <w:rFonts w:ascii="arial" w:eastAsia="arial" w:hAnsi="arial" w:cs="arial"/>
          <w:color w:val="000000"/>
          <w:sz w:val="20"/>
          <w:u w:val="single"/>
          <w:lang w:val="en-US" w:eastAsia="en-US" w:bidi="ar-SA"/>
        </w:rPr>
        <w:t>final decision</w:t>
      </w:r>
      <w:r>
        <w:rPr>
          <w:rFonts w:ascii="arial" w:eastAsia="arial" w:hAnsi="arial" w:cs="arial"/>
          <w:color w:val="000000"/>
          <w:sz w:val="20"/>
          <w:lang w:val="en-US" w:eastAsia="en-US" w:bidi="ar-SA"/>
        </w:rPr>
        <w:t xml:space="preserve"> of a court of competent jurisdiction in the prior action [the requirement of "finality"];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subsequent litigation must have been parties to or in privy with the parties to the prior action [the requirement of "mutuality"];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and the prior action must not be separate and distinct;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basis</w:t>
      </w:r>
      <w:r>
        <w:rPr>
          <w:rFonts w:ascii="arial" w:eastAsia="arial" w:hAnsi="arial" w:cs="arial"/>
          <w:color w:val="000000"/>
          <w:sz w:val="20"/>
          <w:lang w:val="en-US" w:eastAsia="en-US" w:bidi="ar-SA"/>
        </w:rPr>
        <w:t xml:space="preserve"> of the cause of action and the subsequent action was argued or </w:t>
      </w:r>
      <w:r>
        <w:rPr>
          <w:rFonts w:ascii="arial" w:eastAsia="arial" w:hAnsi="arial" w:cs="arial"/>
          <w:color w:val="000000"/>
          <w:sz w:val="20"/>
          <w:u w:val="single"/>
          <w:lang w:val="en-US" w:eastAsia="en-US" w:bidi="ar-SA"/>
        </w:rPr>
        <w:t>could have been argued in the prior action if the parties had exercised reasonable diligence</w:t>
      </w:r>
      <w:r>
        <w:rPr>
          <w:rFonts w:ascii="arial" w:eastAsia="arial" w:hAnsi="arial" w:cs="arial"/>
          <w:color w:val="000000"/>
          <w:sz w:val="20"/>
          <w:lang w:val="en-US" w:eastAsia="en-US" w:bidi="ar-SA"/>
        </w:rPr>
        <w:t>. [At para. 6;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perhaps unnecessary to state that the doctrine contemplates two "causes" -- the first having ended in a final judgment that bars a "second claim for the same cause": see </w:t>
      </w:r>
      <w:r>
        <w:rPr>
          <w:rFonts w:ascii="arial" w:eastAsia="arial" w:hAnsi="arial" w:cs="arial"/>
          <w:i/>
          <w:color w:val="000000"/>
          <w:sz w:val="20"/>
          <w:lang w:val="en-US" w:eastAsia="en-US" w:bidi="ar-SA"/>
        </w:rPr>
        <w:t>Mohl v. University of British Columbia</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at paras. 23-4. In this context, "cause of action" does not refer to the name or classification given to the wrong or remedy, but to a factual situation which entitles one to a remedy: see also Lange at 147; </w:t>
      </w:r>
      <w:r>
        <w:rPr>
          <w:rFonts w:ascii="arial" w:eastAsia="arial" w:hAnsi="arial" w:cs="arial"/>
          <w:i/>
          <w:color w:val="000000"/>
          <w:sz w:val="20"/>
          <w:lang w:val="en-US" w:eastAsia="en-US" w:bidi="ar-SA"/>
        </w:rPr>
        <w:t>Comeau v. Breau</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(1994) 145 N.B.R. (2d) 329</w:t>
        </w:r>
      </w:hyperlink>
      <w:r>
        <w:rPr>
          <w:rFonts w:ascii="arial" w:eastAsia="arial" w:hAnsi="arial" w:cs="arial"/>
          <w:color w:val="000000"/>
          <w:sz w:val="20"/>
          <w:lang w:val="en-US" w:eastAsia="en-US" w:bidi="ar-SA"/>
        </w:rPr>
        <w:t xml:space="preserve"> (C.A.) at para. 18; and </w:t>
      </w:r>
      <w:r>
        <w:rPr>
          <w:rFonts w:ascii="arial" w:eastAsia="arial" w:hAnsi="arial" w:cs="arial"/>
          <w:i/>
          <w:color w:val="000000"/>
          <w:sz w:val="20"/>
          <w:lang w:val="en-US" w:eastAsia="en-US" w:bidi="ar-SA"/>
        </w:rPr>
        <w:t>Letang v. Cooper</w:t>
      </w:r>
      <w:r>
        <w:rPr>
          <w:rFonts w:ascii="arial" w:eastAsia="arial" w:hAnsi="arial" w:cs="arial"/>
          <w:color w:val="000000"/>
          <w:sz w:val="20"/>
          <w:lang w:val="en-US" w:eastAsia="en-US" w:bidi="ar-SA"/>
        </w:rPr>
        <w:t xml:space="preserve"> [1965] 1 Q.B. 222 (C.A.) at 242-43.</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Ba-Oose Inc. v. HSBC Bank Canada</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2011 BCCA 511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Ba-Oose</w:t>
      </w:r>
      <w:r>
        <w:rPr>
          <w:rFonts w:ascii="arial" w:eastAsia="arial" w:hAnsi="arial" w:cs="arial"/>
          <w:color w:val="000000"/>
          <w:sz w:val="20"/>
          <w:lang w:val="en-US" w:eastAsia="en-US" w:bidi="ar-SA"/>
        </w:rPr>
        <w:t>], in which at paras. 21 to 23, Groberman J.A. wrote for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my view, the chambers judge was correct in finding that this action (or, at least, most of it) is an abuse of process. As the respondent contends,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in a foreclosure proceeding is a final judgment of the court (see </w:t>
      </w:r>
      <w:r>
        <w:rPr>
          <w:rFonts w:ascii="arial" w:eastAsia="arial" w:hAnsi="arial" w:cs="arial"/>
          <w:i/>
          <w:color w:val="000000"/>
          <w:sz w:val="20"/>
          <w:lang w:val="en-US" w:eastAsia="en-US" w:bidi="ar-SA"/>
        </w:rPr>
        <w:t>Bank of Montreal v. Singh</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(1979), 109 D.L.R. (3d) 117</w:t>
        </w:r>
      </w:hyperlink>
      <w:r>
        <w:rPr>
          <w:rFonts w:ascii="arial" w:eastAsia="arial" w:hAnsi="arial" w:cs="arial"/>
          <w:color w:val="000000"/>
          <w:sz w:val="20"/>
          <w:lang w:val="en-US" w:eastAsia="en-US" w:bidi="ar-SA"/>
        </w:rPr>
        <w:t xml:space="preserve"> (B.C.C.A.)).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of foreclosure cannot be granted unless the court is satisfied that the mortgage is both valid and legally enforceable. The court must also determine the amounts secured by the mortgage and whether there has been a default.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Once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is pronounced, it is not open to a mortgagor to challenge the validity of the mortgage by way of a separate action. Because the validity and enforceability of the mortgage are prerequisites to the granting of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the facts necessary to determine that the mortgage is enforceable become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the case before us, most of the plaintiffs' claims go directly to the question of whether the mortgage was valid and enforceable according to its terms. If the plaintiffs wished to argue that the mortgage was unconscionable or entered into in an unlawful Maaner, their opportunity to do so was in defence of the application for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of foreclosure. They could not consent to the granting of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and then commence a separate action to challenge the validity of the mortgage.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either expressly or by implication, affirmed the legality and enforceability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this case, in the foreclosure proceedings concerning the RBC Mortgage of the Peters Street property Ms. Moffoot was represented by counsel (not her present counsel Mr. Pyper). Her counsel did not attend upon the application for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heard on March 11, 2010, and Ms. Moffoot did not herself oppose the granting of that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Also, as noted above in the following month, Ms. Moffoot then made a voluntary assignment into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Nine months later, while Ms. Moffoot was still an undischarged bankrupt, Mr. Pyper filed an appearance in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Subsequently, on a February 17, 2011 application by RBC for an order for sale of the Peters Street property, Mr. Pyper applied for a stay of proceedings of that sale, pending the outcome of these proceedings. In doing so he relied upon an affidavit sworn by Ms. Moffoot which made similar allegations to those now made in this action and which were then also the subject of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That stay application was denied and a vesting order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Those appearances and applications by Mr. Pyper on behalf of Ms. Moffoot occurred while the eventually successful applications of BMO to have Ms. Moffoot's claims in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xml:space="preserve"> struck were still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noted above, Ms. Moffoot had also entered an appearance in the proceedings related to the foreclosure of the BMO Mortgage of the Rosewood Place property commenced on March 10, 2010, before she then filed an assignment in bankruptcy on April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also noted above, on August 26, 2010, notwithstanding her status as a still undischarged bankrupt Ms. Moffoot again purported to enter an appearance in those foreclosure proceedings. She did not, however, contest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application brought by BMO on August 30, 2010, nor did the Trustee appear on or contest the granting of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Counsel for RBC and BMO submit that the orders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of foreclosure of both the RBC Mortgage of the Peters Street property and the BMO Mortgage of the Rosewood Place property and application of the principles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 preclude the plaintiff from continuing to assert any claims against either defendant in any way related to the granting of, validity of, or enforceability of either the RBC Mortgage of the Peters Street property or the BMO Mortgage of the Rosewood Place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They submit that all of the issues now raised by the plaintiff against both BMO and RBC including her allegations of conspiracy, breach of fiduciary duty, negligent or fraudulent misrepresentation and breach of contract all stem directly or indirectly from the RBC Mortgage of the Peters Street property and the BMO Mortgage of the Rosewood Place property and could and should have been argued in the foreclosure proceedings and cannot now be litigated as collateral attacks upon the granting of those mortgages, their validity or enforceability.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Pyper's responses on behalf of Ms. Moffoot to the submissions of counsel for BMO and RBC in relation to their Rule 9-5 applications were generally unresponsive to the specific issues raised and, to the extent they were responsive, they were difficult to comprehend.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To the extent that I am able to discern the thrust of his arguments as they relate to Ms. Moffoot's claims against the BMO, Mr. Pyper argues that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 do not apply to preclude those claims because:</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Moffoot did not obtain standing to advance her claims until after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in the foreclosure of the BMO Mortgage of the Rosewood Place property had been granted;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BMO is itself now precluded by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 from making its present applications to dismiss Ms. Moffoot's claims against it because it failed to address the same issues at the application wherein N. Brown J. granted a provisional stay of these proceedings arising from Ms. Moffoot's application to have the Trustee assign its interest in those claims to her.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BMO is itself similarly precluded by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 from making its present applications to dismiss Ms. Moffoot's claims against it because BMO also failed to address the same issues on the application before Abrioux J., in which he allowed the assignment of the Trustee's interests in those claims to Ms. Moffoot.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BMO cannot escape vicarious liability for the tortious acts of its employee or agent Bachra for his alleged participation in the conspiracy to defraud Ms. Moffoot or for his negligent or fraudulent misrepresentations to her that furthered that conspiracy by allowing the deceitfully obtained purchase of the Rosewood Place property to be completed through the granting of the BMO Mortgage of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To the extent that I have been able to discern Mr. Pyper's submissions concerning Ms. Moffoot's arguments against RBC's Rule 9-5 applications to dismiss her claims, they are that RBC is liable for all of the tortious acts of its employee or agent Maan as a principal participant in the conspiracy to defraud Ms. Moffoot by having her mortgage the Peters Street property to acquire the Flood Road property, as well as for his or for his negligent or fraudulent misrepresentations to her that furthered that conspiracy by allowing the deceitfully obtained purchase of the Rosewood Place property to be completed through the granting of the BMO Mortgage of that property with the assistance of Bachra.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have concluded that there is no merit to any of those submissions as they relate to the Rule 9-5 applications of either BMO or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Moffoot's lack of standing to contest the granting of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of the BMO Mortgage of the Rosewood Place property arose from her own deliberate act in voluntarily declaring bankruptcy. It must be noted that even though she had done so she still purported to enter an appearance in that foreclosure proceeding when the application for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filed. The decisions of this Court affirm that Ms. Moffoot's interest in her claims against BMO were then vested in the Trustee and as such it was up to the Trustee to advance any claims Ms. Moffoot's estate may have had against BMO relating to the granting of, validity, or enforceability of the BMO Mortgage of the Rosewood Place property. Having failed to do so, application of the principles of both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 preclude a collateral attack upon either validity or enforceability through re-litigating issues already decided. The mischief that a ruling to the contrary would cause is obvious and would subvert the policy objectives underlying both equitable doctrines as well as the provisions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argument that BMO is itself precluded by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 from making its present applications to dismiss Ms. Moffoot's claims against it because it failed to address the same issues at the hearing before N. Brown J. is misconceived because it fails to appreciate that that application was wholly interlocutory and did not and could not in any way have resulted in a final order purporting to determine the validity or enforceability of a mortgage which had been declared to be both by way of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granted while Ms. Moffoot was an undischarged bankrupt. Also, BMO had not filed, nor was it required to file, a response to Ms. Moffoot's claims against it in this proceeding until after the assignment of those claims had been perfected.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before Abrioux J. was even more removed from a final order and was a contest solely between the Trustee and Ms. Moffoot. Further, BMO had not filed, nor was it then required to file, a response to Ms. Moffoot's claims against it in this proceeding until after the assignment of those claims had been perfected.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Moffoot's arguments about the inapplicability of Rule 9-5 to her claims against both the RBC and BMO because of the alleged tortious acts of their employees or agents Maan and Bachra in relation to the RBC Mortgage of the Peters Street property and the BMO Mortgage of the Rosewood Place property do not overcome the determinations of validity and enforceability of both the mortgages arising from the orders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granted with respect to them. The doctrine of issue estoppel precludes any re-litigation of issues which could undermine those judicial determinations and all of the acts of either Maan or Bachra of which Ms. Moffoot complaints that are directly or indirectly related to the granting of those mortgages or representations concerning them are issues going to their validity and enforceability that had to be addressed by Ms. Moffoot in the case of the RBC Mortgage of the Peters Street property or by the Trustee in the case of the BMO Mortgage of the Rosewood Place property when the orders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were granted with respect to each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accordingly concluded that all of Ms. Moffoot's claims against BMO and RBC that are directly or indirectly related to the granting of, validity, or enforceability of the Peters Street property must be struck under Rule 9-5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To the extent, however, that any of the claims Ms. Moffoot brings against RBC and BMO arising from alleged tortious acts of Maan and Bachra that are unrelated to the granting of, validity, or enforceability of the RBC Mortgage of the Peters Street property or the BMO Mortgage of the Rosewood Place property, they remain subject to adjudication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Given the fact that RBC has not applied for a summary dismissal of any such unrelated claims under Rule 9-7, and the complex and prolix pleadings of Ms. Moffoot in this matter, as well as the still outstanding issues between her and RBC arising from N. Brown J.'s memorandum to counsel, I will not address more specifically those paragraphs of the plaintiff's notice of civil claim that must be struck pursuant to my ruling under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Both RBC and Ms. Moffoot are at liberty to apply if they are unable to reach agreement on any specific aspect of Ms. Moffoot's pleadings relating to my ruling under Rule 9-5. In such case all parties of record must be given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the other hand, because BMO has applied under Rule 9-7 in addition to Rule 9-5 for the dismissal of all of Ms. Moffoot's claims against it, I must address whether any claims of vicarious liability against BMO arising from Bachra's allegedly tortious acts are unrelated to the granting of, validity of, or enforceability of the BMO Mortgage and, if so, whether they should now be dismissed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decisions that I reach on that Rule 9-7 application by BMO should, to some extent, inform the extent to which my Rule 9-5 ruling applies to limit the plaintiff's claims against not only BMO but also RBC.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Applications of BMO and Homelife/Newberry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primary position taken by Ms. Moffoot on the summary trial applications by these defendants was that both applications were not appropriate for summary determination because of contested or indeterminable issues, credibility issues and the interrelationship of the claims advanced against these defendants with those made against other defendants. Secondarily, Mr. Pyper relied upon outstanding requests for documents from defendants other than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After considering those submissions and the totality of the evidence adduced by BMO and Homelife/Newberry, I have concluded that their applications for the dismissal of the plaintiff's claims against each are amenable to disposition by summary trial uner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reached that conclusion for the following reasons: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transactions out of which these applications arise were completed in late 2007.</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proceedings which I have discussed concerning the stay of Ms. Moffoot's claims in the </w:t>
      </w:r>
      <w:r>
        <w:rPr>
          <w:rFonts w:ascii="arial" w:eastAsia="arial" w:hAnsi="arial" w:cs="arial"/>
          <w:i/>
          <w:color w:val="000000"/>
          <w:sz w:val="20"/>
          <w:lang w:val="en-US" w:eastAsia="en-US" w:bidi="ar-SA"/>
        </w:rPr>
        <w:t>Smith Action</w:t>
      </w:r>
      <w:r>
        <w:rPr>
          <w:rFonts w:ascii="arial" w:eastAsia="arial" w:hAnsi="arial" w:cs="arial"/>
          <w:color w:val="000000"/>
          <w:sz w:val="20"/>
          <w:lang w:val="en-US" w:eastAsia="en-US" w:bidi="ar-SA"/>
        </w:rPr>
        <w:t xml:space="preserve"> as well as in this proceeding due to her bankruptcy prior to the assignment of those claims to her by the Trustee, delayed substantive response by these defendants for almost two years.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plaintiff's claims have been the subject of numerous pleadings amendments over time as against these defendants they are substantively the same as they were when first filed.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Moffoot was examined for discovery in March of 2013 by counsel for both of the applicants.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Rule 9-7 summary trial application of BMO was filed on April 18, 2013, and that of Homelife/ Newberry was filed on June 13, 2013, both shortly after these proceedings were allowed to continue.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Ms. Moffoot examined Newberry for discovery on May 29, 2013.</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Ms. Moffoot has not examined Bachra (based upon whose actions Ms. Moffoot asserts vicarious liability against BMO) for discovery or applied to cross-examine him on his affidavit filed in support of this application on April 26, 2013. He has, however, examined Maan, upon whose evidence he seeks to rely in urging that Bachra's affidavit evidence should not be believed.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applications for further documents were not pursued in a timely way and relate to "investigative" rather than to the "original transaction" documentation which I understand has all been produced.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understand that all of the "original transaction" documentation has been produced.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against BMO arising from Bachra's alleged tortious actions as an employee or agent of BMO are relatively narrow and can be determined independently of any of the other claims against him.</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Moffoot's claims against Homelife and Newberry are discreet claims within the broader litigation related to the purchase of the Rosewood Place property by her.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relative narrowness of Ms. Moffoot's claims against both applicants can be fairly decided without embarrassing the continuation of this proceeding against the remaining defendants.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also satisfied that the credibility issues asserted by Mr. Pyper can be fairly summarily determined especially bearing in mind the document and oral discovery processes that have been available to Ms. Moffoot and the length of time the allegations against the applicants have been outstanding.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BMO application for summary dismissal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only issues to be decided on this application under Rule 9-7 are those concerning the alleged vicarious liability of BMO arising from the tortious actions of Bachra in his capacity as an employee or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Those allegations are that:</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Bachra was complicit with West and Maan in the alleged deceit that led to the purchase of the Rosewood Place property by Ms. Moffoot and Ms. Adolf for $472,000, which they then mortgaged to BMO on November 6, 2007, for $463,421.40, as part of the purchase price for the Flood Road property when Bachra knew she and Ms. Adolf could not repay the BMO Mortgage;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Bachra misrepresented to Ms. Moffoot that the financing would be "done" in three months and that West knew where to make the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no application before me for either summary judgment or summary dismissal concerning Bachra's allegedly tortious conduct relating to the broad allegations of fraud and conspiracy involving the personal defendants Maan, West or George Rakhra (to the extent they are still being pursued) alleged by the plaintiff other than those actions directly involving BMO.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noted above, Ms. Moffoot has at various times denied knowing that she was purchasing the Rosewood Place property in which West was living when the purchase occurred. She has also, however, acknowledged signing purchase documents and has also admitted signing the BMO Mortgage of the Rosewood Place property while at the same time asserting that the mortgage was only for bridge financing arranged by Maan for the purchase of the Flood Road property that was to be repaid by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am satisfied that Ms. Moffoot must have known at some time during the transaction for the purchase of the Rosewood Place Property that she was acquiring the property and knew that it was to be mortgaged to finance the Flood Road property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While she may have been unduly trusting of Maan and West she did not protect her own interests in the matter by signing documents at their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is also no direct evidence to suggest that Bachra was aware of representations made by either of Maan or West that could have led him to believe that Ms. Moffoot and Ms. Adolf did not intend to purchase and mortgage the Rosewood Place property as they did with intent to then use the proceeds as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Ms. Moffoot asserts that fraudulent documents were prepared to show the ability of her and Ms. Adolf to repay the BMO Mortgage of the Rosewood Place property the evidence does not establish that Bachra was aware that such documents were fraudulently obtained or prepared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Although Ms. Moffoot relies on her testimony that after Maan introduced her to Bachra he then left her with Bachra after saying to him "you owe me one" as evidencing Bachra's knowledge of the true state of affairs and his participation in the allegedly fraudulent scheme to acquire the Rosewood Place property, I am not prepared to make that finding based upon one statement made between two mortgage brokers that bears at least an equally innocent business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also not prepared to find that Bachra owed Ms. Moffoot a duty of care to protect her from herself in entering into the contact to purchase the Rosewood Place property or in completing the purchase or in mortgaging it to BMO.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bank owes no duty to a borrower to ensure that they do not borrow more than business considerations suggest would be appropriate. See: </w:t>
      </w:r>
      <w:r>
        <w:rPr>
          <w:rFonts w:ascii="arial" w:eastAsia="arial" w:hAnsi="arial" w:cs="arial"/>
          <w:i/>
          <w:color w:val="000000"/>
          <w:sz w:val="20"/>
          <w:lang w:val="en-US" w:eastAsia="en-US" w:bidi="ar-SA"/>
        </w:rPr>
        <w:t>Royal Bank of Canada v. Parmar</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2005 BCSC 1155</w:t>
        </w:r>
      </w:hyperlink>
      <w:r>
        <w:rPr>
          <w:rFonts w:ascii="arial" w:eastAsia="arial" w:hAnsi="arial" w:cs="arial"/>
          <w:color w:val="000000"/>
          <w:sz w:val="20"/>
          <w:lang w:val="en-US" w:eastAsia="en-US" w:bidi="ar-SA"/>
        </w:rPr>
        <w: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Moffoot and Ms. Adolf were strangers to BMO and Bachra prior to this transaction and the evidence falls far short of establishing that Bachra was involved in any way with Maan or West in any alleged nefarious schemes to defraud or deceive either.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those circumstances it also cannot be said that Bachra as an employee or agent of BMO owed a fiduciary duty to Ms. Moffoot or Ms. Adolf to prevent the purchase of the Rosewood Place property or to then prevent her from granting the BMO Mortgage of it for valuable consideration.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this was a one-time, arm's length commercial transaction between borrower and lender in which no fiduciary obligations arose. See: </w:t>
      </w:r>
      <w:r>
        <w:rPr>
          <w:rFonts w:ascii="arial" w:eastAsia="arial" w:hAnsi="arial" w:cs="arial"/>
          <w:i/>
          <w:color w:val="000000"/>
          <w:sz w:val="20"/>
          <w:lang w:val="en-US" w:eastAsia="en-US" w:bidi="ar-SA"/>
        </w:rPr>
        <w:t>Westminster Savings Credit Union v. 442301 B.C. Ltd.</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2000 BCSC 633</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result, all claims against BMO arising from allegations that Bachra was a participant with West or Maan or others, owed her fiduciary duties, or was negligent in relation to the alleged deceit that led to the purchase of the Rosewood Place property by Ms. Moffoot and Ms. Adolf for $472,000 are dismissed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Also, Ms. Moffoot's claims that Bachra misrepresented to her that the BMO Mortgage would be "done" in three months and that West knew where to make the payments do not amount to actionable misrepresentations that could give rise to the vitiation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proof that Bachra knew that any such expression of belief was untrue when made.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representation as to the term being for three months would contradict the explicit written terms of the BMO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accordingly dismiss that claim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the event that I am wrong in that determination, Ms. Moffoot's claims concerning any alleged misrepresentations as to her personal liability to repay the BMO Mortgage or the term of the BMO Mortgage are, in any event, precluded by application of Rule 9-5 as previously discussed because they challenge both the validity and enforceability of the BMO Mortgage, both of which were conclusively determined in the foreclosure proceedings when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All claims against BMO in this proceeding are accordingly dismissed.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Homelife/Newberry applications for summary dismissal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Moffoot's claims against Newberry are limited to his alleged misconduct as a real estate agent in the transaction by which Ms. Moffoot and Ms. Adolf purchased the Rosewood Place property for $472,000 and subsequently mortgaged for $463,421.40 by granting the BMO Mortgage of it in order to finance the purchase of the Flood Road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alleges that Homelife as Newberry's employer or principal is vicariously liable for his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Consistent with her claims against BMO arising out her allegations of liability based upon the actions of Bachra as BMO's employee or agent that I have dismissed, Ms. Moffoot has asserted that she never intended to purchase the Rosewood Place property and that she and Ms. Adolf only acquired title to property and mortgaged it by way of the BMO Mortgage by reason of the fraud and deceit of Maan and West in respect of which she alleges Newberry was either complicit, in breach of a fiduciary duty owed to her, or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I have noted, Newberry was examined for discovery by counsel for Ms. Moffoot and no evidence from that discovery was adduced on this application to provide evidentiary support for Newberry's alleged participation in a fraudulent scheme to injure Ms. Moffoot.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Moffoot's allegations of such participation are based upon speculation arising from Newberry's having admittedly improperly purported to witness her signature on some contract documents concerning the purchase of the Rosewood Place property without seeing her sign those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After having considered the totality of the evidence adduced by the parties I am satisfied that while (as I will later discuss) the improper witnessing of documents breached the standard of care expected of a real estate agent, I do not find that Newberry did so as a participant with West or Maan in a fraudulent conspiracy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reaching that conclusion I accept Newberry's evidence that he understood he was acting in the role of a limited dual agent for the vendor (Mr. Corry Sisson) and purchaser (Ms. Moffoot) of the Rosewood Place property on the representation of West that he was Ms. Moffoot's "significant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also find that Newberry's belief in the veracity of West's representations was not unreasonable given the signatures of Ms. Moffoot on not only the Limited Dual Agency Contract which he provided to West to obtain her signature but also on the original Contract of Purchase and Sale, as well as many of the other contractual documents that were ultimately executed by her before the sale of the Rosewood Place property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Although Ms. Moffoot asserts that she never met Newberry she admitted on examination for discovery that she signed the Limited Dual Agency Contract, the original Contract of Purchase and Sale, as well as one of the addenda to that Contract of Purchase of Sale for the purchase of the Rosewood Place property and that it is "possible" and "almost probable" that she did so when West and Maan or someone else put the documents before her and asked her to sign, which she did without reading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also impossible for me to accept Ms. Moffoot's evidence that she did not know that she was purchasing the Rosewood Place property or intend to purchase it when:</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Moffoot paid $31,676.92 by bank draft directly to the vendor, Mr. Sisson, on November 28, 2007;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Moffoot and Ms. Adolf (who was not recorded as a purchaser on the original Contract of Purchase and Sale) executed both the final purchase documents for the Rosewood Place property as well as the BMO Mortgage of it at the office of and in the presence of a conveyancing solicitor, Mr. Amarjit Singh Dhindsa, 21 days after she signed the Limited Dual Agency Contract and the original Contract of Purchase and Sale;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Ms. Moffoot had previously joined Mr. Dhindsa as a defendant in these proceedings, she filed a notice of discontinuance of her claims against him and his law corporation in December of 2013 while this summary trial application was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accordingly satisfied that all of Ms. Moffoot's claims against Newberry and Homelife based upon allegations of fraud and conspiracy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turn next to her allegations that Newberry is liable for damages suffered by Ms. Moffoot because he breached the standard of care and fiduciary duties owed to her as a professional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her further amended notice of claim filed March 27, 2013, Ms. Moffoot does not particularize the allegedly negligent acts or breaches of fiduciary duty committed by Newberry and Homelife upon which she relies in seeking damages against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To the extent that I am able to discern the bases for her allegations from the evidence adduced on this application and the arguments advanced by Mr. Pyper on her behalf, Ms. Moffoot appears to rely upon allegations of acts or omissions that Newberry:</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meet with her to confirm her identity as the purchaser of the Rosewood Place property and confirm that she intended to purchase the property;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Signed as a witness to her signature on five addenda to the Contract of Purchase and Sale without seeing her sign those documents;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advise her concerning the market value of the Rosewood Place property which she says was significantly lower than that which she and Ms. Adolf paid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is obviously difficult to reconcile the allegations about failing to advise on the market value of the Rosewood Place property with the allegation that Ms. Moffoot never intended to purchase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am, however, satisfied that all such allegations must, in any event, fail because Ms. Moffoot led no evidence to establish that the purchase price paid by her was above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other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are for the most part allegations founded upon the proposition that if Newberry fulfilled his duty as a realtor to "know" his client, he would have learned of the fraudulent actions of West being perpetrated upon her and would thus have prevented her acquisition of the Rosewood Place property and the subsequent granting of the BMO Mortgage of it so that she would not have incurred that debt obligation which she and Ms. Adolf could not hope to repay.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have concluded that there is some merit to the argument that had Newberry not relied upon West as a conduit in the providing of documents to Ms. Moffoot for signature rather than meeting with her directly, there could have been some chance that she would not have purchased the property or used it in then obtaining the BMO Mortgage to help with the purchase of the Flood Road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Similarly, had Newberry not "witnessed" the documents he did without seeing Ms. Moffoot sign the documents there could have been some chance that she would not have purchased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those circumstances I am satisfied that Newberry breached his duty of care owed to Ms. Moffoot in relying on West without verifying Ms. Moffoot's instructions directly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While it may not be unusual as Newberry has sworn in his affidavit for couples to purchase a property together but for only one of them to handle the details of the transaction or to have property put into the name of only one of them, the commonality of such circumstances does not relieve a real estate agent of the responsibility to ensure that the instructions received reflect the true intentions of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this case Newberry's duty both in contract and in tort was to Ms. Moffoot under the Limited Dual Agency Agreement and the Contract of Purchase and Sale, and he put her at risk by accepting West's representations without verification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That risk was elevated by his purported "witnessing" of her signature on contract documents obligating her to the vendor without actually seeing her sign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am, however, also satisfied that notwithstanding Newberry's negligent performance of his duties owed to Ms. Moffoot, her claims against both Newberry and Homelife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That is so because I have found that there was only a chance that had Newberry not acted without verification of instructions or by purporting to "witness" a document he had not seen signed, Ms. Moffoot would not have purchased the Rosewood Place property or granted the BMO Mortgage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totality of the evidence establishes to my satisfaction that Ms. Moffoot would not have acted any differently than she did in acquiring the title to the Rosewood Place property, granting the BMO Mortgage of it or using the proceeds of the BMO Mortgage in completing the purchase of the Flood Road property if Newberry had verified her instructions or had not "witnessed" the five addenda that he did not see her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Moffoot acknowledged in her examination for discovery that she was determined to take whatever steps were needed to ensure the success of the business venture with West and Maan which she had entered into with Ms. Adolf.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evidence also establishes that she had legal advice when she completed both the purchase of the Rosewood Place property by having it put into her name and that of Ms. Adolf and then, also together with Ms. Adolf, granting the BMO Mortgage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Further, as noted above, Ms. Moffoot paid $31,676.92 by bank draft directly to Mr. Sisson, the vendor under the Contract of Purchase and Sale she has now admitted signing. By all of those actions she ratified that which she now seeks to disavow.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Moffoot has thus failed to establish that but for Newberry's or Homelife's acts or omissions she would not have suffered the losses she has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That failure to prove causation is fatal to her claims against both defendants which must accordingly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have determined that:</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against RBC directly or indirectly related to the granting of, validity, or enforceability of the RBC Mortgage must be struck under Rule 9-5 as an abuse of process.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and RBC are unable to agree upon which paragraphs of the further amended notice of claim must be struck pursuant to that ruling they are at liberty to apply for further directions.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against BMO directly or indirectly related to the granting of, validity, or enforceability of the BMO Mortgage must be struck under Rule 9-5 as an abuse of process, and the plaintiff's claims against BMO arising from alleged tortious acts of Bachra as its employee or agent that are not related to the granting of, validity, or enforceability of the BMO Mortgage are summarily dismissed under Rule 9-7, so that in result all of her claims against BMO are dismissed.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against Homelife and Newberry are summarily dismissed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parties are at liberty to apply with respect to the disposition of the costs of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2" style="position:absolute;z-index:251761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 w:history="1">
        <w:r>
          <w:rPr>
            <w:rFonts w:ascii="arial" w:eastAsia="arial" w:hAnsi="arial" w:cs="arial"/>
            <w:b/>
            <w:bCs/>
            <w:i/>
            <w:color w:val="0077CC"/>
            <w:kern w:val="32"/>
            <w:sz w:val="28"/>
            <w:szCs w:val="32"/>
            <w:u w:val="single"/>
            <w:shd w:val="clear" w:color="auto" w:fill="FFFFFF"/>
            <w:lang w:val="en-US" w:eastAsia="en-US" w:bidi="ar-SA"/>
          </w:rPr>
          <w:t>Morrison v. Siv Apooranan, [2007] B.C.J. No. 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Bolton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M053993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1090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Byron Ronald Patrick Morrison, Plaintiff, and Arjun Siv Apooranan and Shannon Siv Apooranan,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 paras.)</w:t>
      </w:r>
    </w:p>
    <w:p>
      <w:pPr>
        <w:jc w:val="both"/>
        <w:rPr>
          <w:rFonts w:ascii="arial" w:eastAsia="arial" w:hAnsi="arial" w:cs="arial"/>
          <w:sz w:val="20"/>
          <w:lang w:val="en-US" w:eastAsia="en-US" w:bidi="ar-SA"/>
        </w:rPr>
      </w:pPr>
      <w:bookmarkStart w:id="9" w:name="Counsel_1"/>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3"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E.J. Goddard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F.W. Hansford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1"/>
      <w:bookmarkEnd w:id="10"/>
      <w:r>
        <w:pict>
          <v:line id="_x0000_s1034" style="position:absolute;z-index:251712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MASTER BOLTON"/>
            <w:bookmarkEnd w:id="11"/>
            <w:r>
              <w:rPr>
                <w:rFonts w:ascii="arial" w:eastAsia="arial" w:hAnsi="arial" w:cs="arial"/>
                <w:b/>
                <w:color w:val="000000"/>
                <w:sz w:val="30"/>
                <w:lang w:val="en-US" w:eastAsia="en-US" w:bidi="ar-SA"/>
              </w:rPr>
              <w:t>MASTER BOLTON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to amend his pleadings in this motor vehicle accident case to claim punitive damages. In very basic terms, the plaintiff seeks to establish that the defendant driver was impaired, speeding or otherwise reckless when he hit the plaintiff's vehicle, and that this conduct gives rise to a 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Until relatively recently no claim could possibly have succeeded on such allegations, because of a principle that the conduct in question must be directed at the particular plaintiff, rather than the plaintiff being the unfortunate victim of conduct directed, essentially, at random. But recent developments in the law have cast doubts or qualifications on that sweeping proposition, to the extent that the defendants, while not conceding the point, recognize that for the purposes of this application to amend pleadings it is not plain and obvious that the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objection to the application is that the amendments sought by the plaintiff do not provide adequate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existing allegations against the defendant driver plead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a motor vehicle, with more or less boilerplate particulars. Against the defendant owner the plaintiff particularizes his claim as permitting the driver to operate the vehicle while impaired by drugs, alcohol or fatigue, and failing to maintain the vehicle in a proper mechanical condition. Apart from additions of claims for punitive damages and special costs in the prayer for relief, the proposed amendments are confined to two new paragraphs: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the Defendant Arjun Sivapooranan not only failed to exercise a reasonable degree of care while driving resulting in the said collision, but also that he drove while under the influence of alcohol, callously indifferent to the Plaintiff's safety and that his highhanded and callous conduct resulted in the said collision.</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further says, or in the alternative, that the Defendant Arjun Sivapooranan drove at a high speed and in a reckless and highhanded manner callously indifferent to the Plaintiff's safety and that his callous indifference resulted in the said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am satisfied that the claims against the driver are adequately particularized by the allegations of driving under the influence of alcohol and at high speed. Further details of speeding or the extent of his alcohol consumption and its effect on his judgment or coordination would be matters of evidence, not particulars. Those factual allegations of specific acts are given a focus, so far as a claim for punitive damages is concerned, by the allegation of callous indifference to the plaintiff's safety, and with respect to that allegation Rule 19(23) expressly provides that suchlike allegations as to a state of mind are adequate without particulars of the circumstances from which that state of mind is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However, in my view the allegation of "reckless and high handed" driving is different from the allegations of speeding and driving while impaired. The latter are allegations of fact; the former a conclusion drawn from facts not pleaded. In this regard it is not, in my respectful opinion, sufficient to refer back to the particulars of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already pleaded. The defendant is entitled to know what aspects (if any) of his conduct, apart from speeding and being impaired, the plaintiff is relying on to support his assertion of recklessness and his claim for punitive damages. When considering what further particulars should be given, counsel for the plaintiff should bear in mind a point made by the defendant's counsel; that the purpose of particulars is not merely to inform, but to limit the extent of relevant evidence and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 far as the owner is concerned, there are no new allegations made against her in the proposed amendments. If her liability for punitive damages is alleged to arise from acts or defaults of her own, particulars are required. If her liability is alleged to arise vicariously, merely from her ownership of the vehicle and her consent to its use by her co-defendant, the pleadings should say so, because it is in my view not at all clear that a simple allegation against a vehicle owner of consenting to its use by another could in itself impose vicarious liability on the owner for punitive damages resulting from acts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the circumstances the application to amend the statement of claim is adjourned. If further amendments merely delete the references to reckless driving and to a claim for punitive damages against the owner, the remaining pleadings should be consented to by the defendants, as it would be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on the authority of this decision. But if there is no subtraction from the current draft of the pleadings, there must be additions in the form of further particulars of recklessness and of the claim against the owner. If counsel are unable to agree on the effect or effectiveness of such additions, the matter should be re-set for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agreed that any amendments that are allowed will entitle the defendants to a further examination for discovery on those issues, and that the costs of this application should be reserved to the trial judge, who may be asked to order a separate set of costs on the punitive damages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BOLTON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5"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Nazerali v. Mitchell, [2015] B.C.J. No. 2987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13-17, 20-21, 23-24 and June 15-19,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S116979, S137262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2987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2560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4014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81 C.P.C. (7th) 205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Altaf Nazerali, Plaintiff, and Mark Mitchell, Patrick Byrne, Deep Capture LLC, High Plains Investments LLC, Godaddy.com, Inc., Nozone, Inc. dba Steadfast Networks, Google Inc. and Google Canada Corporation, Defendants And Altaf Nazerali, Plaintiff, and Judd Bagley, Evren Karpak and Overstock.com,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jc w:val="both"/>
        <w:rPr>
          <w:rFonts w:ascii="arial" w:eastAsia="arial" w:hAnsi="arial" w:cs="arial"/>
          <w:sz w:val="20"/>
          <w:lang w:val="en-US" w:eastAsia="en-US" w:bidi="ar-SA"/>
        </w:rPr>
      </w:pPr>
      <w:bookmarkStart w:id="12" w:name="Counsel_2"/>
      <w:bookmarkEnd w:id="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D.W. Burnett Q.C., H. Maconachie.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Mark Mitchell, Patrick Byrne, Deep Capture LLC, High Plains Investments LLC. and Judd Bagley: R.D. McConchie, R.A. McConchie.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Overstock.com: S.R. Schachter,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 w:name="Judgment_2"/>
      <w:bookmarkEnd w:id="13"/>
      <w:r>
        <w:pict>
          <v:line id="_x0000_s1037" style="position:absolute;z-index:2517135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March 10, 2016; the change has been made to the text and the correction is appended to this document.]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Oral Ruling on Dismissal Application</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K.N. AFFLECK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defamation trial involves two actions which are being tried at the same time. The plaintiff has closed his case after 11 1/2 days of trial, and the defendant, Overstock.com, Inc., applies to dismiss action number S137262, relying on Rule 12-5(4)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B.C. Reg. 168/2009, arguing the plaintiff has led no evidence to support his claim against Overstock. These are my reasons for judgment on that application. If they are transcribed I reserve the right to edit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action in which the application is made, which I will refer to as "the Overstock action," like the other action, number S116979, which I will refer to as the "Deep Capture action," the plaintiff seeks injunctive relief and damages alleging defamatory publications on a website located at www.deepcapture.com, which is owned by Deep Capture LLC, which is one of the defendants in the Deep Capture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case in both actions has been put forward through numerous documents by the plaintiff himself, who testified over ten days, through four other witnesses who testified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and through extensive read-ins of questions and answers from the examination for discovery transcripts of Judd Bagley, a defendant in the Overstock action, and from the examination for discovery transcripts of Mark Mitchell and Patrick Byrne, who are defendants in the Deep Capture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examinations for discovery a number of documents were marked as exhibits and became exhibits on the trial through the discovery read-in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Byrne has been examined for discovery in his personal capacity, not as a representative of any of the corporate defendants in the Deep Capture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effect of the provisions of Rule 12-5(46) is that evidence read-in from Mr. Bagley in the Overstock action and from Mr. Byrne and Mr. Mitchell read in from the Deep Capture action as well as the documents which became evidence on the trial through the examination for discovery process are inadmissible against Overstock.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accepts that that is the usual rule, but in an alternative submission in response to Overstock's application for a non-suit submits this court has a discretion to alter the strictures of that rule. I will return to that question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am advised the plaintiff did not examine for discovery a representative of Overstock in that capacity. The allegations in the Overstock action are that on the Deep Capture website the plaintiff has been repeatedly defamed in a series of what are called "chapters" with the title "The Miscreants' Global Bust-Out."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Overstock is alleged to be vicariously liable for the defamation and libel as a publisher. In particular it is alleged in para. 15 of the notice of civil claim in the Overstock action that Patrick Byrne is the publisher of the Deep Capture website and carries out that role within and in conjunction with his activities as chief executive officer of Overstock and therefore Overstock is a publisher and vicariously liable for the alleged misconduct of Deep Capture LLC.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para. 5 of the notice of civil claim in the Overstock action the defendant Bagley is alleged to be an employee or contractor with Overstock and that at relevant times in the course of his duties with Overstock and as a publisher, as the plaintiff alleges, of all expression contained in the Deep Capture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Para. 16 of the notice of civil claim in the Overstock action alleges Mr. Bagley carried out his role as publisher of the Deep Capture website within or in conjunction with his role as an employee of Overstock, and thus Overstock is vicariously liable for the alleged misconduct of Deep Capture LLC.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Para. 17 in the notice of civil claim in the Overstock action alleges the resources of Overstock have been used in the publication of the Deep Capture website, which is alleged to be a further basis for the liability of Overstock for the conduct of Deep Capture.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Overstock acknowledges that the plaintiff has proven certain publications by the defendant Deep Capture and acknowledges the plaintiff has proven the defendant Patrick Byrne in the Deep Capture action is the owner of Deep Capture LLC. but submits the plaintiff's case against it lacks any evidence that could lead to liability for Overstock as alleged in the Overstock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Overstock submits that neither the plaintiff himself nor any of his witnesses who gave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testified to facts or introduced documents which support the allegations of Overstock's liability. If that submission is correct Overstock submits the action against it must now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question to be decided on the present application is whether there is any evidence offered in the plaintiff's case on which a properly instructed jury or a judge performing the fact-finding role of a jury could reasonably base a finding of liability against Overstock.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Maughan v. UBC</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2008 BCSC 14</w:t>
        </w:r>
      </w:hyperlink>
      <w:r>
        <w:rPr>
          <w:rFonts w:ascii="arial" w:eastAsia="arial" w:hAnsi="arial" w:cs="arial"/>
          <w:color w:val="000000"/>
          <w:sz w:val="20"/>
          <w:lang w:val="en-US" w:eastAsia="en-US" w:bidi="ar-SA"/>
        </w:rPr>
        <w:t>, Mr. Justice Cullen as he then was, reviewed the authorities governing a no-evidence motion and wrote the following at para. 21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 conclude therefore that in considering the no evidence motion in this case, I am obliged in the case of elements of the torts being advanced which are supported by direct evidence, not to weigh the evidence, but only to consider whether it meets a threshold of reasonableness such that a properly instructed jury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make the requisite finding. In the case of elements supported solely by circumstantial evidence, on the other hand, I am obliged to engage in a limited weighing of the evidence to ensure that it is </w:t>
      </w:r>
      <w:r>
        <w:rPr>
          <w:rFonts w:ascii="arial" w:eastAsia="arial" w:hAnsi="arial" w:cs="arial"/>
          <w:color w:val="000000"/>
          <w:sz w:val="20"/>
          <w:u w:val="single"/>
          <w:lang w:val="en-US" w:eastAsia="en-US" w:bidi="ar-SA"/>
        </w:rPr>
        <w:t>reasonably capable</w:t>
      </w:r>
      <w:r>
        <w:rPr>
          <w:rFonts w:ascii="arial" w:eastAsia="arial" w:hAnsi="arial" w:cs="arial"/>
          <w:color w:val="000000"/>
          <w:sz w:val="20"/>
          <w:lang w:val="en-US" w:eastAsia="en-US" w:bidi="ar-SA"/>
        </w:rPr>
        <w:t xml:space="preserve"> of bridging the inferential gap between the evidence proffered and the element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Maughan v. University of British Columbia,</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2009 BCCA 447</w:t>
        </w:r>
      </w:hyperlink>
      <w:r>
        <w:rPr>
          <w:rFonts w:ascii="arial" w:eastAsia="arial" w:hAnsi="arial" w:cs="arial"/>
          <w:color w:val="000000"/>
          <w:sz w:val="20"/>
          <w:lang w:val="en-US" w:eastAsia="en-US" w:bidi="ar-SA"/>
        </w:rPr>
        <w:t xml:space="preserve">, the conclusion of Mr. Justice Cullen was upheld. In reasons recently handed down by the Court of Appeal in </w:t>
      </w:r>
      <w:r>
        <w:rPr>
          <w:rFonts w:ascii="arial" w:eastAsia="arial" w:hAnsi="arial" w:cs="arial"/>
          <w:i/>
          <w:color w:val="000000"/>
          <w:sz w:val="20"/>
          <w:lang w:val="en-US" w:eastAsia="en-US" w:bidi="ar-SA"/>
        </w:rPr>
        <w:t>Brule v. Rutledge</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2015 BCCA 25</w:t>
        </w:r>
      </w:hyperlink>
      <w:r>
        <w:rPr>
          <w:rFonts w:ascii="arial" w:eastAsia="arial" w:hAnsi="arial" w:cs="arial"/>
          <w:color w:val="000000"/>
          <w:sz w:val="20"/>
          <w:lang w:val="en-US" w:eastAsia="en-US" w:bidi="ar-SA"/>
        </w:rPr>
        <w:t xml:space="preserve">, the Court reiterated its approval of the analysis in </w:t>
      </w:r>
      <w:r>
        <w:rPr>
          <w:rFonts w:ascii="arial" w:eastAsia="arial" w:hAnsi="arial" w:cs="arial"/>
          <w:i/>
          <w:color w:val="000000"/>
          <w:sz w:val="20"/>
          <w:lang w:val="en-US" w:eastAsia="en-US" w:bidi="ar-SA"/>
        </w:rPr>
        <w:t>Maughan</w:t>
      </w:r>
      <w:r>
        <w:rPr>
          <w:rFonts w:ascii="arial" w:eastAsia="arial" w:hAnsi="arial" w:cs="arial"/>
          <w:color w:val="000000"/>
          <w:sz w:val="20"/>
          <w:lang w:val="en-US" w:eastAsia="en-US" w:bidi="ar-SA"/>
        </w:rPr>
        <w:t xml:space="preserve"> and emphasized that the role of a trial judge is not to weigh the evidence but to determine as a matter of law whether there is any evidence that can support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no-evidence motion is to be approached with caution in a trial with multiple defendants because of the prejudice the remaining defendants may suffer through the loss of the ability to apportion fault. In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2010 BCSC 46</w:t>
        </w:r>
      </w:hyperlink>
      <w:r>
        <w:rPr>
          <w:rFonts w:ascii="arial" w:eastAsia="arial" w:hAnsi="arial" w:cs="arial"/>
          <w:color w:val="000000"/>
          <w:sz w:val="20"/>
          <w:lang w:val="en-US" w:eastAsia="en-US" w:bidi="ar-SA"/>
        </w:rPr>
        <w:t>, Mr. Justice Hinkson, as he then was, considered the authorities when an application is made for a non-suit in a trial involving multiple defendants. At para. 27 of the reasons the following is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Additional case law sheds some light on the issue of whether or not one defendant can be successful in seeking a non-suit where there are multiple defendants. In </w:t>
      </w:r>
      <w:r>
        <w:rPr>
          <w:rFonts w:ascii="arial" w:eastAsia="arial" w:hAnsi="arial" w:cs="arial"/>
          <w:i/>
          <w:color w:val="000000"/>
          <w:sz w:val="20"/>
          <w:lang w:val="en-US" w:eastAsia="en-US" w:bidi="ar-SA"/>
        </w:rPr>
        <w:t>Diamond Willow Ranch Ltd. v. Oliver</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[1987] B.C.J. No. 2973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Diamond Willow</w:t>
      </w:r>
      <w:r>
        <w:rPr>
          <w:rFonts w:ascii="arial" w:eastAsia="arial" w:hAnsi="arial" w:cs="arial"/>
          <w:color w:val="000000"/>
          <w:sz w:val="20"/>
          <w:lang w:val="en-US" w:eastAsia="en-US" w:bidi="ar-SA"/>
        </w:rPr>
        <w:t>], Davies J. concluded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considered firstly the question of whether one defendant can succeed on non-suit when there is more than one defendant in an action. In </w:t>
      </w:r>
      <w:r>
        <w:rPr>
          <w:rFonts w:ascii="arial" w:eastAsia="arial" w:hAnsi="arial" w:cs="arial"/>
          <w:i/>
          <w:color w:val="000000"/>
          <w:sz w:val="20"/>
          <w:lang w:val="en-US" w:eastAsia="en-US" w:bidi="ar-SA"/>
        </w:rPr>
        <w:t>Ayer Mountain Estates Ltd. v. McElhanney Surveying and Engineering</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(1978), 7 B.C.L.R. 310</w:t>
        </w:r>
      </w:hyperlink>
      <w:r>
        <w:rPr>
          <w:rFonts w:ascii="arial" w:eastAsia="arial" w:hAnsi="arial" w:cs="arial"/>
          <w:color w:val="000000"/>
          <w:sz w:val="20"/>
          <w:lang w:val="en-US" w:eastAsia="en-US" w:bidi="ar-SA"/>
        </w:rPr>
        <w:t xml:space="preserve">, my brother Legg held that in an action with more than one defendant, non-suit should only be granted if it can be granted to all defendants. His reasoning was that it would be unfair to release a defendant even though no case could be made against it for to do so may prevent another defendant claiming degrees of fault amongst the defendants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 should say that from my review of the authorities which included the dissent of Craig, J.A. in </w:t>
      </w:r>
      <w:r>
        <w:rPr>
          <w:rFonts w:ascii="arial" w:eastAsia="arial" w:hAnsi="arial" w:cs="arial"/>
          <w:i/>
          <w:color w:val="000000"/>
          <w:sz w:val="20"/>
          <w:lang w:val="en-US" w:eastAsia="en-US" w:bidi="ar-SA"/>
        </w:rPr>
        <w:t>Funk v. Clapp</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[1986] B.C.J. No. 122</w:t>
        </w:r>
      </w:hyperlink>
      <w:r>
        <w:rPr>
          <w:rFonts w:ascii="arial" w:eastAsia="arial" w:hAnsi="arial" w:cs="arial"/>
          <w:color w:val="000000"/>
          <w:sz w:val="20"/>
          <w:lang w:val="en-US" w:eastAsia="en-US" w:bidi="ar-SA"/>
        </w:rPr>
        <w:t xml:space="preserve"> (February 1986, B.C.C.A.), I have concluded that non-suit may be granted to one defendant at the close of the plaintiff's case but only where,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possibility of liability against the defendant,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possibility of a claim for apportionment of fault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by the remaining defendant 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At para. 28 Mr. Justice Hinkson observed that </w:t>
      </w:r>
      <w:r>
        <w:rPr>
          <w:rFonts w:ascii="arial" w:eastAsia="arial" w:hAnsi="arial" w:cs="arial"/>
          <w:i/>
          <w:color w:val="000000"/>
          <w:sz w:val="20"/>
          <w:lang w:val="en-US" w:eastAsia="en-US" w:bidi="ar-SA"/>
        </w:rPr>
        <w:t>Diamond Willow</w:t>
      </w:r>
      <w:r>
        <w:rPr>
          <w:rFonts w:ascii="arial" w:eastAsia="arial" w:hAnsi="arial" w:cs="arial"/>
          <w:color w:val="000000"/>
          <w:sz w:val="20"/>
          <w:lang w:val="en-US" w:eastAsia="en-US" w:bidi="ar-SA"/>
        </w:rPr>
        <w:t xml:space="preserve"> was subsequently applied in </w:t>
      </w:r>
      <w:r>
        <w:rPr>
          <w:rFonts w:ascii="arial" w:eastAsia="arial" w:hAnsi="arial" w:cs="arial"/>
          <w:i/>
          <w:color w:val="000000"/>
          <w:sz w:val="20"/>
          <w:lang w:val="en-US" w:eastAsia="en-US" w:bidi="ar-SA"/>
        </w:rPr>
        <w:t>Knight's Mineral Exploration &amp; Company Ltd. Partnership v. Corcoran &amp; Co. Partnership</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[1994] B.C.J. No. 92</w:t>
        </w:r>
      </w:hyperlink>
      <w:r>
        <w:rPr>
          <w:rFonts w:ascii="arial" w:eastAsia="arial" w:hAnsi="arial" w:cs="arial"/>
          <w:color w:val="000000"/>
          <w:sz w:val="20"/>
          <w:lang w:val="en-US" w:eastAsia="en-US" w:bidi="ar-SA"/>
        </w:rPr>
        <w:t>, where Mr. Justice Cohen commented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light of the above evidence, there is no basis upon which I can find that the plaintiff has met the onus on it to prove its allegations of reliance upon Mr. Krueckl. While, the general rule is that where there are multiple defendants a non-suit should not be granted in favour of one of them, I think Mr. Krueckl's application falls within the exception to the general rule set out in </w:t>
      </w:r>
      <w:r>
        <w:rPr>
          <w:rFonts w:ascii="arial" w:eastAsia="arial" w:hAnsi="arial" w:cs="arial"/>
          <w:i/>
          <w:color w:val="000000"/>
          <w:sz w:val="20"/>
          <w:lang w:val="en-US" w:eastAsia="en-US" w:bidi="ar-SA"/>
        </w:rPr>
        <w:t>Diamond Willow Ranch Ltd. v. The Municipality of the Village of Oliver et al.</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[1987] B.C.J. No. 2973</w:t>
        </w:r>
      </w:hyperlink>
      <w:r>
        <w:rPr>
          <w:rFonts w:ascii="arial" w:eastAsia="arial" w:hAnsi="arial" w:cs="arial"/>
          <w:color w:val="000000"/>
          <w:sz w:val="20"/>
          <w:lang w:val="en-US" w:eastAsia="en-US" w:bidi="ar-SA"/>
        </w:rPr>
        <w:t xml:space="preserve"> (December l8, l987), Vancouver C96l93l (B.C.S.C.). The plaintiff has failed to establish the key element of its claim against Mr. Krueckl, and I can see no prejudice to the other defendants in granting his application. Therefore, fairness dictates that Mr. Krueckl's application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before me submits this is an instance where the multiple-defendants rule ought to apply to defeat the non-suit application. The plaintiff also refers to </w:t>
      </w:r>
      <w:r>
        <w:rPr>
          <w:rFonts w:ascii="arial" w:eastAsia="arial" w:hAnsi="arial" w:cs="arial"/>
          <w:i/>
          <w:color w:val="000000"/>
          <w:sz w:val="20"/>
          <w:lang w:val="en-US" w:eastAsia="en-US" w:bidi="ar-SA"/>
        </w:rPr>
        <w:t>Semenoff Estate v. Bridgeman</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2013 BCSC 1022</w:t>
        </w:r>
      </w:hyperlink>
      <w:r>
        <w:rPr>
          <w:rFonts w:ascii="arial" w:eastAsia="arial" w:hAnsi="arial" w:cs="arial"/>
          <w:color w:val="000000"/>
          <w:sz w:val="20"/>
          <w:lang w:val="en-US" w:eastAsia="en-US" w:bidi="ar-SA"/>
        </w:rPr>
        <w:t>, in which a third party moved for a non-suit. Para. 58 of those reasons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There is case law that prevents a party from invoking a non suit where there are several defendants and the results of that non suit would not effectively dispose of all issues between defendants: see </w:t>
      </w:r>
      <w:r>
        <w:rPr>
          <w:rFonts w:ascii="arial" w:eastAsia="arial" w:hAnsi="arial" w:cs="arial"/>
          <w:i/>
          <w:color w:val="000000"/>
          <w:sz w:val="20"/>
          <w:lang w:val="en-US" w:eastAsia="en-US" w:bidi="ar-SA"/>
        </w:rPr>
        <w:t>Ayer Mountain Estates Ltd. v. McElhanney Surveying &amp; Engineering Ltd</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(1978), 7 B.C.L.R. 310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 v. MacLeod Construction Co.</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[1958] S.C.R. 737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2010 BCSC 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Matsqui</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(1986), 4 B.C.L.R. (2d) 342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Oh. v. Usher</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2009 BCSC 1888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also refers to </w:t>
      </w:r>
      <w:r>
        <w:rPr>
          <w:rFonts w:ascii="arial" w:eastAsia="arial" w:hAnsi="arial" w:cs="arial"/>
          <w:i/>
          <w:color w:val="000000"/>
          <w:sz w:val="20"/>
          <w:lang w:val="en-US" w:eastAsia="en-US" w:bidi="ar-SA"/>
        </w:rPr>
        <w:t>Westbank Indian Band v. Tomat</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(1992), 63 BCLR (2d) 273</w:t>
        </w:r>
      </w:hyperlink>
      <w:r>
        <w:rPr>
          <w:rFonts w:ascii="arial" w:eastAsia="arial" w:hAnsi="arial" w:cs="arial"/>
          <w:color w:val="000000"/>
          <w:sz w:val="20"/>
          <w:lang w:val="en-US" w:eastAsia="en-US" w:bidi="ar-SA"/>
        </w:rPr>
        <w:t xml:space="preserve"> (C.A.), where the Court of Appeal ordered a new trial in a defamation action. The plaintiff submits that the Court observed that damage awards in defamation cases involving multiple plaintiffs must take into account the conduct and degree of involvement of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That in my view is not controversial but does not create an impediment for a judge to decide a non-suit application of the type brought by the defendant Overstock involving several defendants. If one defendant succeeds in having the action dismissed against it that does not prevent me on this trial, if liability is found against remaining defendants from assessing damages against those defendants who are found liable according to the degree of their participation in the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also draws my attention to the </w:t>
      </w:r>
      <w:r>
        <w:rPr>
          <w:rFonts w:ascii="arial" w:eastAsia="arial" w:hAnsi="arial" w:cs="arial"/>
          <w:i/>
          <w:color w:val="000000"/>
          <w:sz w:val="20"/>
          <w:lang w:val="en-US" w:eastAsia="en-US" w:bidi="ar-SA"/>
        </w:rPr>
        <w:t>Libel and Slander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263</w:t>
      </w:r>
      <w:r>
        <w:rPr>
          <w:rFonts w:ascii="arial" w:eastAsia="arial" w:hAnsi="arial" w:cs="arial"/>
          <w:color w:val="000000"/>
          <w:sz w:val="20"/>
          <w:lang w:val="en-US" w:eastAsia="en-US" w:bidi="ar-SA"/>
        </w:rPr>
        <w:t>, which at s. 16 reads under the heading "Verdict, damages and costs in consolidated actions":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consolidated action under section 15, the court or jury must assess the whole amount of the damages, if any, in one sum, but a separate verdict must be taken for or against each defendant, in the same way as if the actions consolidated had been tried separately.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or jury finds a verdict against the defendant or defendants in more than one of the actions consolidated, they must proceed to apportion the amount of damages that they have found between and against the defendants.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awards costs to the plaintiff, the court must make an order it thinks just for the apportionment of costs between and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not persuaded those sections stand in the way of the application of Overstock. I will note that the two actions before me were consolidated by an order dated June 24, 2014, but no steps had been taken by the parties prior to the trial to put the consolidation order into effect by, for example, preparing a single set of pleadings in a single trial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trial proceeded on the basis the actions would be tried together and during the course of the trial the parties consented to an order de-consolidating the actions. Irrespective of whether ss. 15 and 16 of the </w:t>
      </w:r>
      <w:r>
        <w:rPr>
          <w:rFonts w:ascii="arial" w:eastAsia="arial" w:hAnsi="arial" w:cs="arial"/>
          <w:i/>
          <w:color w:val="000000"/>
          <w:sz w:val="20"/>
          <w:lang w:val="en-US" w:eastAsia="en-US" w:bidi="ar-SA"/>
        </w:rPr>
        <w:t>Libel and Slander Act</w:t>
      </w:r>
      <w:r>
        <w:rPr>
          <w:rFonts w:ascii="arial" w:eastAsia="arial" w:hAnsi="arial" w:cs="arial"/>
          <w:color w:val="000000"/>
          <w:sz w:val="20"/>
          <w:lang w:val="en-US" w:eastAsia="en-US" w:bidi="ar-SA"/>
        </w:rPr>
        <w:t xml:space="preserve"> are intended to apply only to a true consolidated trial or to multiple actions tried at the same time, in my view, if a defendant in a defamation action with multiple defendants succeeds in a non-suit application, that would not necessarily prevent the Court from applying the provisions of s. 16 of the </w:t>
      </w:r>
      <w:r>
        <w:rPr>
          <w:rFonts w:ascii="arial" w:eastAsia="arial" w:hAnsi="arial" w:cs="arial"/>
          <w:i/>
          <w:color w:val="000000"/>
          <w:sz w:val="20"/>
          <w:lang w:val="en-US" w:eastAsia="en-US" w:bidi="ar-SA"/>
        </w:rPr>
        <w:t>Libel and Slander Act</w:t>
      </w:r>
      <w:r>
        <w:rPr>
          <w:rFonts w:ascii="arial" w:eastAsia="arial" w:hAnsi="arial" w:cs="arial"/>
          <w:color w:val="000000"/>
          <w:sz w:val="20"/>
          <w:lang w:val="en-US" w:eastAsia="en-US" w:bidi="ar-SA"/>
        </w:rPr>
        <w:t xml:space="preserve"> if liability is found unless the defendants seek contribution from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informed that the defendants before me do not intend to make cross claims, and no such claims are pleaded. As I understand the plaintiff's position, he also submits the remaining defendants in the Overstock action may be motivated to overstate the role of Overstock if the present application succeeds, thus distorting the assessment of damages to the disadvantage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removal of Overstock from the action may affect the dynamics of damage assessment in ways that are unpredictable. I agree those matters are possibilities, but it is for the judge or jury, if there is one in such circumstances, to determine on the evidence the degree of fault of each of the remaining defendants. If there is no case against Overstock made out by the plaintiff and no defendant intends to cast blame on Overstock, as I am told is the case, I do not detect any prejudice to the plaintiff in this trial if the so-called multiple defendants rule is not applied to prevent Overstock succeeding on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mentioned above Overstock submits that in the case put forward by the plaintiff the evidence is incapable of establishing Overstock's vicarious liability. Overstock relies on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in which Mr. Justice Cromwell for the Court held at para. 142: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[142] The question of whether vicarious liability should be imposed is approached in three steps. First, the court determines whether the issue is unambiguously determined by the precedents. If not, a further two-part analysis is used to determine if vicarious liability should be imposed in light of its broader policy rationales: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John Doe v. Bennett</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2004 SCC 17</w:t>
        </w:r>
      </w:hyperlink>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[2004] 1 S.C.R. 436</w:t>
        </w:r>
      </w:hyperlink>
      <w:r>
        <w:rPr>
          <w:rFonts w:ascii="arial" w:eastAsia="arial" w:hAnsi="arial" w:cs="arial"/>
          <w:color w:val="000000"/>
          <w:sz w:val="20"/>
          <w:lang w:val="en-US" w:eastAsia="en-US" w:bidi="ar-SA"/>
        </w:rPr>
        <w:t xml:space="preserve">, at para. 20. The plaintiff must show that the relationship between the tortfeasor and the person against whom liability is sought is sufficiently close and that the wrongful act is sufficiently connected to the conduct authorized by the party against whom liability is sought: </w:t>
      </w:r>
      <w:r>
        <w:rPr>
          <w:rFonts w:ascii="arial" w:eastAsia="arial" w:hAnsi="arial" w:cs="arial"/>
          <w:i/>
          <w:color w:val="000000"/>
          <w:sz w:val="20"/>
          <w:lang w:val="en-US" w:eastAsia="en-US" w:bidi="ar-SA"/>
        </w:rPr>
        <w:t>Bennett</w:t>
      </w:r>
      <w:r>
        <w:rPr>
          <w:rFonts w:ascii="arial" w:eastAsia="arial" w:hAnsi="arial" w:cs="arial"/>
          <w:color w:val="000000"/>
          <w:sz w:val="20"/>
          <w:lang w:val="en-US" w:eastAsia="en-US" w:bidi="ar-SA"/>
        </w:rPr>
        <w:t xml:space="preserve">, at para. 20. The object of the analysis is to determine whether imposition of vicarious liability in a particular case will serve the goals of doing so: imposing liability for risks which the enterprise creates or to which it contributes, encouraging reduction of risk and providing fair and effective compensation: </w:t>
      </w:r>
      <w:r>
        <w:rPr>
          <w:rFonts w:ascii="arial" w:eastAsia="arial" w:hAnsi="arial" w:cs="arial"/>
          <w:i/>
          <w:color w:val="000000"/>
          <w:sz w:val="20"/>
          <w:lang w:val="en-US" w:eastAsia="en-US" w:bidi="ar-SA"/>
        </w:rPr>
        <w:t>Bennett</w:t>
      </w:r>
      <w:r>
        <w:rPr>
          <w:rFonts w:ascii="arial" w:eastAsia="arial" w:hAnsi="arial" w:cs="arial"/>
          <w:color w:val="000000"/>
          <w:sz w:val="20"/>
          <w:lang w:val="en-US" w:eastAsia="en-US" w:bidi="ar-SA"/>
        </w:rPr>
        <w:t>,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referred to in the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case, Madam Justice McLachlin, as she then was, speaking for the Court at paras. 37 and 41(2)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Underlying the cases holding employers vicariously liable for the unauthorized acts of employees is the idea that employers may justly be held liable where the act falls within the ambit of the risk that the employer's enterprise creates or exacerbates. Similarly, the policy purposes underlying the imposition of vicarious liability on employers are served only where the wrong is so connected with the employment that it can be said that the employer has introduced the risk of the wrong (and is thereby fairly and usefully charged with its management and minimization). The question in each case is whether there is a connection or nexus between the employment enterprise and that wrong that justifies imposition of vicarious liability on the employer for the wrong, in terms of fair allocation of the consequences of the risk and/or deterrence.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Reviewing the jurisprudence, and considering the policy issues involved, I conclude that in determining whether an employer is vicariously liable for an employee's unauthorized, intentional wrong in cases where precedent is inconclusive, courts should be guided by the following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fundamental question is whether the wrongful act is sufficiently related to conduct authorized by the employer to justify the imposition of vicarious liability. Vicarious liability is generally appropriate where there is a significant connection between the creation or enhancement of a risk and the wrong that accrues therefrom, even if unrelated to the employer's desires. Where this is so, vicarious liability will serve the policy considerations of provision of an adequate and just remedy and deterrence. Incidental connections to the employment enterprise, like time and place (without more), will not suffice. Once engaged in a particular business, it is fair that an employer be made to pay the generally foreseeable costs of that business. In contrast, to impose liability for costs unrelated to the risk would effectively make the employer an involuntary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Overstock submits that the law of vicarious liability in this context is articulated in </w:t>
      </w:r>
      <w:r>
        <w:rPr>
          <w:rFonts w:ascii="arial" w:eastAsia="arial" w:hAnsi="arial" w:cs="arial"/>
          <w:i/>
          <w:color w:val="000000"/>
          <w:sz w:val="20"/>
          <w:lang w:val="en-US" w:eastAsia="en-US" w:bidi="ar-SA"/>
        </w:rPr>
        <w:t>Brown on Defamation</w:t>
      </w:r>
      <w:r>
        <w:rPr>
          <w:rFonts w:ascii="arial" w:eastAsia="arial" w:hAnsi="arial" w:cs="arial"/>
          <w:color w:val="000000"/>
          <w:sz w:val="20"/>
          <w:lang w:val="en-US" w:eastAsia="en-US" w:bidi="ar-SA"/>
        </w:rPr>
        <w:t>, loose-leaf edition (Carswell, 1994) at 18-176 and is clear.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is nothing to show that a servant is doing anything relating to his or her employment or acting within the scope of employment a master is not vicariously liable for the servant's defamatory statement. On the other hand liability on the part of the master may be imposed where he expressly directs the servant to publish the defamatory statement or the servant is acting in the course of his employment and within the scope of his authority or the principal has subsequently adopted and ratified the acts of the servant.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And at page 7-26 and 7-27 these words are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 is it sufficient merely to show that the defendant contributed the background information for the article that was written or that his office was used to compose a piece written by someone else or that his employees were used to deliver it to a newspaper for publication. To be responsible a person must knowingly be involved in the process of publishing the relevant words. The defendant must be conscious of the fact that he or she is publishing a defamation. There must be some affirmative act on the part of the defendant which demonstrates that he or she directed or participated in the publication. It is not enough that a person merely plays a passive instrumental role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Overstock submits there is no evidence admissible against the defendants Byrne, Bagley and Karpak, the last was never served, that any of them published the alleged defamatory words while in the course of or within the scope of their employment with Overstock or that Overstock contributed to the risk of the publication of the defamatory words on a website it did not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relies on the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case, which the plaintiff submits has broadened the scope of the factors for a court to consider when there is an allegation of vicarious liability, and the plaintiff submits that that consideration should lead to caution in addressing the present non-suit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agree the Supreme Court of Canada in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articulated a more principled and nuanced approach that has been applied in some of the older cases, and I have taken that into account when considering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If I conclude Overstock's application is correct and that there is no admissible evidence against it, the plaintiff proposes two alternatives. The first is to relax the constraints of Rule 12-5(46), which makes the examination for discovery evidence admissible only against the adverse party who is examined. The second proposed alternative is to allow the plaintiff to reopen the trial to permit him to employ the adverse witness rule to cross-examine some or all of the individual defendants to obtain the evidence against Overstock which now may be lacking because of the constraints of Rule 12-5(46).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position as I understand it is there can be no surprise for Overstock about the evidence that the plaintiff wants to put before the court. It is found, in the examination for discovery read-ins of Messrs. Bagley, Mitchell and Byrne, and the documents they each identify.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are at least two problems I foresee may arise if Rule 12-5(46) is relaxed. One arises from the fact that none of the examinations were conducted or defended on the basis that the witnesses were testifying for Overstock. I have no means of knowing whether counsel acting for Overstock would have approached the defence of the examination for discovery differently if a person, perhaps Mr. Byrne or someone else, had been examined as a representative of Overstock, whose evidence would be binding on Overstock. I do not know if someone other than Mr. Byrne had been put forward as Overstock's representative to be examined, if that person would have been more knowledgeable about some matters in which he or she was examined. I expect the answer is probably not, but I cannot be certain. The prejudice to Overstock in now finding itself bound by a large number of answers given on discovery in a somewhat different context cannot now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second concern I have with relaxing Rule 12-5(46) is the implications for the trial so far if that should happen. If counsel for Overstock had known that the evidence given on the discovery of Messrs. Bagley, Mitchell and Byrne was the evidence of Overstock, would he have avoided cross-examining the plaintiff's witnesses as he has so far done on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That consideration applies with even greater force if the trial is reopened to permit the plaintiff to cross-examine the witnesses who are examined for discovery. It cannot be known in advance with precision what their evidence would be if that was permitted. Perhaps counsel for Overstock would then seek to recall the plaintiff. We would thus risk abandoning an orderly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if the examination for discovery evidence that has been read in is entirely excluded from consideration in the case before Overstock, the non-suit application must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Overstock submits that even if Rule 12-5(46) was relaxed to permit that evidence to be received against Overstock, there would still be no evidence on which a jury could reasonably find liability. I do not agree. Exhibit 25 is a binder containing 22 exhibits marked on the examinations for discovery of Mr. Byrne, Mr. Mitchell and Mr. Bagley. Exhibit 1 from the discovery of Mr. Byrne is found at the first tab of Exhibit 25 on the trial. It is an e-mail from Patrick Byrne sent from the e-mail address pbyrne@overstock.com to Mark Mitchell. The subject line reads through page 70, and attached to the e-mail is a 233-page document entitled "The Miscreants' Ball and the Global Bust-Out Investigating the Financial Underworld of Destructive Financial Crime, Chapter 1, Was the United States Attacked by Financial Terrorists?"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document appears to be an edited version of at least some of the published defamatory words of which the plaintiff complains. At page 32, for example, there are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Nazerali dabbled in arms dealing, delivering weapons to war zones in Africa and to the mujahedeen in Afghanistan, but his primary line of business in the early 1980s was his Mafia brokerage, First Commerce Securities, which soon became an important component of the BCCI syndicate.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are other portions of the text of the attachment to the e-mail which are very similar and perhaps identical to the alleged defamatory publications. In my opinion if that e-mail and its attachment was put before a jury it could reasonably conclude there was evidence to support the plaintiff's case against Overstock.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make no comment on the weight to attach to that evidence. At this stage of the trial I find only that it is evidence that could go to a jury. However, it is not evidence against Overstock because of the constraints of Rule 12-5(46).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Nevertheless, a trial is a search for the truth. The object of the rules is to determine cases on their merits. In this instance to apply Rule 12-5(46) rigorously in my opinion would thwart the search for truth and may lead to an outcome which has little to do with the merits of the plaintiff's case. As I have said the evidence found at tab 1 of Exhibit 25 is obviously no surprise to Overstock.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Can Rule 12-5(46) be relaxed? The plaintiff brings </w:t>
      </w:r>
      <w:r>
        <w:rPr>
          <w:rFonts w:ascii="arial" w:eastAsia="arial" w:hAnsi="arial" w:cs="arial"/>
          <w:i/>
          <w:color w:val="000000"/>
          <w:sz w:val="20"/>
          <w:lang w:val="en-US" w:eastAsia="en-US" w:bidi="ar-SA"/>
        </w:rPr>
        <w:t>Le Soleil Hotel &amp; Suites Ltd. v. Le Soleil Management Inc.</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2009 BCSC 1303</w:t>
        </w:r>
      </w:hyperlink>
      <w:r>
        <w:rPr>
          <w:rFonts w:ascii="arial" w:eastAsia="arial" w:hAnsi="arial" w:cs="arial"/>
          <w:color w:val="000000"/>
          <w:sz w:val="20"/>
          <w:lang w:val="en-US" w:eastAsia="en-US" w:bidi="ar-SA"/>
        </w:rPr>
        <w:t>, to my attention. At paras. 47 and 48 Madam Justice Dickson made the following observations: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of Dato Chee, Deborah Chang and Michael Tham and the Documents are plainly admissible evidence against all of the defendants. As a general rule, however, admissions made in the course of examinations for discovery are admissible against only the party who made them: </w:t>
      </w:r>
      <w:r>
        <w:rPr>
          <w:rFonts w:ascii="arial" w:eastAsia="arial" w:hAnsi="arial" w:cs="arial"/>
          <w:i/>
          <w:color w:val="000000"/>
          <w:sz w:val="20"/>
          <w:lang w:val="en-US" w:eastAsia="en-US" w:bidi="ar-SA"/>
        </w:rPr>
        <w:t>Bower v. Cominco</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(1998), 53 B.C.L.R. (3d) 322</w:t>
        </w:r>
      </w:hyperlink>
      <w:r>
        <w:rPr>
          <w:rFonts w:ascii="arial" w:eastAsia="arial" w:hAnsi="arial" w:cs="arial"/>
          <w:color w:val="000000"/>
          <w:sz w:val="20"/>
          <w:lang w:val="en-US" w:eastAsia="en-US" w:bidi="ar-SA"/>
        </w:rPr>
        <w:t xml:space="preserve"> (S.C.). Accordingly, the discovery evidence read-in by the plaintiffs would typically be admissible against only the individual defendant involved.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An exception to the general rule may arise where the admitting party has a common or identical interest with other defendants. In particular, where parties have a community of joint interest in the conduct of their business affairs and associated litigation to the extent one may fairly be characterised as representing the others that party's admissions on discovery may be used as evidence against the others: </w:t>
      </w:r>
      <w:r>
        <w:rPr>
          <w:rFonts w:ascii="arial" w:eastAsia="arial" w:hAnsi="arial" w:cs="arial"/>
          <w:i/>
          <w:color w:val="000000"/>
          <w:sz w:val="20"/>
          <w:lang w:val="en-US" w:eastAsia="en-US" w:bidi="ar-SA"/>
        </w:rPr>
        <w:t>Tri-Con Concrete Finishing Co. v. Caravaggio</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[2002] O.J. No. 2771</w:t>
        </w:r>
      </w:hyperlink>
      <w:r>
        <w:rPr>
          <w:rFonts w:ascii="arial" w:eastAsia="arial" w:hAnsi="arial" w:cs="arial"/>
          <w:color w:val="000000"/>
          <w:sz w:val="20"/>
          <w:lang w:val="en-US" w:eastAsia="en-US" w:bidi="ar-SA"/>
        </w:rPr>
        <w:t xml:space="preserve"> (Q.L.) (Ont. Sup.Ct.). Such circumstances are unusual, however, and, in the absence of express agreement, should only be found where the independent evidence of commonality is abundantly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that in the present instance there is a common interest among the defendants that provides for the exception to the general rule which would exclude the discovery evidence. Nevertheless, I am not prepared to receive all of the evidence read in by the plaintiff as evidence against Overstock. I have already commented on the difficulties that may impose if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however, prepared to admit the document at tab 1 of Exhibit 25, and it will become evidence at large. Having received that document, there is evidence which as I have already commented could go to a jury on the question of Overstock's liability. The non-suit application is dismissed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10,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Oral Ruling on Dismissal Application of Mr. Justice Affleck dated June 19, 2015, has been edited/corrected/amended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first style of cause, the word "Between" has been replaced with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first style of cause, the word "van" has been replaced with "Defendants."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Nyffenegger v. Chand, [2013] B.C.J. No. 639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8, 2013.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3,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S114240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639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569</w:t>
      </w:r>
    </w:p>
    <w:p>
      <w:pPr>
        <w:spacing w:before="120" w:line="260" w:lineRule="atLeast"/>
        <w:rPr>
          <w:lang w:val="en-US" w:eastAsia="en-US" w:bidi="ar-SA"/>
        </w:rPr>
      </w:pPr>
      <w:r>
        <w:rPr>
          <w:rFonts w:ascii="arial" w:eastAsia="arial" w:hAnsi="arial" w:cs="arial"/>
          <w:color w:val="000000"/>
          <w:sz w:val="20"/>
          <w:lang w:val="en-US" w:eastAsia="en-US" w:bidi="ar-SA"/>
        </w:rPr>
        <w:t>Between Mark Nyffenegger, Plaintiff, and Bimla Wati Chand, Sanjeev Shilendar Chand, Pine Construction Ltd. and City of Surrey, Defendants, and Bimla Wati Chand, Sanjeev Shilendar Chand, Pine Construction Ltd., Graham Neale, Neale Engineering Ltd. and Julian Bozsik,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(25 paras.)</w:t>
      </w:r>
    </w:p>
    <w:p>
      <w:pPr>
        <w:jc w:val="both"/>
        <w:rPr>
          <w:lang w:val="en-US" w:eastAsia="en-US" w:bidi="ar-SA"/>
        </w:rPr>
      </w:pPr>
      <w:bookmarkStart w:id="14" w:name="Counsel_3"/>
      <w:bookmarkEnd w:id="1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9" style="position:absolute;z-index:2516633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 Brad Henry.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Bimla Wati Chand Sanjeev Shilendar Chand and Pine Construction Ltd.: Thomas G. Lewis.</w:t>
      </w:r>
      <w:r>
        <w:rPr>
          <w:lang w:val="en-US" w:eastAsia="en-US" w:bidi="ar-SA"/>
        </w:rPr>
        <w:cr/>
      </w:r>
    </w:p>
    <w:p>
      <w:pPr>
        <w:spacing w:after="240"/>
        <w:rPr>
          <w:lang w:val="en-US" w:eastAsia="en-US" w:bidi="ar-SA"/>
        </w:rPr>
      </w:pPr>
      <w:bookmarkStart w:id="15" w:name="Judgment_3"/>
      <w:bookmarkEnd w:id="15"/>
      <w:r>
        <w:pict>
          <v:line id="_x0000_s1040" style="position:absolute;z-index:251714560"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correction was released by the Court April 3, 2013; the change has been made to the text and the correction is appended to this document.]</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Reasons for Judgment re Costs</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 w:name="R. CRAWFORD J."/>
            <w:bookmarkEnd w:id="16"/>
            <w:r>
              <w:rPr>
                <w:rFonts w:ascii="arial" w:eastAsia="arial" w:hAnsi="arial" w:cs="arial"/>
                <w:b/>
                <w:color w:val="000000"/>
                <w:sz w:val="30"/>
                <w:lang w:val="en-US" w:eastAsia="en-US" w:bidi="ar-SA"/>
              </w:rPr>
              <w:t>R. CRAWFORD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Nyffenegger seeks orders as to costs flowing from an eight-day trial held in July 2011 and Oral Reasons for Judgment given August 4, 2011: see </w:t>
      </w:r>
      <w:hyperlink r:id="rId83" w:history="1">
        <w:r>
          <w:rPr>
            <w:rFonts w:ascii="arial" w:eastAsia="arial" w:hAnsi="arial" w:cs="arial"/>
            <w:i/>
            <w:color w:val="0077CC"/>
            <w:sz w:val="20"/>
            <w:u w:val="single"/>
            <w:shd w:val="clear" w:color="auto" w:fill="FFFFFF"/>
            <w:lang w:val="en-US" w:eastAsia="en-US" w:bidi="ar-SA"/>
          </w:rPr>
          <w:t>2011 BCSC 1857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While the trial in essence dealt with trespass (the placement of a retaining wall by all the defendants save the City of Surrey ("the City")) and nuisance (run-off of waters from the Chand defendants' land onto the plaintiff's land), additional elements raised in the pleadings were: a $200,000 counterclaim by the Chand defendants, the plaintiff's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and the plaintiff's claim for malicious prosecution against the defendants other than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Some of the plaintiff's claims were caused by his self-representation, and his consequent lack of legal knowledge. However, the various claims factor into the assessment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now seeks clarification of my award of his costs as I fixed his damages at $10,000, an award that would ordinarily mean the case should be in Small Claims Court which has jurisdiction to $25,000. He also seeks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so he is indemnified for paying the taxable legal costs of the City, given I made an order that the City was entitled to their costs as against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initially commenced his claim for trespass and nuisance in Small Claims Court on August 15, 2007. After Mr. Nyffenegger's complaints to the City, the City placed a stop work order on the planned development of the Chands' lot. The Chands brought a counterclaim for $200,000 for delays in construction they said were caused by Mr. Nyffenegger.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That led to an application by the Chands to Provincial Court to raise the matter to Supreme Court. Mr. Nyffenegger, rightly anticipating that order would be made on the application of the defendants dated July 11, 2008, commenced a Supreme Court action. He also named the City as a defendant. Mr. Nyffenegger alleged the City was negligent in the prosecution of its bylaws. That writ was issued July 23, 2008. The Small Claims action was raised by order to the Supreme Court on July 29,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11, 2009, Mr. Justice Grauer consolidated both actions for all purposes.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their defence, the Chand defendants also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City, claiming contribution and indemnity from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first day of trial I advised Mr. Nyffenegger there was no legal basis for a claim of malicious prosecution against the Chand defendants. At the end of the fourth day of trial, I advised the Chands' counsel there was no basis for the damages claim for the delay of construction due to Mr. Nyffenegger's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Chands did not pursue the issue of the City's liability to them at trial; the cross-examination of Mr. Orsetti, a City employee, only took one-half hour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However, the evidence of Mr. Orsetti on behalf of the City was invaluable in clarifying the chronology of events. His evidence illustrated what the Chands did in the development of their property as well as their failure to meet the City's requirements regarding the retaining walls. It was the failure of the Chands to follow the City's directions that eventually led to a stop work order until matters were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was advised that the City presented a bill of costs in the amount of $36,360.32 to the plaintiff, but counsel were able to settle the bill in the amount of $20,000 which Mr. Nyffenegger paid on October 20,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Award of costs under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correctly note I failed to specify the basis for the costs award to Mr. Nyffenegger in my Reasons for Judgment. Rule 14-1(10)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states that a plaintiff who recovers a sum within the jurisdiction of the Provincial Court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is not entitled to costs other than disbursements unless the Court finds there is sufficient reason for bringing the proceeding in the Supreme Court and so orders.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positions of the parties were this: the plaintiff says the Chands' counterclaim meant the action would be raised to Supreme Court while the Chands say Mr. Nyffenegger chose to deal with the matter in Supreme Court by issuing his own writ prior to the Provincial Court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accept the plaintiff's position on this issue. Without the substantial counterclaim, the matter would have stayed, as it should have, in Provincial Court. I find that in the circumstances it was reasonable for Mr. Nyffenegger to bring the proceeding in the Supreme Court and he is entitled to his costs and certain disbursements.</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Bullock</w:t>
      </w:r>
      <w:r>
        <w:rPr>
          <w:rFonts w:ascii="arial" w:eastAsia="arial" w:hAnsi="arial" w:cs="arial"/>
          <w:b/>
          <w:color w:val="000000"/>
          <w:sz w:val="20"/>
          <w:u w:val="single"/>
          <w:lang w:val="en-US" w:eastAsia="en-US" w:bidi="ar-SA"/>
        </w:rPr>
        <w:t xml:space="preserv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14-1(18) provides: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If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has already settled the costs of the City, the successful defendant, and paid them. Now the plaintiff seeks to include those costs as a disbursement in the costs payable to the plaintiff by the unsuccessful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argues it was reasonable to bring the City into the litigation so that the issues of what bylaws actually applied or had been breached, what additional enforcement was called for, and whether the plaintiff's complaints were reasonable could be "thoroughly threshed out": see </w:t>
      </w:r>
      <w:r>
        <w:rPr>
          <w:rFonts w:ascii="arial" w:eastAsia="arial" w:hAnsi="arial" w:cs="arial"/>
          <w:i/>
          <w:color w:val="000000"/>
          <w:sz w:val="20"/>
          <w:lang w:val="en-US" w:eastAsia="en-US" w:bidi="ar-SA"/>
        </w:rPr>
        <w:t>Camaso v. Egan,</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2011 BCSC 954</w:t>
        </w:r>
      </w:hyperlink>
      <w:r>
        <w:rPr>
          <w:rFonts w:ascii="arial" w:eastAsia="arial" w:hAnsi="arial" w:cs="arial"/>
          <w:color w:val="000000"/>
          <w:sz w:val="20"/>
          <w:lang w:val="en-US" w:eastAsia="en-US" w:bidi="ar-SA"/>
        </w:rPr>
        <w:t xml:space="preserve"> at paras. 23-29. As Madam Justice Southin noted in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at para. 34, the availability of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is "not restricted to cases where the unsuccessful defendant in the course of the litigation has blamed the successful defendant but may extend to acts of the unsuccessful defendant which caused the successful defendant to be brought into the litigation." In the case at bar, the Chands did in fact blame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note the City made cross-claims as against the Chands in a statement of defence. The City issued a third party notice against the Chands as well as the two engineers involved in the attempts to design the retaining wall on the Chands' property, although the third party proceeding did not proceed past the pleading stage.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found the failure of the Chands in not complying with the requests of the City led to the concerns about the soil placed on the Chand lot, the water run-off, the retaining wall and its location. The eventual completion of an engineering-designed wall resulted in the termination of Mr. Nyffenegger's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view, Mr. Nyffenegger joined the City into the litigation because of the failure of the Chands to obey the dictates of the City. It was the City's evidence that proved most useful in assessing the respective claims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issue then is whether the plaintiff meets the threshold test for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as set out in </w:t>
      </w:r>
      <w:r>
        <w:rPr>
          <w:rFonts w:ascii="arial" w:eastAsia="arial" w:hAnsi="arial" w:cs="arial"/>
          <w:i/>
          <w:color w:val="000000"/>
          <w:sz w:val="20"/>
          <w:lang w:val="en-US" w:eastAsia="en-US" w:bidi="ar-SA"/>
        </w:rPr>
        <w:t>Robertson v. North Island College Technical and Vocational Institute</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(C.A.), where Mr. Justice Lambert said, quoting from Vaughan Williams L.J. in </w:t>
      </w:r>
      <w:r>
        <w:rPr>
          <w:rFonts w:ascii="arial" w:eastAsia="arial" w:hAnsi="arial" w:cs="arial"/>
          <w:i/>
          <w:color w:val="000000"/>
          <w:sz w:val="20"/>
          <w:lang w:val="en-US" w:eastAsia="en-US" w:bidi="ar-SA"/>
        </w:rPr>
        <w:t>Besterman v. British Motor Cab Company Limited</w:t>
      </w:r>
      <w:r>
        <w:rPr>
          <w:rFonts w:ascii="arial" w:eastAsia="arial" w:hAnsi="arial" w:cs="arial"/>
          <w:color w:val="000000"/>
          <w:sz w:val="20"/>
          <w:lang w:val="en-US" w:eastAsia="en-US" w:bidi="ar-SA"/>
        </w:rPr>
        <w:t>, [1914] 3 K.B. 181 (C.A.) at 186, that it must have been reasonable for the plaintiff to have joined the successful defendant in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Ultimately, I found the plaintiff did not have good grounds for his allegations against the City. But the City was invaluable in lending clarity to the evidence and I exercise my discretion in allowing the plaintiff to claim one-half of his settled bill of costs against the Chand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sought two-thirds of the tariff costs and disbursements against the Chand defendants, excluding all tariff items and disbursements that pertain solely to the claim against the City, as well as the $20,000 paid to the City (the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have allowed one-half of the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amount. I order that the plaintiff recover from the Chand defendants all his tariff costs and disbursements, excluding all tariff items and disbursements that pertain solely to the claim against the City.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 CRAWFORD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Released: April 3, 2013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text of the judgment was corrected, at paragraph [9] on April 3, 2013</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Owen-Jones v. Vasir, [2019] B.C.J. No. 2231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7-9,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S187342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2002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Bert Owen-Jones, Plaintiff, and Kulwant Singh Vasir, Defendant, and Bertram Glyndwr Didier Owen-Jones a.k.a., Bert Owen-Jones, Colonial Pacific Realty Ltd. dba, RE/MAX Colonial Pacific Realty and the said, RE/MAX Colonial Pacific Realty and Ryan Blue, Defendants by way of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jc w:val="both"/>
        <w:rPr>
          <w:rFonts w:ascii="arial" w:eastAsia="arial" w:hAnsi="arial" w:cs="arial"/>
          <w:sz w:val="20"/>
          <w:lang w:val="en-US" w:eastAsia="en-US" w:bidi="ar-SA"/>
        </w:rPr>
      </w:pPr>
      <w:bookmarkStart w:id="17" w:name="Counsel_4"/>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Alimirzaee.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appearing in person: K.S. Vasir.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Colonial Pacific Realty Ltd. dba RE/MAX Colonial Pacific Realty and the said RE/MAX Colonial Pacific Realty and Ryan Blue: C.J.A.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4"/>
      <w:bookmarkEnd w:id="18"/>
      <w:r>
        <w:pict>
          <v:line id="_x0000_s1043" style="position:absolute;z-index:251715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K.W. BALL J."/>
            <w:bookmarkEnd w:id="19"/>
            <w:r>
              <w:rPr>
                <w:rFonts w:ascii="arial" w:eastAsia="arial" w:hAnsi="arial" w:cs="arial"/>
                <w:b/>
                <w:color w:val="000000"/>
                <w:sz w:val="30"/>
                <w:lang w:val="en-US" w:eastAsia="en-US" w:bidi="ar-SA"/>
              </w:rPr>
              <w:t>K.W. BALL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concerns a claim by the plaintiff, Bert Owen-Jones, for damages for the breach of a contract by the defendant, Kulwant Singh Vasir, for the purchase of real property including forfeiture of a deposit in the amount of $20,000; reduced value of the property on resale; additional costs for taxes, utilities and financing charges; and loss of rental income from August 1, 2016, until March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disputes the claims above, although the defendant agrees that he entered into a contract of Purchase and Sale of the lands and premises ("the contract") situated at 8749 112 Street, Delta, British Columbia, more particularly known and described as: PID 006-466-796, Lot 1310 District Lot 440 Group 2, New Westminster District, Plan 49751 ("the Property") for a price of $675,000.00 on or about May 6, 2016 on the terms and conditions contained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his Response to Civil Claim, the defendant named Colonial Pacific Realty Ltd., Re/Max Colonial Pacific Realty and a licensed real estate representative thereof named "Ryan Blue"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the defendant and Mr. Blue gave evidence in this trial. They each agreed that in May 2016, prior to the presentation of the offer to purchase made by the defendant, Mr. Vasir asked Mr. Blue at the outset to act as his agent to complete the contract. Both agreed that Mr. Blue refused to act as agent for Mr. Vasir because Mr. Blue was representing only the vendor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course of inspecting the Property with Mr. Vasir, Mr. Blue told him there had been a report of an incident on the Property involving an allegation concerning a marijuana grow operation ("the incident"), but there had been no proceedings brought against the tenant. Mr. Blue indicated that Mr. Vasir was not concerned about this reported incident because he intended to only live in the Property for a brief period of time and then demolish the home on the Property to build a new 5000 square foot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Vasir agreed in cross-examination that he thought he knew before he removed subject clauses that there had been a marijuana grow operation on the Property. Notwithstanding that knowledge, he decided to proceed with the sale and purchase of the Property on May 19, 2016 by accepting the Subject Removal Clause and paying the $20,000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June of 2016, Mr. Vasir made documented attempts to assign the contract to any interested party. He publicly advertised the contract. Further, on or about June 2, 2016, Mr. Vasir approached Mr. Blue and requested that Mr. Blue represent Mr. Vasir in his attempt to sell or assign the contract to a third party. On June 3, 2016, Mr. Blue confirmed in writing to Mr. Vasir that Mr. Blue would not represent Mr. Vasir to assign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date fixed for the completion of the contract was originally August 31, 2016. The defendant failed to complete on that date and the completion date was extended first to October 27, 2016 and later to November 14, 2106. Mr. Vasir refused to complete on November 14, 2016 or at any date thereafter. This litigation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original Subject Removal Clause date was May 16, 2016, and Mr. Vasir asked for and was granted an extension to May 19, 2016. The evidence is clear that Mr. Vasir was aware of the incident on or before May 16, 2016, which is the date of a Freedom of Information and Protection of Privacy Request in which the defendant stated "I am buying a house 8749 - 112 Street, Delta. City Hall told me there was Growing Marijuana in Past. I need full information. Please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there was no proof that a marijuana grow operation was on the Property at any time, Mr. Owen-Jones testified that as a result of the incident at the Property in December of 2008, significant physical damage had been done to the Property. He testified that Delta municipal authorities required that the Property be renovated. Mr. Owen-Jones paid a contractor to perform this renovation. Mr. Owen-Jones testified that after the renovation and an inspection by municipal authorities were completed, an Occupancy Permit was issued which, pursuant to s. 16 of the Delta Building/Plumbing Bylaw No. 6060, 2002, authorized occupancy of the Property (Ex. 6). Mr. Owen-Jones also testified that he had never seen any evidence of a marijuana grow operation on the Property. No contradictory evidence was given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was no evidence called with respect to advice given by City Hall to the defendant, and the evidence of the defendant was that contrary to the statement aforesaid, the City of Delta refused to provide any advice about the growing of marijuana. In other words, the defendant's statement that City Hall told him there was a marijuana grow operation at the Property is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confirmed during cross-examination that he had worked as a real estate agent in India for about 15 years prior to immigrating to Canada in 1980. After his immigration, he had purchased or attempted to purchase at lease six properties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light of the above circumstances, the only conclusion available to me is that the defendant is liable to the plaintiff for his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counterclaim by the defendant against the realtors in this case was a claim alleged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wherein the defendant was obliged to prove on a balance of probabilities that the defendants by way of counterclaim, (henceforth referred to as "the realtors") owed a duty of care to the defendant, that the alleged duty was breached by some act of the realtors, such as a false statement, and the defendant relied upon such a statement to its detriment, causing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requirements for negligent misrepresentation were helpfully set out in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at para. 135, aff'd </w:t>
      </w:r>
      <w:hyperlink r:id="rId95"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representation;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the representee must have relied, in a reasonable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manner, on the said negligent misrepresentation; and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contract under the title "agency disclosure", the defendant noted the provision of the contract which stated "A. The seller has an agency relationship with Ryan Blue, who is licensed in relation to Re/Max Colonial Pacific Realty."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however, failed to note that the following paragraph in the contract provided "B. The Buyer has an agency relationship with no agency who is licensed in relation to no agency." In other words, the defendant did not have a relationship of agency with Mr. Blue or any of the other defendants designated in the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evidence before this court, the defendant has not proven any duty of care, based on a special, contractual or other relationship, was owed by the realtors to the defendant. The realtors had expressly and in writing advised they were not acting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Further, apart from bald statements made by the defendant about the truthfulness of any statement made by the realtors, there was no proof of any particular statement which was false or misleading. The defendant suggested that the realtors were the makers of statements in the contract or the Property Disclosure Statement. That suggestion is in direct conflict with the contents of the two exhibits referred to which are signed only by the plaintiff and the defendant, the only parties thereto. There being no statement made by the realtors in relation to this transaction which could form the basis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was no statement that the defendant can be said to have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a result of the findings aforesaid, the claim of the defendant against the realtors is hereby dismissed with costs payable by the defendant to the realtors forthwith after assessment pursuant to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at Scale B as a matter of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Forfeiture of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has proven that Mr. Vasir was in fundamental breach of the contract by failing to complete the sale and pay the purchase price. The next issue to be determined is the appropriate remedy for that failure. The leading case in this area is </w:t>
      </w:r>
      <w:r>
        <w:rPr>
          <w:rFonts w:ascii="arial" w:eastAsia="arial" w:hAnsi="arial" w:cs="arial"/>
          <w:i/>
          <w:color w:val="000000"/>
          <w:sz w:val="20"/>
          <w:lang w:val="en-US" w:eastAsia="en-US" w:bidi="ar-SA"/>
        </w:rPr>
        <w:t>Tang v. Zhang</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2013 BCCA 52</w:t>
        </w:r>
      </w:hyperlink>
      <w:r>
        <w:rPr>
          <w:rFonts w:ascii="arial" w:eastAsia="arial" w:hAnsi="arial" w:cs="arial"/>
          <w:color w:val="000000"/>
          <w:sz w:val="20"/>
          <w:lang w:val="en-US" w:eastAsia="en-US" w:bidi="ar-SA"/>
        </w:rPr>
        <w:t xml:space="preserve"> where the Court of Appeal set out the general principles in relation to deposits: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conclusion, I suggest that the following general principles may be stated with regard to deposits in the present context: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general level, the question of whether a deposit or other payment made to a seller in advance of the completion of a purchase is forfeited to the seller upon the buyer's repudiation of the contract, is a matter of contractual intention;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parties use the word "deposit" to describe such a payment, that word should in the absence of a contrary provision be given its normal meaning in law;</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true deposit is an ancient invention of the law designed to motivate contracting parties to carry through with their bargains. Consistent with its purpose, a deposit is generally forfeited by a buyer who repudiates the contract, and is not dependant on proof of damages by the other party. If the contract is performed, the deposit is applied to the purchase price;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deposit constitutes an exception to the usual rule that a sum subject to forfeiture on the breach of a contract is an unlawful penalty unless it represents a genuine pre-estimate of damages. However, where the deposit is of such an amount that the seller's retention of it would be penal or unconscionable, the court may relieve against forfeiture, as codified by the Law and Equity Act;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contractual term that a deposit will be forfeited "on account of damages" on the buyer's failure to complete does not alter the nature of a deposit, but may be construed to mean that if damages are proven, the deposit will be applied against ("on account of") them. If no damages are shown, the deposit is nevertheless forfeitable, subject always to the expression of a contrary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important to note that a vendor does not need to prove damages for the deposit to be forfeited.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clause relating to the deposit in the </w:t>
      </w:r>
      <w:r>
        <w:rPr>
          <w:rFonts w:ascii="arial" w:eastAsia="arial" w:hAnsi="arial" w:cs="arial"/>
          <w:i/>
          <w:color w:val="000000"/>
          <w:sz w:val="20"/>
          <w:lang w:val="en-US" w:eastAsia="en-US" w:bidi="ar-SA"/>
        </w:rPr>
        <w:t>Tang</w:t>
      </w:r>
      <w:r>
        <w:rPr>
          <w:rFonts w:ascii="arial" w:eastAsia="arial" w:hAnsi="arial" w:cs="arial"/>
          <w:color w:val="000000"/>
          <w:sz w:val="20"/>
          <w:lang w:val="en-US" w:eastAsia="en-US" w:bidi="ar-SA"/>
        </w:rPr>
        <w:t xml:space="preserve"> case was virtually identical to clause 12 of the contract, which stipulates that in the event that the purchaser fails to pay the balance of the purchase payment, the amount paid by the buyer "will be non-refundable and absolutely forfeited to the seller in accordance with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on account of damages, without prejudice to the Seller's other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Applying the principles set out in </w:t>
      </w:r>
      <w:r>
        <w:rPr>
          <w:rFonts w:ascii="arial" w:eastAsia="arial" w:hAnsi="arial" w:cs="arial"/>
          <w:i/>
          <w:color w:val="000000"/>
          <w:sz w:val="20"/>
          <w:lang w:val="en-US" w:eastAsia="en-US" w:bidi="ar-SA"/>
        </w:rPr>
        <w:t>Tang</w:t>
      </w:r>
      <w:r>
        <w:rPr>
          <w:rFonts w:ascii="arial" w:eastAsia="arial" w:hAnsi="arial" w:cs="arial"/>
          <w:color w:val="000000"/>
          <w:sz w:val="20"/>
          <w:lang w:val="en-US" w:eastAsia="en-US" w:bidi="ar-SA"/>
        </w:rPr>
        <w:t xml:space="preserve"> to the evidence at bar, I declare the deposit together with any accrued interest thereon forfeited to the plaintiff. RE/MAX Colonial Pacific Realty is to release the deposit, and accrued interest, if any, forthwith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By letter dated November 4, 2016, counsel for the plaintiff advised Mr. Vasir that the vendor was reinstating time to be of the essence and that the contract of purchase and sale in relation to 8749 112 Street, Delta, B.C. would be completed on November 14, 2016 . On November 15, 2016, counsel for the plaintiff advised Mr. Vasir that the plaintiff was ready, willing and able to complete the transaction on the revised completion date of November 14, 2016. The letter confirmed that Mr. Vasir had failed to complete the sale on or before that completion date. In the same letter, Mr. Vasir was notified that the plaintiff had terminated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Subsequent to the termination of the contract, the Property was listed for sale and eventually sold on or about April 17, 2017 for the sum of $650,000 resulting in a loss to the plaintiff of $25,000. The second sale was completed on May 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Subtracting the $20,000 deposit paid from the difference in the sale prices, damages are awarded in the amount of $5000. During the period from August 1, 2016 to April 30, 2017, Mr. Owen-Jones lost rental income from the lands in the amount of $1850 per month for a total of $16,650. In addition he also paid taxes, utilities and financing charges in the amount of $2,270.26. Mr. Vasir did not call evidence concerning any of the claims detailed for lost rental income, taxes, utilities or financing charges, nor did he submit arguments opposing these claims. The plaintiff's evidence in support of those claims was accepted by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a result, Mr. Owen-Jones is awarded net damages of $43,920.26 together with costs and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Costs will be pursuant to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at Scale B as a matter of ordinary difficulty, payable forthwith after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K.W. BALL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Owners, Strata Plan NW 3341 v. Canlan Ice Sports Corp., 2001 BREG para. 50,302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Real Estate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Grist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August 21,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C965848</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2001</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BREG para. 50,302</w:t>
      </w:r>
    </w:p>
    <w:p>
      <w:pPr>
        <w:spacing w:before="120" w:line="260" w:lineRule="atLeast"/>
        <w:rPr>
          <w:lang w:val="en-US" w:eastAsia="en-US" w:bidi="ar-SA"/>
        </w:rPr>
      </w:pPr>
      <w:r>
        <w:rPr>
          <w:rFonts w:ascii="arial" w:eastAsia="arial" w:hAnsi="arial" w:cs="arial"/>
          <w:color w:val="000000"/>
          <w:sz w:val="20"/>
          <w:lang w:val="en-US" w:eastAsia="en-US" w:bidi="ar-SA"/>
        </w:rPr>
        <w:t>Owners, Strata Plan NW 3341 v. Canlan Ice Sports Corp.</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5" style="position:absolute;z-index:2516654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 w:name="Keywords_0"/>
      <w:bookmarkEnd w:id="20"/>
      <w:r>
        <w:rPr>
          <w:rFonts w:ascii="arial" w:eastAsia="arial" w:hAnsi="arial" w:cs="arial"/>
          <w:b/>
          <w:color w:val="000000"/>
          <w:sz w:val="20"/>
          <w:lang w:val="en-US" w:eastAsia="en-US" w:bidi="ar-SA"/>
        </w:rPr>
        <w:t>Land titles registration — Leaky condos — Municipality's liability — Condo buildings were wood-frame construction — Plans were approved by Delta's building department and a permit issued — Delta conducted inspections for three of five stages of construction — Water penetration occurred shortly after owners began moving into units — Owners claimed that Delta's negligent approval of the application for building permit and negligent inspections were the cause of their losses — Evidence showed that Delta had a policy of not conducting inspections relating to control of rain penetration into buildings — Court held that Delta's relative contribution to the plaintiffs' damages was 20 per cent.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 w:name="Case Summary_0"/>
            <w:bookmarkEnd w:id="21"/>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strata corporation claimed damages for repairs to the three buildings comprising Riverwest Estates made necessary by wood rot in the exterior wall sheathing, studs and beams. The project was owned and developed by the defendant, Canlan Ice Sports Corp. and the general contractor was the defendant, Van Maren Construction (#8701) Ltd.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buildings were wood-frame construction and the suites had exterior windows and doors opening onto the decks and balconies. The plans for the complex, although prepared by the defendant, Elbe, Lock, Walls &amp; Associates Inc., were not drawn by a professional architect. The plans were approved by the building department of the Corporation of Delta ("Delta"), and a permit was issued. During the course of construction, Delta conducted inspections at three of the five stages indicated in the by-law.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Shortly after owners started moving in, problems surfaced regarding decks and balconies. Discovery and remediation of these problems,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led to the discovery of significant rot found in the structural framing of the units. The strata corporation commissioned a report from MHP Consultants, which indicated that 41 of 85 units had experienced water leaking into interior walls, window surfaces or ceilings. The evidence indicated that the "water entry" problems derived from a reliance on exterior surfaces, joints and junctions to remain watertight during the service life of the building. This type of enclosure was referred to as "face-sealed". Leakage into exterior walls and patio decks occurred when even minor openings in exterior seals allowed water to enter. Wind-driven rain was a particularly difficult source of moisture to control in this type of construction, and the evidence indicated that the location of this condominium complex was subject to a substantial amount of wind-driven rain.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individual owners ultimately carried most of the cost of repairs. The action listed the developer, the contractor, the structural engineer and a building design company as defendants. However, the trial focused on Delta's negligent approval of the application for building permit, negligent inspection of construction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issuance of the occupancy permit. </w:t>
            </w:r>
            <w:r>
              <w:rPr>
                <w:lang w:val="en-US" w:eastAsia="en-US" w:bidi="ar-SA"/>
              </w:rPr>
              <w:cr/>
            </w:r>
          </w:p>
          <w:p>
            <w:pPr>
              <w:spacing w:before="120" w:line="260" w:lineRule="atLeast"/>
              <w:ind w:left="240"/>
              <w:jc w:val="both"/>
              <w:rPr>
                <w:lang w:val="en-US" w:eastAsia="en-US" w:bidi="ar-SA"/>
              </w:rPr>
            </w:pPr>
            <w:bookmarkStart w:id="22" w:name="Holdings of Court_0"/>
            <w:bookmarkEnd w:id="22"/>
            <w:r>
              <w:rPr>
                <w:rFonts w:ascii="arial" w:eastAsia="arial" w:hAnsi="arial" w:cs="arial"/>
                <w:color w:val="000000"/>
                <w:sz w:val="20"/>
                <w:lang w:val="en-US" w:eastAsia="en-US" w:bidi="ar-SA"/>
              </w:rPr>
              <w:t>HELD: Judgment was granted against Delta, Canlan Ice Sports Corp.</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Van Maren Construction (#8701) Ltd., and Elbe, Lock, Walls &amp; Associates Inc. in the amount of $3,151,572.65, of which Delta's share was assessed at 20 per cent. A separate judgment was issued against Van Maren Construction (#8701) Ltd. and the engineering company, J. Novacek and Associates Ltd. for $62,500.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law imposing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a defendant to owe the claimant a duty of care. Proof must be given that the defendant failed to exercise a reasonable standard of care, and that this failure was a material cause of the damage the plaintiff suffered. The Court examined the finding in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[1984] 5 W.W.R. 1</w:t>
              </w:r>
            </w:hyperlink>
            <w:r>
              <w:rPr>
                <w:rFonts w:ascii="arial" w:eastAsia="arial" w:hAnsi="arial" w:cs="arial"/>
                <w:color w:val="000000"/>
                <w:sz w:val="20"/>
                <w:lang w:val="en-US" w:eastAsia="en-US" w:bidi="ar-SA"/>
              </w:rPr>
              <w:t xml:space="preserve">, wherein the Supreme Court of Canada made it clear that liability would be found where economic loss resulted from the negligent acts of a regulatory body. The Court noted that to determine whether an inspection scheme by a local authority would be subject to a private law duty of care, a court must determine whether the scheme represented a policy decision on the part of the authority, or whether it represented the implementation of a policy decision at the operational level. True policy decisions would be exempt from civil liability. However, once a government agency made the decision to inspect, it could owe a duty of care to all who might be injured by the negligent implementation of that policy.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noted that the Delta building by-law provided for the appointment of a Director of Permits. The Director and inspectors appointed to assist in the administration of the by-law were given powers to enter onto premises, stop work or revoke permits in enforcement of the by-law and building code. Evidence showed that Delta's building department had a practice of not conducting inspections relating to control of rain penetration (s. 5.4 of its Building Code) because "building envelope failures were not seen as a problem". Delta argued that this election not to implement procedures designed to enforce section 5.4 of the Code was a policy decision. The Court found that the public would reasonably have expected that a municipality would put some effort into its responsibility to administer and enforce these Code provisions.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rejected Delta's arguments: (1) that section 5.4 of the Code stipulated design objectives that were inherently difficult to inspect; and (2) that the Council would not want money spent without the need being demonstrated by a record of failures.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viewed Delta's relative contribution to the plaintiffs' damages to be significantly less than that of the primary defendants (Canlan, Van Maren and Elbe, Lock) and assessed Delta's relative contribution at 20 per cent.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16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1" w:history="1">
        <w:r>
          <w:rPr>
            <w:rFonts w:ascii="arial" w:eastAsia="arial" w:hAnsi="arial" w:cs="arial"/>
            <w:b/>
            <w:bCs/>
            <w:i/>
            <w:color w:val="0077CC"/>
            <w:kern w:val="32"/>
            <w:sz w:val="28"/>
            <w:szCs w:val="32"/>
            <w:u w:val="single"/>
            <w:shd w:val="clear" w:color="auto" w:fill="FFFFFF"/>
            <w:lang w:val="en-US" w:eastAsia="en-US" w:bidi="ar-SA"/>
          </w:rPr>
          <w:t>Palmer v. Blake, [2003] I.L.R. para. M-1686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Ralph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August 6, 2003.</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2003</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[2003] I.L.R. para. M-1686</w:t>
      </w:r>
    </w:p>
    <w:p>
      <w:pPr>
        <w:spacing w:before="120" w:line="260" w:lineRule="atLeast"/>
        <w:rPr>
          <w:lang w:val="en-US" w:eastAsia="en-US" w:bidi="ar-SA"/>
        </w:rPr>
      </w:pPr>
      <w:r>
        <w:rPr>
          <w:rFonts w:ascii="arial" w:eastAsia="arial" w:hAnsi="arial" w:cs="arial"/>
          <w:color w:val="000000"/>
          <w:sz w:val="20"/>
          <w:lang w:val="en-US" w:eastAsia="en-US" w:bidi="ar-SA"/>
        </w:rPr>
        <w:t>Palmer v. Blake</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7" style="position:absolute;z-index:2516664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 w:name="Keywords_1"/>
      <w:bookmarkEnd w:id="23"/>
      <w:r>
        <w:rPr>
          <w:rFonts w:ascii="arial" w:eastAsia="arial" w:hAnsi="arial" w:cs="arial"/>
          <w:b/>
          <w:color w:val="000000"/>
          <w:sz w:val="20"/>
          <w:lang w:val="en-US" w:eastAsia="en-US" w:bidi="ar-SA"/>
        </w:rPr>
        <w:t>Personal injury damages — Soft tissue injury — Shoulder — Failure to wear seat belt not proven — $30,000 non-pecuniary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 w:name="Case Summary_1"/>
            <w:bookmarkEnd w:id="24"/>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 summary trial of issues of quantum of damages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15-year-old plaintiff was injured when she was a passenger in the defendant's vehicle. She suffered an injury to her right shoulder, elbow and clavicle. While they admitted liability, the defendants argued that the plaintiff was contributorily negligent because she failed to wear a seat belt, and that she failed to mitigate damages by failing to complete physiotherapy treatments. After five years, the plaintiff still had pain and restriction of movement in her shoulder, and had developed depression. </w:t>
            </w:r>
            <w:r>
              <w:rPr>
                <w:lang w:val="en-US" w:eastAsia="en-US" w:bidi="ar-SA"/>
              </w:rPr>
              <w:cr/>
            </w:r>
          </w:p>
          <w:p>
            <w:pPr>
              <w:spacing w:before="120" w:line="260" w:lineRule="atLeast"/>
              <w:ind w:left="240"/>
              <w:jc w:val="both"/>
              <w:rPr>
                <w:lang w:val="en-US" w:eastAsia="en-US" w:bidi="ar-SA"/>
              </w:rPr>
            </w:pPr>
            <w:bookmarkStart w:id="25" w:name="Holdings of Court_1"/>
            <w:bookmarkEnd w:id="25"/>
            <w:r>
              <w:rPr>
                <w:rFonts w:ascii="arial" w:eastAsia="arial" w:hAnsi="arial" w:cs="arial"/>
                <w:color w:val="000000"/>
                <w:sz w:val="20"/>
                <w:lang w:val="en-US" w:eastAsia="en-US" w:bidi="ar-SA"/>
              </w:rPr>
              <w:t>HELD: The plaintiff's damages were assessed.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found that the defendants had not established that the plaintiff had not been wearing a seat belt, nor that seat belt use would have prevented or lessened her injury. The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failed. Similarly, there was no evidence to establish that the plaintiff had failed to mitigate her damages by failing to carry on with physiotherapy treatments. The Court found that the plaintiff's depression was not caused by the accident. She did suffer pain for an unusually long time, and it interfered with her activities and work. She was awarded $30,000 non-pecuniary damages.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17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Paniccia v. Eckert, [2013] B.C.J. No. 181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8,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4,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31923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Penticton</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181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156</w:t>
      </w:r>
    </w:p>
    <w:p>
      <w:pPr>
        <w:spacing w:before="120" w:line="260" w:lineRule="atLeast"/>
        <w:rPr>
          <w:lang w:val="en-US" w:eastAsia="en-US" w:bidi="ar-SA"/>
        </w:rPr>
      </w:pPr>
      <w:r>
        <w:rPr>
          <w:rFonts w:ascii="arial" w:eastAsia="arial" w:hAnsi="arial" w:cs="arial"/>
          <w:color w:val="000000"/>
          <w:sz w:val="20"/>
          <w:lang w:val="en-US" w:eastAsia="en-US" w:bidi="ar-SA"/>
        </w:rPr>
        <w:t>Between Domenico Paniccia and Helena Irene Atroszenko-Paniccia, Plaintiffs, and Felix John Eckert, Parkside Realty Inc. Doing business as Royal LePage Parkside Reality, Larry Young, Donna Young, and Pears Home Inspections Ltd., doing business as D-Tect Home Inspections,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 paras.)</w:t>
      </w:r>
    </w:p>
    <w:p>
      <w:pPr>
        <w:jc w:val="both"/>
        <w:rPr>
          <w:lang w:val="en-US" w:eastAsia="en-US" w:bidi="ar-SA"/>
        </w:rPr>
      </w:pPr>
      <w:bookmarkStart w:id="26" w:name="Counsel_5"/>
      <w:bookmarkEnd w:id="2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9" style="position:absolute;z-index:2516674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T.J. Johnston.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F.J. Eckert: R.K. Oliver.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Parkside Realty Inc., L. Young and D. Young: V. Reakes.</w:t>
      </w:r>
      <w:r>
        <w:rPr>
          <w:lang w:val="en-US" w:eastAsia="en-US" w:bidi="ar-SA"/>
        </w:rPr>
        <w:cr/>
      </w:r>
    </w:p>
    <w:p>
      <w:pPr>
        <w:spacing w:after="240"/>
        <w:rPr>
          <w:lang w:val="en-US" w:eastAsia="en-US" w:bidi="ar-SA"/>
        </w:rPr>
      </w:pPr>
      <w:bookmarkStart w:id="27" w:name="Judgment_5"/>
      <w:bookmarkEnd w:id="27"/>
      <w:r>
        <w:pict>
          <v:line id="_x0000_s1050" style="position:absolute;z-index:25171865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 Re Costs</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8" w:name="G. BARROW J."/>
            <w:bookmarkEnd w:id="28"/>
            <w:r>
              <w:rPr>
                <w:rFonts w:ascii="arial" w:eastAsia="arial" w:hAnsi="arial" w:cs="arial"/>
                <w:b/>
                <w:color w:val="000000"/>
                <w:sz w:val="30"/>
                <w:lang w:val="en-US" w:eastAsia="en-US" w:bidi="ar-SA"/>
              </w:rPr>
              <w:t>G. BARROW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sued their real estate agent, Mr. Young, and the person from whom they purchased their house. As against the vendor, Mr. Eckert, they alleged breach of contract. As against both the vendor and their real estate agent, they alleged negligent and fraudulent misrepresentation. In addition, the plaintiffs claimed that Mr. Young breached his fiduciary duty to them and was guilty of deceit. Following a trial, I dismissed their claims as against their real estate agent and granted judgment for a small portion of their claims as against the vendor, Mr. Eckert. My reasons are indexed at </w:t>
      </w:r>
      <w:hyperlink r:id="rId119" w:history="1">
        <w:r>
          <w:rPr>
            <w:rFonts w:ascii="arial" w:eastAsia="arial" w:hAnsi="arial" w:cs="arial"/>
            <w:i/>
            <w:color w:val="0077CC"/>
            <w:sz w:val="20"/>
            <w:u w:val="single"/>
            <w:shd w:val="clear" w:color="auto" w:fill="FFFFFF"/>
            <w:lang w:val="en-US" w:eastAsia="en-US" w:bidi="ar-SA"/>
          </w:rPr>
          <w:t>2012 BCSC 1428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Young seeks special costs pursuant to Rule 14(1)(b)(i) or double costs under Rule 9-1. The defendant, Mr. Eckert, also seeks special costs. In both cases, the claim for special costs rests on the fact that fraud was alleged and not proven. In the case of Mr. Young, the claim also rests on the fact that breach of fiduciary duty was alleged but not proven.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Special cost, or as they were sometimes earlier referred to "solicitor-and-client costs", are awarded where the conduct of the unsuccessful party can be properly characterized as reprehensible, scandalous or outrageous. Instances of reprehensible conduct include unproven allegations of breach of fiduciary duty and unproven allegations of fraudulent misrepresentation or deceit. It is not merely that such allegations are made and then not proven, which attracts punitive costs consequences, but rather it is where such allegations are made recklessly (see generally </w:t>
      </w:r>
      <w:r>
        <w:rPr>
          <w:rFonts w:ascii="arial" w:eastAsia="arial" w:hAnsi="arial" w:cs="arial"/>
          <w:i/>
          <w:color w:val="000000"/>
          <w:sz w:val="20"/>
          <w:lang w:val="en-US" w:eastAsia="en-US" w:bidi="ar-SA"/>
        </w:rPr>
        <w:t>Ip v. Insurance Corp. of British Columbia</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[1994] B.C.J. No. 81</w:t>
        </w:r>
      </w:hyperlink>
      <w:r>
        <w:rPr>
          <w:rFonts w:ascii="arial" w:eastAsia="arial" w:hAnsi="arial" w:cs="arial"/>
          <w:color w:val="000000"/>
          <w:sz w:val="20"/>
          <w:lang w:val="en-US" w:eastAsia="en-US" w:bidi="ar-SA"/>
        </w:rPr>
        <w:t xml:space="preserve"> (10 November 1993), New Westminster SO-3158 (B.C.S.C.) per McKinnon J.). McKinnon J. also made the point in </w:t>
      </w:r>
      <w:r>
        <w:rPr>
          <w:rFonts w:ascii="arial" w:eastAsia="arial" w:hAnsi="arial" w:cs="arial"/>
          <w:i/>
          <w:color w:val="000000"/>
          <w:sz w:val="20"/>
          <w:lang w:val="en-US" w:eastAsia="en-US" w:bidi="ar-SA"/>
        </w:rPr>
        <w:t>Ip</w:t>
      </w:r>
      <w:r>
        <w:rPr>
          <w:rFonts w:ascii="arial" w:eastAsia="arial" w:hAnsi="arial" w:cs="arial"/>
          <w:color w:val="000000"/>
          <w:sz w:val="20"/>
          <w:lang w:val="en-US" w:eastAsia="en-US" w:bidi="ar-SA"/>
        </w:rPr>
        <w:t xml:space="preserve"> that "an allegation of fraud ... casts a serious pall over [a person's] reputation in the community". For that reason, "very careful consideration" needs to be given to the circumstances by a litigant before advancing such a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was, as against Mr. Young, no basis to conclude that he made fraudulent misstatements or that he was in breach of his fiduciary duty. I am not aware that there was ever any basis to so conclude. This is not a case in which there was evidence which might support such a conclusion but which later proved insufficient for one reason or another. Based on the record, there was never any basis for believing the Mr. Young was dishonest in any way, never mind fraudulent. Further, the allegation was pressed to the conclusion of the trial. It was argued that Mr. Young "used his superior realtor skills ... to get [the plaintiff] to sign". There was no evidence to support such an allegation. In the transaction at issue, Mr. Young acted in a dual agency capacity. It was argued that he "single-mindedly" preferred the interests of the vendor over those of the plaintiff purchaser. There was no evidence to support that assertion.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Young has been a realtor in Summerland for 32 years. Summerland is a small community. A reputation for honesty and integrity is important in many professions, including real estate sales, and perhaps especially in small communities where others are likely to be aware of such allegations. To endure the allegation of dishonesty absent any evidentiary basis for it is conduct that the court should dissociate itself from. Awarding special costs is one way of doing that (see </w:t>
      </w:r>
      <w:r>
        <w:rPr>
          <w:rFonts w:ascii="arial" w:eastAsia="arial" w:hAnsi="arial" w:cs="arial"/>
          <w:i/>
          <w:color w:val="000000"/>
          <w:sz w:val="20"/>
          <w:lang w:val="en-US" w:eastAsia="en-US" w:bidi="ar-SA"/>
        </w:rPr>
        <w:t>Fullerton v. Matsqui</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(1993), 74 B.C.L.R. (2d) 311</w:t>
        </w:r>
      </w:hyperlink>
      <w:r>
        <w:rPr>
          <w:rFonts w:ascii="arial" w:eastAsia="arial" w:hAnsi="arial" w:cs="arial"/>
          <w:color w:val="000000"/>
          <w:sz w:val="20"/>
          <w:lang w:val="en-US" w:eastAsia="en-US" w:bidi="ar-SA"/>
        </w:rPr>
        <w:t xml:space="preserve"> (C.A.) at para. 23).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am satisfied that the claim of fraudulent misrepresentation and breach of fiduciary duty is worthy of rebuke by way of an award of special costs. That said, the case against Mr. Young did not rest entirely on an allegation of fraud and breach of fiduciary duty. There were allegations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Those allegations were not proven. Such allegations do not, without more, generally attract an award of special costs. I have considered whether to award special costs for some proportion of the trial to account for this aspect of the case. I have decided against that for two reasons. First, it seems to me to be arbitrary and unworkable to attempt to do that in this case. The allegations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neither greater nor lesser than the allegations said to be fraudulent. Second, Mr. Young made an offer to settle this case on the basis of a waiver of costs. He bettered that offer. He would be entitled to double costs as a result. To award special costs for some portion of the trial and double costs for another is unworkable. In the result, Mr. Young is entitled to special costs pursuant to Rule 14-1(1)(b)(i).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Eckert also seeks an order for special costs. His claim rests on a somewhat different footing than that of Mr. Young. He argues that the claim of deceit and fraudulent misrepresentation was made without any basis. He argues that to make such an allegation knowing that he was a man in his 80s, and whose wife was gravely ill, and to seek punitive damages in the bargain is conduct worthy of rebuke by way of special costs. One other distinguishing feature is that the plaintiffs recovered judgment, albeit for a small portion of their claim (something like 4 percent of that which was claimed, according to Mr. Eckert). Counsel for Mr. Eckert also points out that he has taken the position with the plaintiffs from the outset that there was no basis for the claim of deceit, and if successful, he would be seeking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to the latter point, I do not consider that putting the other side on notice that a claim would be made for special costs is a basis for awarding such costs. Doing so would elevate it to something approaching the status of an offer to settle without actually being such an offer. Further, the fact that such a position is taken does not change or colour the conduct that is said to ground the special cost award. It is either conduct that should attract the award or not; taking the position in advance of trial that special costs would be sought neither adds to nor detracts from the underlying conduct.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Further, I was satisfied that in three respects Mr. Eckert knew about material latent defects associated with his property. One related to diesel buried on the property, another related to the electrical power to the barn, and the third was with respect to a leaking skylight and the wall around the chimney. He warranted that there were no such defects. I was not satisfied that he lied about the condition of the house, rather that he knew about the defects, and had he turned his mind to them when he completed the property disclosure statement, he would have realized his error. While there were relatively minor matters on the overall scheme of the plaintiffs' claims, they served in part to ground their belief that they had been dealt with unfairly more generally.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these circumstances, I am not satisfied that an award of special costs is warranted. However, neither am I satisfied that it is appropriate to deprive the defendant of any portion of his costs notwithstanding that he was unsuccessful in defending all of the plaintiffs' claims. Mr. Eckert is entitled to his costs at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 BARROW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Pausch v. Vancouver Coastal Health Authority (c.o.b. UBC Hospital), [2014] B.C.J. No. 2654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20,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S099345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2654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2036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3185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246 A.C.W.S. (3d) 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C.P.C. (7th) 342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Arnold Brent Pausch, Plaintiff, and Vancouver Coastal Health Authority operating as UBC Hospital, Jane Doe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jc w:val="both"/>
        <w:rPr>
          <w:rFonts w:ascii="arial" w:eastAsia="arial" w:hAnsi="arial" w:cs="arial"/>
          <w:sz w:val="20"/>
          <w:lang w:val="en-US" w:eastAsia="en-US" w:bidi="ar-SA"/>
        </w:rPr>
      </w:pPr>
      <w:bookmarkStart w:id="29" w:name="Counsel_6"/>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 Koller.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Vancouver Coastal: E. Stanger, M. Peirce.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6"/>
      <w:bookmarkEnd w:id="30"/>
      <w:r>
        <w:pict>
          <v:line id="_x0000_s1053" style="position:absolute;z-index:251719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N. SHARMA J. (orally)"/>
            <w:bookmarkEnd w:id="31"/>
            <w:r>
              <w:rPr>
                <w:rFonts w:ascii="arial" w:eastAsia="arial" w:hAnsi="arial" w:cs="arial"/>
                <w:b/>
                <w:color w:val="000000"/>
                <w:sz w:val="30"/>
                <w:lang w:val="en-US" w:eastAsia="en-US" w:bidi="ar-SA"/>
              </w:rPr>
              <w:t>N. SHARMA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my Reasons with regard to the admissibility of an expert report proffered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reserve right to edit these reasons for grammatical and stylistic improvements, or to add additional references but neither the substance of the reasoning nor the result will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tenders Mr. Myszkowski as an expert qualified to give opinion evidence on the standard of care required of an MRI technologist, specifically with regard to hearing protection. The defendant says Mr. Myszkowski lacks the necessary qualifications to be accepted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Myszkowski did not appear at the trial but gave his evidence by way of video deposition. Unfortunately, the presentation of Mr. Myszkowski's evidence was somewhat different than what would occur had he attended trial because there was no separation between the statement of and cross-examination on his qualifications from the testimony in chief clarifying his report and cross-examination. It would have been better if there had been a clear separation; I am not faulting counsel but simply pointing this out, as it explains a slight anomaly in how the issue was addressed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are two issues before me:</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failed to provide Notice as required by Rule 11-6(10), is the defendant now prohibited from raising this objection at trial?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of the answer to the first question, is Mr. Myszkowski appropriately qualified to give opinion evidence on the standard of care of an MRI technologist?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11-6(10) and (11) requires that a party receiving an expert report, or supplementary report must serve on every party "notice of any objection to the admissibility of the expert's evidence that the party receiving the report or supplementary report intends to raise at trial". This notice must be given on the earlier of the trial management conference or 21 days before the trial starts. Without court order, if reasonable notice of an objection could have been -- but was not -- given, the objection must not be permitted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Myszkowski's report and the CV were served on the defendant in late June 2014. The parties appeared for a summary trial in early July 2014, but no judge was available. Subsequently, the parties agreed there would be a video deposition of Mr. Myszkowski on October 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agrees no notice pursuant to Rule 11-6(10)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the wording of Rules 11-6(10) and (11) is mandatory and there is no reason in this case to allow the objection. The plaintiff says the Rule is designed to ensure the fairness of the trial by preventing "trial by ambush" and by allowing the parties to know the opposing parties' case. This also promotes efficiency. If objections are made at trial without notice, it may very well lead to requests to adjourn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also says the defendant gave no reason for not raising the objection earlier. As the plaintiff's counsel notes, the CV and report were served well in advance of the deadline. Mr. Myszkowski was cross-examined on October 9 and, at the very least, notice still could have been given prior to trial (albeit quite close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relies on the following authorities: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Farand v. Seidel</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2013 BCSC 323</w:t>
        </w:r>
      </w:hyperlink>
      <w:r>
        <w:rPr>
          <w:rFonts w:ascii="arial" w:eastAsia="arial" w:hAnsi="arial" w:cs="arial"/>
          <w:color w:val="000000"/>
          <w:sz w:val="20"/>
          <w:lang w:val="en-US" w:eastAsia="en-US" w:bidi="ar-SA"/>
        </w:rPr>
        <w:t xml:space="preserve"> - this was a motor vehicle case. At paragraphs 109 - 115, Mr. Justice Savage considers the propriety of an objection to the admissibility of a report of a registered occupational therapist to give opinion evidence on cost of care recommendations. The defendant had not provided notice pursuant to Rule 11-6(10) and gave "no particular reason for failing to abide by the timeline for raising such an objection, except to say 'we let our guard down'". Mr. Justice Savage found that simple inadvertence is not a good reason to relieve the defendant from the operation of Rule 11-6(10), noting that the notice requirement is stated to be mandatory ("must"). He also noted that the nature of the objections in that case went to weight rather than admissibility. The objection was not to the expert's qualifications;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Forliti v. Woolley</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2003 BCSC 1309</w:t>
        </w:r>
      </w:hyperlink>
      <w:r>
        <w:rPr>
          <w:rFonts w:ascii="arial" w:eastAsia="arial" w:hAnsi="arial" w:cs="arial"/>
          <w:color w:val="000000"/>
          <w:sz w:val="20"/>
          <w:lang w:val="en-US" w:eastAsia="en-US" w:bidi="ar-SA"/>
        </w:rPr>
        <w:t xml:space="preserve"> - this case was about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fact that the proposed expert practiced in Toronto and not British Columbia did not diminish the expert's qualifications;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Pushee v. Roland</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2003 BCSC 149</w:t>
        </w:r>
      </w:hyperlink>
      <w:r>
        <w:rPr>
          <w:rFonts w:ascii="arial" w:eastAsia="arial" w:hAnsi="arial" w:cs="arial"/>
          <w:color w:val="000000"/>
          <w:sz w:val="20"/>
          <w:lang w:val="en-US" w:eastAsia="en-US" w:bidi="ar-SA"/>
        </w:rPr>
        <w:t xml:space="preserve"> - this was a medical malpractice case. Only days before trial, counsel for the plaintiff advised the defendant that objection was being taken to the admissibility of an expert report on the basis of bias. The matter was set for a summary trial and Mr. Justice Burnyeat noted that "[d]espite the absence of the notice provisions [similar to Rule 11-6] being incorporated within the notice provisions under Rule 18A, it is incumbent upon the Court to require reasonable notice of objections being made to avoid adjournments or trial by ambush." Accordingly, Mr. Justice Burnyeat did not entertain the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says the Rule is limited to objections on the contents of the report, such as: the expert is advocating for a party; there is an insufficient factual basis for conclusions, or, something else related to the particular opinion evidence being offered. The defendant says if this is not the case, then the rule operates to prevent an objection to qualifications being brought at trial, rendering cross-examination qualifications futile. Counsel also says that it was unclear from the witness' CV alone whether or not he had the requisite qualifications. It was only through cross-examination that deficiencies became apparent. The defendant relies on the following cases: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Ross</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2012 BCSC 1605</w:t>
        </w:r>
      </w:hyperlink>
      <w:r>
        <w:rPr>
          <w:rFonts w:ascii="arial" w:eastAsia="arial" w:hAnsi="arial" w:cs="arial"/>
          <w:color w:val="000000"/>
          <w:sz w:val="20"/>
          <w:lang w:val="en-US" w:eastAsia="en-US" w:bidi="ar-SA"/>
        </w:rPr>
        <w:t xml:space="preserve"> - This was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plaintiff offered the evidence of an expert on standard of care. That expert had no experience, training or familiarity with his medical speciality in Canada. Because of that, Madam Justice Ballance concluded that the expert was not qualified and therefore his "opinion evidence would not assist me in forming a correct judgment on the standard of care";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Trans North Turbo Air Limited v. North 60 Petro Ltd</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2002 YKSC 32</w:t>
        </w:r>
      </w:hyperlink>
      <w:r>
        <w:rPr>
          <w:rFonts w:ascii="arial" w:eastAsia="arial" w:hAnsi="arial" w:cs="arial"/>
          <w:color w:val="000000"/>
          <w:sz w:val="20"/>
          <w:lang w:val="en-US" w:eastAsia="en-US" w:bidi="ar-SA"/>
        </w:rPr>
        <w:t xml:space="preserve"> - the dismissal of an objection to an expert's qualification because of lack of notice does not prevent counsel from "objecting to the qualifications of the experts and cross-examining them on their expertise" before the court qualified the expert. This was a simple affirmation that ultimately, the court has the duty to determine admissibility of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Turning to the question of whether Rule 11-6(10) and (11) applies to objections of qualifications, I conclude that it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no difference can be drawn between an objection to the admissibility of the report, and an objection to an expert's qualification with regard to Rule 11-6(10). In order to be admissible, any opinion evidence must come from a properly qualified expert. Qualification is a prerequisite to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wording of Rule 11-6(10) and (11) is mandatory. In my view, the phrase "objection to the admissibility of the expert's evidence" necessarily includes objections based on inadequate qualifications of the expert. Indeed, the expert's qualifications are required to form part of his or her report: Rule 11-6(1)(a) and (b). I find therefore, that the defendant here ought to have given notice of the objections to the expert's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question then becomes whether or not there is a good reason to excuse the lack of notice in the circumstances of this case. I agree with Justice Savage's conclusion in </w:t>
      </w:r>
      <w:r>
        <w:rPr>
          <w:rFonts w:ascii="arial" w:eastAsia="arial" w:hAnsi="arial" w:cs="arial"/>
          <w:i/>
          <w:color w:val="000000"/>
          <w:sz w:val="20"/>
          <w:lang w:val="en-US" w:eastAsia="en-US" w:bidi="ar-SA"/>
        </w:rPr>
        <w:t>Farand v. Seidel</w:t>
      </w:r>
      <w:r>
        <w:rPr>
          <w:rFonts w:ascii="arial" w:eastAsia="arial" w:hAnsi="arial" w:cs="arial"/>
          <w:color w:val="000000"/>
          <w:sz w:val="20"/>
          <w:lang w:val="en-US" w:eastAsia="en-US" w:bidi="ar-SA"/>
        </w:rPr>
        <w:t xml:space="preserve"> that simple inadvertence is not a good reason to relieve the opposing party of providing notice. Because the court has an overriding discretion, there may be other bases upon which it is appropriate not to apply a deadline.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 defendant says the expert's CV referred to his working at hospitals, but it was only upon cross-examination that it became apparent that all of Mr. Myszkowski's experience as a MRI technologist was at the one facility in Calgary where he still works. However, Mr. Myszkowski's statement of qualifications in his report does make it clear that he began working as a MRI technologist in 2000. All of his hospital work experience preceded 2000. Given that, I think the reason for the defendant's lack of notice does fall into the category of "inadvertence". If that were the only concern to the report's admissibility, the objection would not be allowed and the report would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Regardless of the defendant's position, however, the court retains an overriding discretion to admit opinion evidence when the rules have not been followed, or refuse to admit it when there has been compliance. This is reflected in the opening words of Rule 11-6(11): "[u]nless a court otherwise orders" failure to give notice means the objection cannot be heard at trial. Another illustration (although in the reverse in that it allows admission of evidence despite non-compliance with the Rules) is Rule 11-7(6).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the duty of the trial judge to ensure evidence admitted onto the record is both relevant and admissible but the plaintiff has the burden of establishing that Mr. Myszkowski is qualified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parties agree the applicable legal principles remain the SCC's test from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to be admissible, expert evidence must be relevant, necessary to the assist the court, not precluded by any exclusionary rule and come from a properly qualified expert. Thus, even if the defendant fails here in its bid to raise an objection at trial to the expertise of Mr. Myszkowski, it is my duty to ensure his evidence is admissible. The SCC has suggested trial judges must take seriously the role of "gatekeeper" and not simply relegate all concerns about expert evidence to weight (see </w:t>
      </w:r>
      <w:r>
        <w:rPr>
          <w:rFonts w:ascii="arial" w:eastAsia="arial" w:hAnsi="arial" w:cs="arial"/>
          <w:i/>
          <w:color w:val="000000"/>
          <w:sz w:val="20"/>
          <w:lang w:val="en-US" w:eastAsia="en-US" w:bidi="ar-SA"/>
        </w:rPr>
        <w:t>R. v. C.J.</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2000 SCC 51</w:t>
        </w:r>
      </w:hyperlink>
      <w:r>
        <w:rPr>
          <w:rFonts w:ascii="arial" w:eastAsia="arial" w:hAnsi="arial" w:cs="arial"/>
          <w:color w:val="000000"/>
          <w:sz w:val="20"/>
          <w:lang w:val="en-US" w:eastAsia="en-US" w:bidi="ar-SA"/>
        </w:rPr>
        <w:t xml:space="preserve"> at para. 28 referring to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this case, independent of the defendant's objections, I raised with counsel some concerns with the expert evidence after the video deposition was 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I understand the evidence and issues thus far, the plaintiff argues that the defendant was negligent in part because there was an insufficient "check" of headphone placement prior to the MRI. Indeed, the issue may very well come down to what is necessary to do a proper check: a visual inspection, or a physical inspection? I hasten to add that obviously at mid-trial, I cannot be certain what all the factual issues will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Myszkowski is offered to provide opinion evidence on "whether or not the standard of care provided by the MRI technologist to the plaintiff was met, or not, relating to hearing loss injury sustained by the plaintiff". To answer that, he was asked the following questions, which I have paraphrased from his report: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hearing protection, what is the responsibility of MRI technologist conducting the MRI?</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steps must MRI technologist take to protect a patient's hearing?</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those steps the usual practice of MRI technologist in January 2008?</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an MRI technologist meet the standard of care if he or she fails to check the hearing protection for damage prior to giving it to the patient?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MRI technologist meet the standard of care if he or she fails to check that the patient is wearing the hearing protection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Myszkowski clearly has a lot of experience performing MRI's, having done them extensively for seven years and with less frequency for three years after that. He is likely qualified as an expert to assist the court to understand how an MRI is conducted, and that may even extend to what is done to protect a patient's hearing during the procedure (questions 1 &amp; 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that he lacks appropriate qualification to opine on questions 3, 4 and 5 in his report for all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has not trained or educated any MRI technologist other than orientating them to the particular facility at which he works. He agreed that he has no experience seeing MRI's conducted at any facility except the one he works at. He agreed he cannot tell the court what the expectations of an MRI technologist at any other facility could be. Mr. Myszkowski stated he "expected the standards" would be similar, that that is not based on his experience at, or review of, any of other facility, or of any other facility's policies or procedures. His attendance at any other clinics was solely for the purpose of examining scanners for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also confirmed that his opinion of what the MRI technologist did at UBC during the scan in question in January in 2008 is based only on what he has done at the clinic at which he works. No written policies or protocols from that facility were appended to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Furthermore, Mr. Myszkowski's evidence about standard of care relates solely to experience. He was asked during his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haven't reviewed policies either from the [Canadian Association of Medical Radiology Technologist] or from the Alberta [equivalent] organization?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those policies may or may not have addressed the specific factual issue before this court, it concerns me that an expert would not automatically review his or her professional governing body's "best practices" in a report regardless of whether they were incorporated. I would expect those policies to be referred to as a source of at least some of his knowledge underlying his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Plaintiff's counsel wanted to admit into evidence a letter from Mr. Myszkowski which purported to clarify what he meant by the answer quoted above. I do not admit the letter into evidence because it provides another opinion without notice. More importantly, the content of that letter is not helpful to me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My last concern is Mr. Myszkowski's testimony that he submitted his opinion to another organization for "approval". I repeat that part of the transcript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an e-mail recorded here from you to [plaintiff's counsel] on June 24, 2014 and it says: Hi Kristina. I've submitted a draft of my letter to CanLNC for approval before I forward on to you. I will e-mail you when it's complete. If you need anything else please let me know, Rick.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tell me what that CanLNC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my knowledge, they have found expert opinion witnesses or people to provide letters for other services, I believe it's primarily nursing, but they have expressed interest in the past for some MRI and CT issues. That's how I know of that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submitted to them a draft of your opinion for their approval?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It was primarily just to ensure that I had things worded correctly.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if there were any suggested changes that came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what those changes were?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Primarily sentence structure, things like that. Just to ensure what I was saying was being said correctly.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evidence raises with me a serious issue as to whether the opinion expressed in the report is truly only that of Mr. Myszkowski, or also represents what some other organization, of which I know nothing about, thinks is appropriate for use in court. More information would be needed on that matter to address the concern I have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Nevertheless, even without this last concern, it is my view that questions 3, 4 and 5, of Mr. Myszkowski's report are inadmissible because he lacks qualification to opine on those matters. I find his answer to questions 1 and 2 to be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Proprietary Industries Inc. v. Cibc World Markets Inc., [2002] I.L.R. para. G-1571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Harvey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July 3, 2002.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2002</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[2002] I.L.R. para. G-1571</w:t>
      </w:r>
    </w:p>
    <w:p>
      <w:pPr>
        <w:spacing w:before="120" w:line="260" w:lineRule="atLeast"/>
        <w:rPr>
          <w:lang w:val="en-US" w:eastAsia="en-US" w:bidi="ar-SA"/>
        </w:rPr>
      </w:pPr>
      <w:r>
        <w:rPr>
          <w:rFonts w:ascii="arial" w:eastAsia="arial" w:hAnsi="arial" w:cs="arial"/>
          <w:color w:val="000000"/>
          <w:sz w:val="20"/>
          <w:lang w:val="en-US" w:eastAsia="en-US" w:bidi="ar-SA"/>
        </w:rPr>
        <w:t>Proprietary Industries Inc. v. Cibc World Markets Inc.</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5" style="position:absolute;z-index:2516695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2" w:name="Keywords_2"/>
      <w:bookmarkEnd w:id="32"/>
      <w:r>
        <w:rPr>
          <w:rFonts w:ascii="arial" w:eastAsia="arial" w:hAnsi="arial" w:cs="arial"/>
          <w:b/>
          <w:color w:val="000000"/>
          <w:sz w:val="20"/>
          <w:lang w:val="en-US" w:eastAsia="en-US" w:bidi="ar-SA"/>
        </w:rPr>
        <w:t xml:space="preserve">Negligent misstatement — Preparation of fairness opinion by investment banker — Economic loss caused by failed takeover bid — No reliance on misstatement pleaded by plaintiff — No action for negligent misstatement — Pleadings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not struck out.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3" w:name="Case Summary_2"/>
            <w:bookmarkEnd w:id="33"/>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application to strike out pleadings as disclosing no cause of action. The plaintiff, a minority shareholder of D, claimed it suffered economic loss because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the preparation of a fairness opinion contracted for by D in relation to a takeover bid. The defendant argued that the claim was in fact one for negligent misstatement, and the plaintiff had not pleaded any actual reliance on the misstatements. The plaintiff had purchased shares of D, and launched a competing takeover bid. It argued that because of reliance on the fairness opinion, A's takeover bid was successful and the plaintiff's failed. The plaintiff alleged that statements in the fairness opinion were untrue, and the defendant had breached a duty of care to the shareholders of D. </w:t>
            </w:r>
            <w:r>
              <w:rPr>
                <w:lang w:val="en-US" w:eastAsia="en-US" w:bidi="ar-SA"/>
              </w:rPr>
              <w:cr/>
            </w:r>
          </w:p>
          <w:p>
            <w:pPr>
              <w:spacing w:before="120" w:line="260" w:lineRule="atLeast"/>
              <w:ind w:left="240"/>
              <w:jc w:val="both"/>
              <w:rPr>
                <w:lang w:val="en-US" w:eastAsia="en-US" w:bidi="ar-SA"/>
              </w:rPr>
            </w:pPr>
            <w:bookmarkStart w:id="34" w:name="Holdings of Court_2"/>
            <w:bookmarkEnd w:id="34"/>
            <w:r>
              <w:rPr>
                <w:rFonts w:ascii="arial" w:eastAsia="arial" w:hAnsi="arial" w:cs="arial"/>
                <w:color w:val="000000"/>
                <w:sz w:val="20"/>
                <w:lang w:val="en-US" w:eastAsia="en-US" w:bidi="ar-SA"/>
              </w:rPr>
              <w:t>HELD: The pleadings were not struck out.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Reasonable, actual reliance on the defendant's statements was a necessary component of a claim in negligent misrepresentation. The actions of the plaintiff in purchasing shares and commencing its own takeover bid could not be characterized as actual reliance on the misstatements. The plaintiff's loss had not been shown to have been caused by reliance on the fairness opinion, since it was the reliance of other shareholders on the opinion, and their votes in favour of A's bid, that led to the loss. While the claim for negligent misrepresentation could not succeed, the pleadings did reveal a claim for negligent performance of services. The law relating to the duty of care between investment bankers preparing fairness opinions and non-privity shareholders in the context of corporate mergers, was unsettled, and the issue should be addressed at a full trial. Therefore the pleadings were allowed to stand.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20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Rossner v. Nystrom, [2019] B.C.J. No. 660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Marchand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54573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660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583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89 C.L.R. (4th) 332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1000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Trevor Rossner and Rose Rossner, Plaintiffs, and Gary Nystrom and Shannon Nystrom,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jc w:val="both"/>
        <w:rPr>
          <w:rFonts w:ascii="arial" w:eastAsia="arial" w:hAnsi="arial" w:cs="arial"/>
          <w:sz w:val="20"/>
          <w:lang w:val="en-US" w:eastAsia="en-US" w:bidi="ar-SA"/>
        </w:rPr>
      </w:pPr>
      <w:bookmarkStart w:id="35" w:name="Counsel_7"/>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M.S. Dugas.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 Hankins.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7"/>
      <w:bookmarkEnd w:id="36"/>
      <w:r>
        <w:pict>
          <v:line id="_x0000_s1058"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MARCHAND J."/>
            <w:bookmarkEnd w:id="37"/>
            <w:r>
              <w:rPr>
                <w:rFonts w:ascii="arial" w:eastAsia="arial" w:hAnsi="arial" w:cs="arial"/>
                <w:b/>
                <w:color w:val="000000"/>
                <w:sz w:val="30"/>
                <w:lang w:val="en-US" w:eastAsia="en-US" w:bidi="ar-SA"/>
              </w:rPr>
              <w:t>MARCHAND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is nothing more frustrating in civil litigation than obtaining a hollow judgment. It is natural in such circumstances for the "successful" party to search for an alternative way to make good their loss. And so it is for the plaintiffs in this case, Trevor and Rose Rossner.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2014, the Rossners contracted Momentum Designs Ltd. ("Momentum") to construct a custom home for them in Coldstream. Unfortunately, the construction did not go well. In 2016, Momentum sued the Rossners and the Rossners counterclaimed against Momentum.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Soon after the commencement of the litigation, Momentum ceased operations. On July 10, 2017, the Rossners sought judgment against Momentum by way of summary trial. Momentum did not appear at the hearing and the Rossners obtained judgment. The Rossners have had no success collecting on their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December 8, 2017, the Rossners commenced this action against Shannon and Gary Nystrom. Ms. Nystrom was the sole director and Mr. Nystrom was a key employee of Momentum. To pierce the corporate veil, the Rossners allege that the Nystroms committed various forms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Nystroms have applied to strike the Rossners' claim on the basis that it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in the alternative,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Rossners say that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does not apply to their present action because the parties and causes of action are different. In the alternative, the Rossners say it would be manifestly unfair for the court to dismiss their present action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submit that the court should exercise its discretion against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Rossners also say that they are not re-litigating issues and there is nothing abusive about their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summarizing the relevant background, I rely heavily on an Agreed Statement of Facts submitted by the parties for the purposes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Rossners own property at 8776 Cortland Place in Coldstream (the "property"). In 2014, the Rossners contracted with Momentum (the "contract") to construct a custom home on the property (the "home"). Construction commenced in 2015 and continued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or about February 2016, a dispute arose between the Rossners and Momentum with respect to the construction of the home and the contract. The dispute involved the following issues and allegations: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if any, remained payable by the Rossners to Momentum for the construction of the home pursuant to the contract;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were payable by the Rossners to Momentum for extra work that Momentum alleged it had undertaken in relation to the construction of the home;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status of payments already made by the Rossners to Momentum pursuant to the contract;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Momentum was current with its payment obligations in relation to sub-trades and suppliers that were involved in the construction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 letter to Momentum dated February 28, 2016, previous counsel for the Rossners detailed the basic facts about the construction of the home and identified a number of the issues that had arisen, including issues with respect to liens filed by various sub-trades against the property. In this letter, previous counsel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behalf of the Rossners, we demand that Momentum pay the lien claimants and have the liens discharged forthwith or I expect to receive instructions to commence litigation against Momentum for damages and against Shannon Nystrom as the director of Momentum for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March 21, 2016, Momentum filed two claims of lien against the property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 xml:space="preserve"> in the amounts of $71,500 and $70,309.67.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May 9, 2016, Momentum filed a notice of civil claim seeking judgment against the Rossners for payment of money allegedly owed under the contract and for extra work that Momentum alleged had been undertaken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2, 2016, the Rossners filed a response to civil claim and a counterclaim in the original action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June 2, 2016, the Rossners: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aware there was a dispute over what, if any, amounts remained payable by the Rossners to Momentum;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aware several builders liens had been registered against title to the property for work that had been done on the property by sub-trades that Momentum had failed to pay;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aware the sub-trade liens had been registered against the property for invoices that became due and payable around the same time that Mr. Nystrom had sworn statutory declarations indicating that payment of the sub-trades (with the exception of one sub-trade) was current and there were no outstanding invoices;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aware the total sum of the amounts alleged to be outstanding in the sub-trade liens was in excess of what the Rossners believed remained payable to Momentum under the terms of the contract;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suspicious about whether the funds that had been paid to date to Momentum pursuant to the contract had been utilized by Momentum for the purposes of constructing the home or for some other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Rossners' counterclaim made allegations with respect to the amounts paid and payable to Momentum, the quality of the work provided by Momentum, and set-offs for penalties the Rossners alleged they were entitled to claim in relation to construction delays. The counterclaim pleaded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counterclaim did not allege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or about May 31, 2016, Momentum ceased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or about October 20, 2016, Ms. Nystrom was assigned into bankruptcy. Ms. Nystrom's statement of liabilities in her assignment into bankruptcy listed potential damages owing to the Rossners as a contingent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July 10, 2017, the Rossners sought judgment against Momentum in the original action by way of summary trial. Momentum did not appear at the summary trial and the Rossners were self-represented. During the summary trial, the Rossners brought the following allegations to the attention of the summary trial judge: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Nystrom had signed a statutory declaration which contained false statements;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alleged to be outstanding in the liens exceeded what the Rossners believed remained payable to Momentum under the terms of the contract;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Momentum (Mr. Nystrom) provided fabricated change orders in relation to the construction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July 10, 2017, the summary trial judge granted judgment in favour of the Rossners. Specifically, the summary trial judge dismissed the original action and awarded the damages sought by the Rossners in the counterclaim,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or about July 21, 2017, Ms. Nystrom was discharged from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December 8, 2017, the Rossners commenced this action against the Nystroms personally seeking damages arising out of the construction of the home and the contract. The Rossners were not aware of any new facts at the time they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their notice of civil claim, the Rossners allege that Momentum was a "shell corporation" used by the Nystroms to defraud them. The Rossners rely on the same alleged shortcomings in the construction of their home as set out in their earlier counterclaim. In addition, in their notice of civil claim, the Rossners allege the Nystroms: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Prepared fraudulent change orders in relation to work already covered by the contract and attempted to intimidate and coerce the Rossners into accepting changes to the contract;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Filed fraudulent builders liens against the title;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Fraudulently created invoices and charges for work not performed;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Fraudulently provided statutory declarations to obtain funds from the Rossners;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Conspired to receive and divert the Rossners' funds for their own benefit;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Wrongfully and fraudulently misappropriated the Rossners' funds and converted them for their own benefit;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unjustly enriched;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Breached fiduciary duties; and</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Committed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January 24, 2018, the Rossners filed a notice of claim in Small Claims Court against their previous counsel. Amongst other things, the Rossners allege their previous counsel was negligent for failing to "follow through with what he said he would do", namely not naming Ms. Nystrom in the original action "for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legal principles underlying the Nystroms' application are not in dispute.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Erschbamer v. Wallster</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2013 BCCA 76</w:t>
        </w:r>
      </w:hyperlink>
      <w:r>
        <w:rPr>
          <w:rFonts w:ascii="arial" w:eastAsia="arial" w:hAnsi="arial" w:cs="arial"/>
          <w:color w:val="000000"/>
          <w:sz w:val="20"/>
          <w:lang w:val="en-US" w:eastAsia="en-US" w:bidi="ar-SA"/>
        </w:rPr>
        <w:t xml:space="preserve">, the Court of Appeal succinctly explained the general principles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general principles of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were reviewed by this Court relatively recently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The doctrine has two aspects, issue estoppel and cause of action estoppel. In brief terms, issue estoppel prevents a litigant from raising an issue that has already been decided in a previous proceeding. Cause of action estoppel prevents a litigant from pursuing a matter that was or should have been the subject of a previous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Cliffs Over Maple Bay (Re)</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2011 BCCA 180</w:t>
        </w:r>
      </w:hyperlink>
      <w:r>
        <w:rPr>
          <w:rFonts w:ascii="arial" w:eastAsia="arial" w:hAnsi="arial" w:cs="arial"/>
          <w:color w:val="000000"/>
          <w:sz w:val="20"/>
          <w:lang w:val="en-US" w:eastAsia="en-US" w:bidi="ar-SA"/>
        </w:rPr>
        <w:t xml:space="preserve">, the Court noted that the policy objectives underlying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are generally well known. At para. 25, the Court cited the following passage from the authors of Spencer Bower and Turner, </w:t>
      </w:r>
      <w:r>
        <w:rPr>
          <w:rFonts w:ascii="arial" w:eastAsia="arial" w:hAnsi="arial" w:cs="arial"/>
          <w:i/>
          <w:color w:val="000000"/>
          <w:sz w:val="20"/>
          <w:lang w:val="en-US" w:eastAsia="en-US" w:bidi="ar-SA"/>
        </w:rPr>
        <w:t>The Doctrine of Res Judicata</w:t>
      </w:r>
      <w:r>
        <w:rPr>
          <w:rFonts w:ascii="arial" w:eastAsia="arial" w:hAnsi="arial" w:cs="arial"/>
          <w:color w:val="000000"/>
          <w:sz w:val="20"/>
          <w:lang w:val="en-US" w:eastAsia="en-US" w:bidi="ar-SA"/>
        </w:rPr>
        <w:t xml:space="preserve"> (4th ed.,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policies support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estoppel: the interest of the community in the termination of disputes and the finality and conclusiveness of judicial decisions; and the interest of an individual in being protected from repeated suits and prosecutions for the same cause. Maugham L.C.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doctrine of estoppel is one founded on considerations of justice and good sense. If an issue has been distinctly raised and decided in an action, in which the parties are represented, it is unjust and unreasonable to permit the same issue to be litigated afresh between the same parties or persons claiming under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para. 26, the Court went on to emphasize, however, that there is balance to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Appellate courts in Canada have emphasized that the importance of finality and the principle that a party should not be 'twice vexed' (</w:t>
      </w:r>
      <w:r>
        <w:rPr>
          <w:rFonts w:ascii="arial" w:eastAsia="arial" w:hAnsi="arial" w:cs="arial"/>
          <w:i/>
          <w:color w:val="000000"/>
          <w:sz w:val="20"/>
          <w:lang w:val="en-US" w:eastAsia="en-US" w:bidi="ar-SA"/>
        </w:rPr>
        <w:t>bis vixari</w:t>
      </w:r>
      <w:r>
        <w:rPr>
          <w:rFonts w:ascii="arial" w:eastAsia="arial" w:hAnsi="arial" w:cs="arial"/>
          <w:color w:val="000000"/>
          <w:sz w:val="20"/>
          <w:lang w:val="en-US" w:eastAsia="en-US" w:bidi="ar-SA"/>
        </w:rPr>
        <w:t xml:space="preserve">) for the same cause, must be balanced against the other "fundamental principle" (see </w:t>
      </w:r>
      <w:r>
        <w:rPr>
          <w:rFonts w:ascii="arial" w:eastAsia="arial" w:hAnsi="arial" w:cs="arial"/>
          <w:i/>
          <w:color w:val="000000"/>
          <w:sz w:val="20"/>
          <w:lang w:val="en-US" w:eastAsia="en-US" w:bidi="ar-SA"/>
        </w:rPr>
        <w:t>Hoque</w:t>
      </w:r>
      <w:r>
        <w:rPr>
          <w:rFonts w:ascii="arial" w:eastAsia="arial" w:hAnsi="arial" w:cs="arial"/>
          <w:color w:val="000000"/>
          <w:sz w:val="20"/>
          <w:lang w:val="en-US" w:eastAsia="en-US" w:bidi="ar-SA"/>
        </w:rPr>
        <w:t xml:space="preserve"> at para. 21) that courts are reluctant to deprive litigants of the right to have their cases decided on the merits: see </w:t>
      </w:r>
      <w:r>
        <w:rPr>
          <w:rFonts w:ascii="arial" w:eastAsia="arial" w:hAnsi="arial" w:cs="arial"/>
          <w:i/>
          <w:color w:val="000000"/>
          <w:sz w:val="20"/>
          <w:lang w:val="en-US" w:eastAsia="en-US" w:bidi="ar-SA"/>
        </w:rPr>
        <w:t>Toronto (City) v. Canadian Union of Public Employees, Local 79</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Revane v. Homersham</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2006 BCCA 8</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53 B.C.L.R. (4th) 76</w:t>
        </w:r>
      </w:hyperlink>
      <w:r>
        <w:rPr>
          <w:rFonts w:ascii="arial" w:eastAsia="arial" w:hAnsi="arial" w:cs="arial"/>
          <w:color w:val="000000"/>
          <w:sz w:val="20"/>
          <w:lang w:val="en-US" w:eastAsia="en-US" w:bidi="ar-SA"/>
        </w:rPr>
        <w:t xml:space="preserve"> (C.A.) at paras. 16-7; Lange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case, the Nystroms submit that both aspects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(issue estoppel and cause of action estoppel) arise on their application. I will therefore outline the requirements of each below. As will be seen, each aspect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overlaps but has slightly different requirements.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the Court set out the test for issue estoppel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Turning then to issue estoppel, I note the three traditional "tests" adopted by the Supreme Court of Canada in </w:t>
      </w:r>
      <w:r>
        <w:rPr>
          <w:rFonts w:ascii="arial" w:eastAsia="arial" w:hAnsi="arial" w:cs="arial"/>
          <w:i/>
          <w:color w:val="000000"/>
          <w:sz w:val="20"/>
          <w:lang w:val="en-US" w:eastAsia="en-US" w:bidi="ar-SA"/>
        </w:rPr>
        <w:t>Angle</w:t>
      </w:r>
      <w:r>
        <w:rPr>
          <w:rFonts w:ascii="arial" w:eastAsia="arial" w:hAnsi="arial" w:cs="arial"/>
          <w:color w:val="000000"/>
          <w:sz w:val="20"/>
          <w:lang w:val="en-US" w:eastAsia="en-US" w:bidi="ar-SA"/>
        </w:rPr>
        <w:t>, namely:</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color w:val="000000"/>
          <w:sz w:val="20"/>
          <w:u w:val="single"/>
          <w:lang w:val="en-US" w:eastAsia="en-US" w:bidi="ar-SA"/>
        </w:rPr>
        <w:t>the same question has been decided</w:t>
      </w:r>
      <w:r>
        <w:rPr>
          <w:rFonts w:ascii="arial" w:eastAsia="arial" w:hAnsi="arial" w:cs="arial"/>
          <w:color w:val="000000"/>
          <w:sz w:val="20"/>
          <w:lang w:val="en-US" w:eastAsia="en-US" w:bidi="ar-SA"/>
        </w:rPr>
        <w:t>;</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which is said to create the estoppel was final; and,</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proceedings in which the estoppel is raised, or their privies. ... [At 254...]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also the well-known formulation of issue estoppel given by Middleton J.A. in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xml:space="preserve"> (Ont.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question is litigated, the judgment of the Court is a final determination as between the parties and their privies. </w:t>
      </w:r>
      <w:r>
        <w:rPr>
          <w:rFonts w:ascii="arial" w:eastAsia="arial" w:hAnsi="arial" w:cs="arial"/>
          <w:color w:val="000000"/>
          <w:sz w:val="20"/>
          <w:u w:val="single"/>
          <w:lang w:val="en-US" w:eastAsia="en-US" w:bidi="ar-SA"/>
        </w:rPr>
        <w:t>Any right, question, or fact distinctly put in issue and directly determined</w:t>
      </w:r>
      <w:r>
        <w:rPr>
          <w:rFonts w:ascii="arial" w:eastAsia="arial" w:hAnsi="arial" w:cs="arial"/>
          <w:color w:val="000000"/>
          <w:sz w:val="20"/>
          <w:lang w:val="en-US" w:eastAsia="en-US" w:bidi="ar-SA"/>
        </w:rPr>
        <w:t xml:space="preserve"> by a Court of competent jurisdiction as a ground of recovery, or as an answer to a claim set up, cannot be re-tried in a subsequent suit between the same parties or their privies, though for a different cause of action. The right, question, or fact, once determined, must, as between them, be taken to be conclusively established so long as the judgment remains. [At 422...]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by the Court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At para. 32, the Court noted that the words "directly determined" have "not been construed as strictly as one might expect." More specifically, citing Binnie J. in </w:t>
      </w:r>
      <w:r>
        <w:rPr>
          <w:rFonts w:ascii="arial" w:eastAsia="arial" w:hAnsi="arial" w:cs="arial"/>
          <w:i/>
          <w:color w:val="000000"/>
          <w:sz w:val="20"/>
          <w:lang w:val="en-US" w:eastAsia="en-US" w:bidi="ar-SA"/>
        </w:rPr>
        <w:t>Danyluk v. Ainsworth Technologies Ltd.</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the Court noted that issue estoppel applies "to the issues of fact, law, and mixed fact and law that are necessarily bound up with the determination of that 'issue' in the prior proceeding". The Court then went on to cite with approval the following passage from Lord Shaw in </w:t>
      </w:r>
      <w:r>
        <w:rPr>
          <w:rFonts w:ascii="arial" w:eastAsia="arial" w:hAnsi="arial" w:cs="arial"/>
          <w:i/>
          <w:color w:val="000000"/>
          <w:sz w:val="20"/>
          <w:lang w:val="en-US" w:eastAsia="en-US" w:bidi="ar-SA"/>
        </w:rPr>
        <w:t>Hoystead v. Taxation Commissioner</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[1926] A.C. 155</w:t>
        </w:r>
      </w:hyperlink>
      <w:r>
        <w:rPr>
          <w:rFonts w:ascii="arial" w:eastAsia="arial" w:hAnsi="arial" w:cs="arial"/>
          <w:color w:val="000000"/>
          <w:sz w:val="20"/>
          <w:lang w:val="en-US" w:eastAsia="en-US" w:bidi="ar-SA"/>
        </w:rPr>
        <w:t xml:space="preserve"> (J.C.P.C.):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...Parties are not permitted to begin fresh litigations because of new views they may entertain of the law of the case, or new versions which they present as to what should be a proper apprehension by the Court of the legal result either of the construction of the documents or the weight of certain circumstances. If this were permitted litigation would have no end, except when legal ingenuity is exhausted. It is a principle of law that this cannot be permitted, and there is abundant authority reiterating that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the book by D.J.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4th ed. (Markham: LexisNexis: 2015) the author addresses what amounts to "the same question" at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to be decided in the second proceeding must be the same question that has been decided in the first proceeding.</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decided in the first proceeding, governing the same question test in the second proceeding, must be fundamental to the decision in the first proceeding, not collateral to the decision.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decided in the first proceeding, governing the same question test in the second proceeding, includes all the subject matter encompassing the question whether decided expressly or by necessary logical consequence.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question has been decided in the first proceeding, the same question cannot be relitigated in a second proceeding based on a separate and distinct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court has cited the same passage from earlier editions of D.J. Lange's text: see for example </w:t>
      </w:r>
      <w:r>
        <w:rPr>
          <w:rFonts w:ascii="arial" w:eastAsia="arial" w:hAnsi="arial" w:cs="arial"/>
          <w:i/>
          <w:color w:val="000000"/>
          <w:sz w:val="20"/>
          <w:lang w:val="en-US" w:eastAsia="en-US" w:bidi="ar-SA"/>
        </w:rPr>
        <w:t>Bence v. Okanagan-Similkameen (Regional District)</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2002 BCSC 1622</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Samaroo v. Canada Revenue Agency</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2016 BCSC 531</w:t>
        </w:r>
      </w:hyperlink>
      <w:r>
        <w:rPr>
          <w:rFonts w:ascii="arial" w:eastAsia="arial" w:hAnsi="arial" w:cs="arial"/>
          <w:color w:val="000000"/>
          <w:sz w:val="20"/>
          <w:lang w:val="en-US" w:eastAsia="en-US" w:bidi="ar-SA"/>
        </w:rPr>
        <w:t xml:space="preserve"> at para. 108; </w:t>
      </w:r>
      <w:r>
        <w:rPr>
          <w:rFonts w:ascii="arial" w:eastAsia="arial" w:hAnsi="arial" w:cs="arial"/>
          <w:i/>
          <w:color w:val="000000"/>
          <w:sz w:val="20"/>
          <w:lang w:val="en-US" w:eastAsia="en-US" w:bidi="ar-SA"/>
        </w:rPr>
        <w:t>Drein v. Puleos</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2016 BCSC 593</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Giles v. Westminster Savings Credit Union</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2006 BCSC 1600</w:t>
        </w:r>
      </w:hyperlink>
      <w:r>
        <w:rPr>
          <w:rFonts w:ascii="arial" w:eastAsia="arial" w:hAnsi="arial" w:cs="arial"/>
          <w:color w:val="000000"/>
          <w:sz w:val="20"/>
          <w:lang w:val="en-US" w:eastAsia="en-US" w:bidi="ar-SA"/>
        </w:rPr>
        <w:t>, Sigurdson J. reviewed the question of who is a "privy":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First of all, as to the third ground, who is a privy?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In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2d ed.,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author describes what a privy is at p. 77: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privy of a party has been variously defined in issue estoppel cases. Before a person can be a privy of a party, there must be community or privity of interest between them, or a unity of interest between them. They cannot be different in substance. Privity can be one of blood, title, or interest. A person who is privy in interest to a party in an action and has notice of that action is equally bound by the findings in that action. A privy is a person who has a right to participate with a party in the proceeding or who has a participatory interest in its outcome. A person who has no right to participate as a party in a proceeding lacks a due process requirement to make a finding of privity of interest. To determine whether a person has a participatory interest in the outcome of the proceeding is to determine whether the outcome could affect the liability of that person. Privity requires parallel interest in the merits of the proceeding, not simply a financial interest in the result. However, a non-party who enters into a formal agreement with a party in a proceeding for disposing of the proceeds is a privy of that party and bound by the first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Delane Industry Co. Ltd. v. Atkinson</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2017 BCCA 79</w:t>
        </w:r>
      </w:hyperlink>
      <w:r>
        <w:rPr>
          <w:rFonts w:ascii="arial" w:eastAsia="arial" w:hAnsi="arial" w:cs="arial"/>
          <w:color w:val="000000"/>
          <w:sz w:val="20"/>
          <w:lang w:val="en-US" w:eastAsia="en-US" w:bidi="ar-SA"/>
        </w:rPr>
        <w:t>, at para. 25, the Court held that a director and officer of a company is a "privy" to the company for the purposes of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Cause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the Court set out the test for cause of action estoppel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 The traditional criteria for cause of action estoppel, confirmed in Canada in </w:t>
      </w:r>
      <w:r>
        <w:rPr>
          <w:rFonts w:ascii="arial" w:eastAsia="arial" w:hAnsi="arial" w:cs="arial"/>
          <w:i/>
          <w:color w:val="000000"/>
          <w:sz w:val="20"/>
          <w:lang w:val="en-US" w:eastAsia="en-US" w:bidi="ar-SA"/>
        </w:rPr>
        <w:t>Angle, supra</w:t>
      </w:r>
      <w:r>
        <w:rPr>
          <w:rFonts w:ascii="arial" w:eastAsia="arial" w:hAnsi="arial" w:cs="arial"/>
          <w:color w:val="000000"/>
          <w:sz w:val="20"/>
          <w:lang w:val="en-US" w:eastAsia="en-US" w:bidi="ar-SA"/>
        </w:rPr>
        <w:t xml:space="preserve">, were summarized by Chief Justice Hewak in </w:t>
      </w:r>
      <w:r>
        <w:rPr>
          <w:rFonts w:ascii="arial" w:eastAsia="arial" w:hAnsi="arial" w:cs="arial"/>
          <w:i/>
          <w:color w:val="000000"/>
          <w:sz w:val="20"/>
          <w:lang w:val="en-US" w:eastAsia="en-US" w:bidi="ar-SA"/>
        </w:rPr>
        <w:t>Bjarnarson v. Manitoba</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at 34,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(1987) 45 D.L.R. (4th) 766</w:t>
        </w:r>
      </w:hyperlink>
      <w:r>
        <w:rPr>
          <w:rFonts w:ascii="arial" w:eastAsia="arial" w:hAnsi="arial" w:cs="arial"/>
          <w:color w:val="000000"/>
          <w:sz w:val="20"/>
          <w:lang w:val="en-US" w:eastAsia="en-US" w:bidi="ar-SA"/>
        </w:rPr>
        <w:t xml:space="preserve"> (Man. C.A.), as taken from </w:t>
      </w:r>
      <w:r>
        <w:rPr>
          <w:rFonts w:ascii="arial" w:eastAsia="arial" w:hAnsi="arial" w:cs="arial"/>
          <w:i/>
          <w:color w:val="000000"/>
          <w:sz w:val="20"/>
          <w:lang w:val="en-US" w:eastAsia="en-US" w:bidi="ar-SA"/>
        </w:rPr>
        <w:t>Grandview v. Doering</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a </w:t>
      </w:r>
      <w:r>
        <w:rPr>
          <w:rFonts w:ascii="arial" w:eastAsia="arial" w:hAnsi="arial" w:cs="arial"/>
          <w:color w:val="000000"/>
          <w:sz w:val="20"/>
          <w:u w:val="single"/>
          <w:lang w:val="en-US" w:eastAsia="en-US" w:bidi="ar-SA"/>
        </w:rPr>
        <w:t>final decision</w:t>
      </w:r>
      <w:r>
        <w:rPr>
          <w:rFonts w:ascii="arial" w:eastAsia="arial" w:hAnsi="arial" w:cs="arial"/>
          <w:color w:val="000000"/>
          <w:sz w:val="20"/>
          <w:lang w:val="en-US" w:eastAsia="en-US" w:bidi="ar-SA"/>
        </w:rPr>
        <w:t xml:space="preserve"> of a court of competent jurisdiction in the prior action [the requirement of "finality"];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subsequent litigation must have been parties to or in privy with the parties to the prior action [the requirement of "mutuality"];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and the prior action must not be separate and distinct;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basis</w:t>
      </w:r>
      <w:r>
        <w:rPr>
          <w:rFonts w:ascii="arial" w:eastAsia="arial" w:hAnsi="arial" w:cs="arial"/>
          <w:color w:val="000000"/>
          <w:sz w:val="20"/>
          <w:lang w:val="en-US" w:eastAsia="en-US" w:bidi="ar-SA"/>
        </w:rPr>
        <w:t xml:space="preserve"> of the cause of action and the subsequent action was argued or </w:t>
      </w:r>
      <w:r>
        <w:rPr>
          <w:rFonts w:ascii="arial" w:eastAsia="arial" w:hAnsi="arial" w:cs="arial"/>
          <w:color w:val="000000"/>
          <w:sz w:val="20"/>
          <w:u w:val="single"/>
          <w:lang w:val="en-US" w:eastAsia="en-US" w:bidi="ar-SA"/>
        </w:rPr>
        <w:t>could have been argued in the prior action if the parties had exercised reasonable diligence</w:t>
      </w:r>
      <w:r>
        <w:rPr>
          <w:rFonts w:ascii="arial" w:eastAsia="arial" w:hAnsi="arial" w:cs="arial"/>
          <w:color w:val="000000"/>
          <w:sz w:val="20"/>
          <w:lang w:val="en-US" w:eastAsia="en-US" w:bidi="ar-SA"/>
        </w:rPr>
        <w:t>. [At para.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perhaps unnecessary to state that the doctrine contemplates two "causes" - the first having ended in a final judgment that bars a "second claim for the same cause": see </w:t>
      </w:r>
      <w:r>
        <w:rPr>
          <w:rFonts w:ascii="arial" w:eastAsia="arial" w:hAnsi="arial" w:cs="arial"/>
          <w:i/>
          <w:color w:val="000000"/>
          <w:sz w:val="20"/>
          <w:lang w:val="en-US" w:eastAsia="en-US" w:bidi="ar-SA"/>
        </w:rPr>
        <w:t>Mohl v. University of British Columbia</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at paras. 23-4. In this context, "cause of action" does not refer to the name or classification given to the wrong or remedy, but to a factual situation which entitles one to a remedy: see also Lange at 147; </w:t>
      </w:r>
      <w:r>
        <w:rPr>
          <w:rFonts w:ascii="arial" w:eastAsia="arial" w:hAnsi="arial" w:cs="arial"/>
          <w:i/>
          <w:color w:val="000000"/>
          <w:sz w:val="20"/>
          <w:lang w:val="en-US" w:eastAsia="en-US" w:bidi="ar-SA"/>
        </w:rPr>
        <w:t>Comeau v. Breau</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(1994) 145 N.B.R. (2d) 329</w:t>
        </w:r>
      </w:hyperlink>
      <w:r>
        <w:rPr>
          <w:rFonts w:ascii="arial" w:eastAsia="arial" w:hAnsi="arial" w:cs="arial"/>
          <w:color w:val="000000"/>
          <w:sz w:val="20"/>
          <w:lang w:val="en-US" w:eastAsia="en-US" w:bidi="ar-SA"/>
        </w:rPr>
        <w:t xml:space="preserve"> (C.A.) at para. 18; and </w:t>
      </w:r>
      <w:r>
        <w:rPr>
          <w:rFonts w:ascii="arial" w:eastAsia="arial" w:hAnsi="arial" w:cs="arial"/>
          <w:i/>
          <w:color w:val="000000"/>
          <w:sz w:val="20"/>
          <w:lang w:val="en-US" w:eastAsia="en-US" w:bidi="ar-SA"/>
        </w:rPr>
        <w:t>Letang v. Cooper</w:t>
      </w:r>
      <w:r>
        <w:rPr>
          <w:rFonts w:ascii="arial" w:eastAsia="arial" w:hAnsi="arial" w:cs="arial"/>
          <w:color w:val="000000"/>
          <w:sz w:val="20"/>
          <w:lang w:val="en-US" w:eastAsia="en-US" w:bidi="ar-SA"/>
        </w:rPr>
        <w:t xml:space="preserve"> [1965] 1 Q.B. 222 (C.A.) at 242-43.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by the Court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first two criteria in cause of action estoppel match the last two criteria of issue estoppel as set out by the Court at para. 31 of its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Grant McLeod Contracting Ltd. v. Forestech Industries Ltd.</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2008 BCSC 756</w:t>
        </w:r>
      </w:hyperlink>
      <w:r>
        <w:rPr>
          <w:rFonts w:ascii="arial" w:eastAsia="arial" w:hAnsi="arial" w:cs="arial"/>
          <w:color w:val="000000"/>
          <w:sz w:val="20"/>
          <w:lang w:val="en-US" w:eastAsia="en-US" w:bidi="ar-SA"/>
        </w:rPr>
        <w:t>, Josephson J. examined the third criteria, in particular what constitutes a "cause of action" and how one cause of action can be distinguished from another: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the issue estoppel case of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Binnie J. for the Court provided the following definition of "cause of action" at para 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cause of action has traditionally been defined as comprising every fact which it would be necessary for the plaintiff to prove, if disputed, in order to support his or her right to the judgment of the court: </w:t>
      </w:r>
      <w:r>
        <w:rPr>
          <w:rFonts w:ascii="arial" w:eastAsia="arial" w:hAnsi="arial" w:cs="arial"/>
          <w:i/>
          <w:color w:val="000000"/>
          <w:sz w:val="20"/>
          <w:lang w:val="en-US" w:eastAsia="en-US" w:bidi="ar-SA"/>
        </w:rPr>
        <w:t>Poucher v. Wilkins</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(1915), 33 O.L.R. 125</w:t>
        </w:r>
      </w:hyperlink>
      <w:r>
        <w:rPr>
          <w:rFonts w:ascii="arial" w:eastAsia="arial" w:hAnsi="arial" w:cs="arial"/>
          <w:color w:val="000000"/>
          <w:sz w:val="20"/>
          <w:lang w:val="en-US" w:eastAsia="en-US" w:bidi="ar-SA"/>
        </w:rPr>
        <w:t xml:space="preserve"> (C.A.). Establishing each such fact (sometimes referred to as material facts) constitutes a precondition to success. It is apparent that different causes of action may have one or more material facts in common.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w:t>
      </w:r>
      <w:r>
        <w:rPr>
          <w:rFonts w:ascii="arial" w:eastAsia="arial" w:hAnsi="arial" w:cs="arial"/>
          <w:i/>
          <w:color w:val="000000"/>
          <w:sz w:val="20"/>
          <w:lang w:val="en-US" w:eastAsia="en-US" w:bidi="ar-SA"/>
        </w:rPr>
        <w:t>Schrer v. Price Waterhouse</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[1985] O.J. No. 881</w:t>
        </w:r>
      </w:hyperlink>
      <w:r>
        <w:rPr>
          <w:rFonts w:ascii="arial" w:eastAsia="arial" w:hAnsi="arial" w:cs="arial"/>
          <w:color w:val="000000"/>
          <w:sz w:val="20"/>
          <w:lang w:val="en-US" w:eastAsia="en-US" w:bidi="ar-SA"/>
        </w:rPr>
        <w:t xml:space="preserve"> (H.C.J.) (QL) Sutherland J. attempted to distinguish the same cause of action from a separate and distinct cause of action in the context of cause of action estoppel. At para 72 Sutherland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certainly does not mean that parties should have to join in one action all causes of action that they may have against one another, or risk being met with the defence of res judicata.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w:t>
      </w:r>
      <w:r>
        <w:rPr>
          <w:rFonts w:ascii="arial" w:eastAsia="arial" w:hAnsi="arial" w:cs="arial"/>
          <w:i/>
          <w:color w:val="000000"/>
          <w:sz w:val="20"/>
          <w:lang w:val="en-US" w:eastAsia="en-US" w:bidi="ar-SA"/>
        </w:rPr>
        <w:t>Greymac Properties Inc. v. Feldman</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(1990) 1 O.R. (3d) 686</w:t>
        </w:r>
      </w:hyperlink>
      <w:r>
        <w:rPr>
          <w:rFonts w:ascii="arial" w:eastAsia="arial" w:hAnsi="arial" w:cs="arial"/>
          <w:color w:val="000000"/>
          <w:sz w:val="20"/>
          <w:lang w:val="en-US" w:eastAsia="en-US" w:bidi="ar-SA"/>
        </w:rPr>
        <w:t xml:space="preserve"> at 691-92 (Gen. Div.), Lane J. emphasized the independent nature of a separate and distinct cause of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none of the cases relied on by the respondent goes so far as to suggest that a litigant cannot raise a separate and distinct cause of action in a litigation because he might have done so on the occasion of an earlier litigation on a different issue. There is a large and important difference between, on the one hand, a defence which is intimately related to the issues in the earlier litigation and, on the other hand, a separate litigation against a party to the earlier litigation, a claim which stands on its own separate set of facts and could have been brought at any time without reference to the issues in the earlier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According to Lange at p. 140-44 the question to ask is: "Are the facts upon which the defendant was found liable to the plaintiff in the first action substantially the same and in issue in the second action"? Where the facts are the same and the causes of action are the same, although different legal descriptions are used in the two actions, the second action is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fourth criteria requires parties to use "reasonable diligence" to bring forward points that could have been argued in the prior action.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at para. 27 the Court adopted the following from the decision of Lord Denning, M.R. in </w:t>
      </w:r>
      <w:r>
        <w:rPr>
          <w:rFonts w:ascii="arial" w:eastAsia="arial" w:hAnsi="arial" w:cs="arial"/>
          <w:i/>
          <w:color w:val="000000"/>
          <w:sz w:val="20"/>
          <w:lang w:val="en-US" w:eastAsia="en-US" w:bidi="ar-SA"/>
        </w:rPr>
        <w:t>Fidelitas Shipping Co., Ltd. v. V/O Exportchleb</w:t>
      </w:r>
      <w:r>
        <w:rPr>
          <w:rFonts w:ascii="arial" w:eastAsia="arial" w:hAnsi="arial" w:cs="arial"/>
          <w:color w:val="000000"/>
          <w:sz w:val="20"/>
          <w:lang w:val="en-US" w:eastAsia="en-US" w:bidi="ar-SA"/>
        </w:rPr>
        <w:t>, [1965] 2 All E.R. 4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rule then is that each party must use reasonable diligence to bring forward every point which he thinks would help him. If he omits to raise any particular point,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even accident (which would or might have decided the issue in his favour), he may find himself shut out from raising that point again, at any rate in any case where the self-same issue arises in the same or subsequent proceedings. ... But this again is not an inflexible rule. It can be departed from in special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Grant McLeod Contracting Ltd</w:t>
      </w:r>
      <w:r>
        <w:rPr>
          <w:rFonts w:ascii="arial" w:eastAsia="arial" w:hAnsi="arial" w:cs="arial"/>
          <w:color w:val="000000"/>
          <w:sz w:val="20"/>
          <w:lang w:val="en-US" w:eastAsia="en-US" w:bidi="ar-SA"/>
        </w:rPr>
        <w:t>. at para. 40, Josephson J. held that the question is not just whether the basis of the cause of action was or could, with reasonable diligence, have been argued in the prior action but whether the party "should" have raised it. Josephson J. then adopted following factors to consider in determining whether a matter should have been raised in the prior action:</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proceeding constitutes a collateral attack on the earlier findings;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simply asserts a new legal conception of facts previously litigated;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relies on "new" evidence that could have been discovered in the earlier proceeding with reasonable diligence;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two proceedings relate to separate and distinct causes of action;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in all the circumstances, the second proceeding constitutes an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Residual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Even where the criteria for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have been made out, the court retains a residual discretion not to apply it if doing so would cause unfairness. In </w:t>
      </w:r>
      <w:r>
        <w:rPr>
          <w:rFonts w:ascii="arial" w:eastAsia="arial" w:hAnsi="arial" w:cs="arial"/>
          <w:i/>
          <w:color w:val="000000"/>
          <w:sz w:val="20"/>
          <w:lang w:val="en-US" w:eastAsia="en-US" w:bidi="ar-SA"/>
        </w:rPr>
        <w:t>Tylon Steepe Homes Ltd. v. Pont</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2011 BCSC 385</w:t>
        </w:r>
      </w:hyperlink>
      <w:r>
        <w:rPr>
          <w:rFonts w:ascii="arial" w:eastAsia="arial" w:hAnsi="arial" w:cs="arial"/>
          <w:color w:val="000000"/>
          <w:sz w:val="20"/>
          <w:lang w:val="en-US" w:eastAsia="en-US" w:bidi="ar-SA"/>
        </w:rPr>
        <w:t>, Ballance J. put it this way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Generally speaking, the authorities require fastidious adherence to the constituent elements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in order to permit its application. However, even where the requisite ingredients are present, the court retains a residual discretion to decline to apply it if doing so would cause unfairness in the particular case: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British Columbia (Minister of Forests) v. Bugbusters Pest Management Inc</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(1998), 159 D.L.R. (4th) 50</w:t>
        </w:r>
      </w:hyperlink>
      <w:r>
        <w:rPr>
          <w:rFonts w:ascii="arial" w:eastAsia="arial" w:hAnsi="arial" w:cs="arial"/>
          <w:color w:val="000000"/>
          <w:sz w:val="20"/>
          <w:lang w:val="en-US" w:eastAsia="en-US" w:bidi="ar-SA"/>
        </w:rPr>
        <w:t xml:space="preserve"> (C.A.). As Finch J.A. (now the Chief Justice) emphasized at para. 32 in </w:t>
      </w:r>
      <w:r>
        <w:rPr>
          <w:rFonts w:ascii="arial" w:eastAsia="arial" w:hAnsi="arial" w:cs="arial"/>
          <w:i/>
          <w:color w:val="000000"/>
          <w:sz w:val="20"/>
          <w:lang w:val="en-US" w:eastAsia="en-US" w:bidi="ar-SA"/>
        </w:rPr>
        <w:t>Bugbusters</w:t>
      </w:r>
      <w:r>
        <w:rPr>
          <w:rFonts w:ascii="arial" w:eastAsia="arial" w:hAnsi="arial" w:cs="arial"/>
          <w:color w:val="000000"/>
          <w:sz w:val="20"/>
          <w:lang w:val="en-US" w:eastAsia="en-US" w:bidi="ar-SA"/>
        </w:rPr>
        <w:t>, the doctrine "inevitably calls upon the exercise of a judicial discretion to achieve fairness according to the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Nevertheless, the discretion not to apply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"very limited" and is limited to "special circumstances...which would include fraud, misconduct, or the discovery of decisive fresh evidence that could not have been adduced at the earlier proceeding by the exercise of reasonable diligence...":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at paras. 43-44.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Rule 9-5(1)(d)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empowers the court to strike out pleadings, in whole or in part, that are an abuse of process. Abuse of process is a broad and flexible doctrine that permits the court to prevent unfairness and oppressive treatment in the context of civil actions. Only egregious conduct will engage the doctrine. The proceedings must be so unfair that they are contrary to the interests of justice and would bring the administration of justice into disrepute: </w:t>
      </w:r>
      <w:r>
        <w:rPr>
          <w:rFonts w:ascii="arial" w:eastAsia="arial" w:hAnsi="arial" w:cs="arial"/>
          <w:i/>
          <w:color w:val="000000"/>
          <w:sz w:val="20"/>
          <w:lang w:val="en-US" w:eastAsia="en-US" w:bidi="ar-SA"/>
        </w:rPr>
        <w:t>Hare v. Lit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2013 BCSC 33</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Where the technical requirements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are not met, the doctrine of abuse of process may be invoked to prevent the re-litigation of matters: </w:t>
      </w:r>
      <w:r>
        <w:rPr>
          <w:rFonts w:ascii="arial" w:eastAsia="arial" w:hAnsi="arial" w:cs="arial"/>
          <w:i/>
          <w:color w:val="000000"/>
          <w:sz w:val="20"/>
          <w:lang w:val="en-US" w:eastAsia="en-US" w:bidi="ar-SA"/>
        </w:rPr>
        <w:t>Petrelli v. Lindell Beach Holiday Resort Ltd.</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2011 BCCA 367</w:t>
        </w:r>
      </w:hyperlink>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Erschbamer v. Wallster</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2013 BCCA 76</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doctrine of abuse of process to prevent re-litigation rests on the same policy grounds 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namely that there needs to be an end to litigation and that parties should not be "vexed" twice by the same cause. Additional policy grounds include preserving court and litigant resources and upholding the integrity of the legal system by avoiding inconsistent results: </w:t>
      </w:r>
      <w:r>
        <w:rPr>
          <w:rFonts w:ascii="arial" w:eastAsia="arial" w:hAnsi="arial" w:cs="arial"/>
          <w:i/>
          <w:color w:val="000000"/>
          <w:sz w:val="20"/>
          <w:lang w:val="en-US" w:eastAsia="en-US" w:bidi="ar-SA"/>
        </w:rPr>
        <w:t>Tylon</w:t>
      </w:r>
      <w:r>
        <w:rPr>
          <w:rFonts w:ascii="arial" w:eastAsia="arial" w:hAnsi="arial" w:cs="arial"/>
          <w:color w:val="000000"/>
          <w:sz w:val="20"/>
          <w:lang w:val="en-US" w:eastAsia="en-US" w:bidi="ar-SA"/>
        </w:rPr>
        <w:t xml:space="preserve"> at para. 38 and </w:t>
      </w:r>
      <w:r>
        <w:rPr>
          <w:rFonts w:ascii="arial" w:eastAsia="arial" w:hAnsi="arial" w:cs="arial"/>
          <w:i/>
          <w:color w:val="000000"/>
          <w:sz w:val="20"/>
          <w:lang w:val="en-US" w:eastAsia="en-US" w:bidi="ar-SA"/>
        </w:rPr>
        <w:t>Petrelli</w:t>
      </w:r>
      <w:r>
        <w:rPr>
          <w:rFonts w:ascii="arial" w:eastAsia="arial" w:hAnsi="arial" w:cs="arial"/>
          <w:color w:val="000000"/>
          <w:sz w:val="20"/>
          <w:lang w:val="en-US" w:eastAsia="en-US" w:bidi="ar-SA"/>
        </w:rPr>
        <w:t xml:space="preserve"> at paras. 70-72.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focus of the doctrine of abuse of process is on the integrity of the adjudicative process, not the motive or status of the parties: </w:t>
      </w:r>
      <w:r>
        <w:rPr>
          <w:rFonts w:ascii="arial" w:eastAsia="arial" w:hAnsi="arial" w:cs="arial"/>
          <w:i/>
          <w:color w:val="000000"/>
          <w:sz w:val="20"/>
          <w:lang w:val="en-US" w:eastAsia="en-US" w:bidi="ar-SA"/>
        </w:rPr>
        <w:t>Petrelli</w:t>
      </w:r>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 party seeking to invoke the doctrine of abuse of process bears a heavy onus and must show that abuse is plain and obvious: </w:t>
      </w:r>
      <w:r>
        <w:rPr>
          <w:rFonts w:ascii="arial" w:eastAsia="arial" w:hAnsi="arial" w:cs="arial"/>
          <w:i/>
          <w:color w:val="000000"/>
          <w:sz w:val="20"/>
          <w:lang w:val="en-US" w:eastAsia="en-US" w:bidi="ar-SA"/>
        </w:rPr>
        <w:t>Hare</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 Judicata</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Rossners acknowledge that the judgment they obtained in the original action on July 10, 2017 was final. They also acknowledge that they have discovered no new facts to support the present action and that they could have made the present claims in the original action. They submit, however, that issue estoppel does not arise because the Nystroms were neither parties nor privies to the original action and a number of different questions arise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While the Nystroms were clearly not parties to the original action, in my view, for the purposes of this application, they must be considered privies. As the sole director of Momentum, Ms. Nystrom was clearly a privy: </w:t>
      </w:r>
      <w:r>
        <w:rPr>
          <w:rFonts w:ascii="arial" w:eastAsia="arial" w:hAnsi="arial" w:cs="arial"/>
          <w:i/>
          <w:color w:val="000000"/>
          <w:sz w:val="20"/>
          <w:lang w:val="en-US" w:eastAsia="en-US" w:bidi="ar-SA"/>
        </w:rPr>
        <w:t>Delane Industry Co. Ltd</w:t>
      </w:r>
      <w:r>
        <w:rPr>
          <w:rFonts w:ascii="arial" w:eastAsia="arial" w:hAnsi="arial" w:cs="arial"/>
          <w:color w:val="000000"/>
          <w:sz w:val="20"/>
          <w:lang w:val="en-US" w:eastAsia="en-US" w:bidi="ar-SA"/>
        </w:rPr>
        <w:t>. at para. 25. The situation with Mr. Nystrom is not as clear. He was not technically an "officer" of Momentum but identified himself as the "Controller" and was very closely involved in Momentum's operations. Any murkiness about Mr. Nystrom's status as a privy is, however, resolved by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their notice of civil claim, the Rossners essentially allege that Momentum was a sham and the alter ego of the Nystroms. The Rossners go so far as to specifically refer to the Nystroms as Momentum throughout the notice of civil claim and allege that the contract was really with the Nystroms. While aspects of the Rossners' pleading may be conceptually problematic, they simply cannot have it both ways. They cannot allege in the notice of civil claim that the Nystroms and Momentum are one and the same but submit, for the purposes of this application, otherwise. On the pleadings as filed, I must consider Mr. Nystrom to be a privy of Momentum.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whether the "same question" was decided in the original action, the parties focussed their submissions on the issue of fraud so I will do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very same factual matrix underlies both the counterclaim in the original action and the various claims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To succeed in the counterclaim, the Rossners had to establish the scope of work under the contract, how much of that work was completed, the quality of that work and how much they paid for it. The Rossners did not have to establish that the Nystroms intentionally falsified change orders and liens. In their counterclaim, they did not even allege that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To succeed in the present action, the Rossners will have to establish the same terms of contract, status of payments, and status and quality of work as they did in the original action. Nevertheless, the present action will turn on a question that was not fundamental to the original action, namely the question of the Nystroms' alleged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For these reasons, in my view, the Nystroms have not established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Cause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first two criteria of cause of action estoppel are present. The Rossners obtained a final judgment in the original action and, for the reasons I have given, the Nystroms must be considered privies for the purposes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the materials before me, I have to conclude that the fourth criteria is also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With reasonable diligence, the Rossners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have included all of the claims in their notice of claim in their counterclaim in the original action. In fact, their previous counsel specifically threatened to do so - at least as against Ms. Nystrom. Further, in my view, the Rossners </w:t>
      </w:r>
      <w:r>
        <w:rPr>
          <w:rFonts w:ascii="arial" w:eastAsia="arial" w:hAnsi="arial" w:cs="arial"/>
          <w:i/>
          <w:color w:val="000000"/>
          <w:sz w:val="20"/>
          <w:lang w:val="en-US" w:eastAsia="en-US" w:bidi="ar-SA"/>
        </w:rPr>
        <w:t>should</w:t>
      </w:r>
      <w:r>
        <w:rPr>
          <w:rFonts w:ascii="arial" w:eastAsia="arial" w:hAnsi="arial" w:cs="arial"/>
          <w:color w:val="000000"/>
          <w:sz w:val="20"/>
          <w:lang w:val="en-US" w:eastAsia="en-US" w:bidi="ar-SA"/>
        </w:rPr>
        <w:t xml:space="preserve"> have included all of the claims in their notice of civil claim in their counterclaim in the original action. Before obtaining judgment, they knew all of the material facts, that Momentum had ceased operations and that Ms. Nystrom had made an assignment into bankruptcy. They had to foresee the distinct likelihood of a hollow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Further, the Rossners have offered no good reason for failing to make the decision to add the Nystroms as parties and allege fraud prior to seeking judgment against Momentum. For example, they have not raised concerns about the possibility of a special costs award against them for making unfounded allegations of fraud or dishonesty: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xml:space="preserve"> at para. 11. In any event, any such concerns have not inhibited them from pursuing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the third criteria, whether the present cause of action is "separate and distinct", I have concluded that it is. Again, I will focus, as the parties did, on the Rossners' allegations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As Binnie J. noted in the excerpt from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cited by Josephson J. in </w:t>
      </w:r>
      <w:r>
        <w:rPr>
          <w:rFonts w:ascii="arial" w:eastAsia="arial" w:hAnsi="arial" w:cs="arial"/>
          <w:i/>
          <w:color w:val="000000"/>
          <w:sz w:val="20"/>
          <w:lang w:val="en-US" w:eastAsia="en-US" w:bidi="ar-SA"/>
        </w:rPr>
        <w:t>Grant McLeod Contracting Ltd.</w:t>
      </w:r>
      <w:r>
        <w:rPr>
          <w:rFonts w:ascii="arial" w:eastAsia="arial" w:hAnsi="arial" w:cs="arial"/>
          <w:color w:val="000000"/>
          <w:sz w:val="20"/>
          <w:lang w:val="en-US" w:eastAsia="en-US" w:bidi="ar-SA"/>
        </w:rPr>
        <w:t>, "[a] cause of action has traditionally been defined as comprising every fact which it would be necessary for the plaintiff to prove" and "different causes of action may have one or more material facts in common." In my respectful view, the present action is comprised of many of the same material facts as the counterclaim in the original action but has an additional material fact that was not at issue, and which the summary trial judge was not required to adjudicate, namely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these reasons, in my view, the Nystroms have not established cause of action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Residual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Having found that neither branch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has been established, I am not called on to consider exercising my residual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Nystroms rely heavily on the decision of our Court of Appeal in </w:t>
      </w:r>
      <w:r>
        <w:rPr>
          <w:rFonts w:ascii="arial" w:eastAsia="arial" w:hAnsi="arial" w:cs="arial"/>
          <w:i/>
          <w:color w:val="000000"/>
          <w:sz w:val="20"/>
          <w:lang w:val="en-US" w:eastAsia="en-US" w:bidi="ar-SA"/>
        </w:rPr>
        <w:t>H.Y. Louie Co. Limited v. Bowick</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2015 BCCA 256</w:t>
        </w:r>
      </w:hyperlink>
      <w:r>
        <w:rPr>
          <w:rFonts w:ascii="arial" w:eastAsia="arial" w:hAnsi="arial" w:cs="arial"/>
          <w:color w:val="000000"/>
          <w:sz w:val="20"/>
          <w:lang w:val="en-US" w:eastAsia="en-US" w:bidi="ar-SA"/>
        </w:rPr>
        <w:t xml:space="preserve"> in support of their submission that the Rossners' present action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H.Y. Louie</w:t>
      </w:r>
      <w:r>
        <w:rPr>
          <w:rFonts w:ascii="arial" w:eastAsia="arial" w:hAnsi="arial" w:cs="arial"/>
          <w:color w:val="000000"/>
          <w:sz w:val="20"/>
          <w:lang w:val="en-US" w:eastAsia="en-US" w:bidi="ar-SA"/>
        </w:rPr>
        <w:t>, the plaintiff sued the defendant for breaching contracts to provide goods and services. The defendant consented to judgments in favour of the plaintiff. The defendant then declared bankruptcy. To circumvent the bankruptcy, the plaintiff subsequently applied for and obtained a declaration in the same proceeding that the consent judgments were judgments for "debts or liabilities resulting from obtaining property or services by false pretences". A majority of the Court set aside the declaration, finding that the cause of action arising from the plaintiff's original claims was merged in the consent judgment. The majority characterized the plaintiff's application for the declaration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Respectfully, in my view, </w:t>
      </w:r>
      <w:r>
        <w:rPr>
          <w:rFonts w:ascii="arial" w:eastAsia="arial" w:hAnsi="arial" w:cs="arial"/>
          <w:i/>
          <w:color w:val="000000"/>
          <w:sz w:val="20"/>
          <w:lang w:val="en-US" w:eastAsia="en-US" w:bidi="ar-SA"/>
        </w:rPr>
        <w:t>H.Y. Louie</w:t>
      </w:r>
      <w:r>
        <w:rPr>
          <w:rFonts w:ascii="arial" w:eastAsia="arial" w:hAnsi="arial" w:cs="arial"/>
          <w:color w:val="000000"/>
          <w:sz w:val="20"/>
          <w:lang w:val="en-US" w:eastAsia="en-US" w:bidi="ar-SA"/>
        </w:rPr>
        <w:t xml:space="preserve"> does not assist the Nystroms.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its reasons for judgment at para. 65, the majority relied on the following passage from K.R. Handley, </w:t>
      </w:r>
      <w:r>
        <w:rPr>
          <w:rFonts w:ascii="arial" w:eastAsia="arial" w:hAnsi="arial" w:cs="arial"/>
          <w:i/>
          <w:color w:val="000000"/>
          <w:sz w:val="20"/>
          <w:lang w:val="en-US" w:eastAsia="en-US" w:bidi="ar-SA"/>
        </w:rPr>
        <w:t>The Doctrine of Res Judicata</w:t>
      </w:r>
      <w:r>
        <w:rPr>
          <w:rFonts w:ascii="arial" w:eastAsia="arial" w:hAnsi="arial" w:cs="arial"/>
          <w:color w:val="000000"/>
          <w:sz w:val="20"/>
          <w:lang w:val="en-US" w:eastAsia="en-US" w:bidi="ar-SA"/>
        </w:rPr>
        <w:t>, 3d ed. (London: Butterworths, 1996) at 221: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has a twofold operation. It estops the parties to a decision from afterwards controverting any issue thereby decided and it bars the party who has obtained relief from seeking it again. This distinction was explained by Diplock LJ in [</w:t>
      </w:r>
      <w:r>
        <w:rPr>
          <w:rFonts w:ascii="arial" w:eastAsia="arial" w:hAnsi="arial" w:cs="arial"/>
          <w:i/>
          <w:color w:val="000000"/>
          <w:sz w:val="20"/>
          <w:lang w:val="en-US" w:eastAsia="en-US" w:bidi="ar-SA"/>
        </w:rPr>
        <w:t>Thoday v. Thoday</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[1964] P. 181</w:t>
        </w:r>
      </w:hyperlink>
      <w:r>
        <w:rPr>
          <w:rFonts w:ascii="arial" w:eastAsia="arial" w:hAnsi="arial" w:cs="arial"/>
          <w:sz w:val="20"/>
          <w:lang w:val="en-US" w:eastAsia="en-US" w:bidi="ar-SA"/>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1pt;height:10pt">
            <v:imagedata r:id="rId168" o:title=""/>
          </v:shape>
        </w:pict>
      </w:r>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cause of action estoppel ... prevents a party to an action from asserting or denying, as against the other party, the existence of a particular cause of action, the non-existence or existence of which has been determined by a court of competent jurisdiction in previous litigation between the parties. If the cause of action was determined to exist i.e. judgment was given upon it, it is said to be merged in the judgment ... If it was determined not to exist, the unsuccessful plaintiff can no longer assert that it does; he is estopped </w:t>
      </w:r>
      <w:r>
        <w:rPr>
          <w:rFonts w:ascii="arial" w:eastAsia="arial" w:hAnsi="arial" w:cs="arial"/>
          <w:i/>
          <w:color w:val="000000"/>
          <w:sz w:val="20"/>
          <w:lang w:val="en-US" w:eastAsia="en-US" w:bidi="ar-SA"/>
        </w:rPr>
        <w:t>per rem judicatam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as to merger may be stated as follows: any person in whose favour an English judicial tribunal of competent jurisdiction has pronounced a final judgment, civil or criminal, is precluded from afterwards recovering before any English tribunal a second judgment against the same party on the same cause of action, or a second conviction for the same offence. </w:t>
      </w:r>
      <w:r>
        <w:rPr>
          <w:rFonts w:ascii="arial" w:eastAsia="arial" w:hAnsi="arial" w:cs="arial"/>
          <w:color w:val="000000"/>
          <w:sz w:val="20"/>
          <w:u w:val="single"/>
          <w:lang w:val="en-US" w:eastAsia="en-US" w:bidi="ar-SA"/>
        </w:rPr>
        <w:t>A plea of this nature ... is distinguishable from res judicata estoppel in two respects: in the first place, the latter prohibits contradiction, the former reassertion; secondly, that which must not be controverted, in cases of estoppel, is the proposition of law, or finding [of] fact, declared by, or necessarily involved in, the res judicata, whereas, in cases of former recovery what is not allowed is a second action for the relief previously granted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by the Court in </w:t>
      </w:r>
      <w:r>
        <w:rPr>
          <w:rFonts w:ascii="arial" w:eastAsia="arial" w:hAnsi="arial" w:cs="arial"/>
          <w:i/>
          <w:color w:val="000000"/>
          <w:sz w:val="20"/>
          <w:lang w:val="en-US" w:eastAsia="en-US" w:bidi="ar-SA"/>
        </w:rPr>
        <w:t>H.Y. Louie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This passage appears to limit the concept of merger to situations where a party seeks to recover "a second judgment against the same party </w:t>
      </w:r>
      <w:r>
        <w:rPr>
          <w:rFonts w:ascii="arial" w:eastAsia="arial" w:hAnsi="arial" w:cs="arial"/>
          <w:color w:val="000000"/>
          <w:sz w:val="20"/>
          <w:u w:val="single"/>
          <w:lang w:val="en-US" w:eastAsia="en-US" w:bidi="ar-SA"/>
        </w:rPr>
        <w:t>on the same cause of action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H.Y. Louie</w:t>
      </w:r>
      <w:r>
        <w:rPr>
          <w:rFonts w:ascii="arial" w:eastAsia="arial" w:hAnsi="arial" w:cs="arial"/>
          <w:color w:val="000000"/>
          <w:sz w:val="20"/>
          <w:lang w:val="en-US" w:eastAsia="en-US" w:bidi="ar-SA"/>
        </w:rPr>
        <w:t>, the majority held that the plaintiff was precluded from re-characterizing the very judgments it had obtained by consent. That is clearly not the situation before me. For the reasons I have expressed, the Rossners are advancing a new and distinct cause of cause of action. In my view, merger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Returning to the general principles I have outlined regarding abuse of process, I consider this case to be close to the line that distinguishes claims that are an abuse of the court's process from those that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the one hand, the Rossners knew all of the material facts that support the present action before they obtained judgment in the original action. They knew Momentum had ceased operations. They knew Ms. Nystrom had made an assignment into bankruptcy. They had to be aware of the distinct possibility of a hollow judgment. They have offered no explanation as to why they did not follow through on the threats of their previous counsel to sue Ms. Nystrom personally. If the present action proceeds, the court could ultimately make findings that are inconsistent with the findings underlying the judgment obtained after summary trial. Scarce judicial resources will have been wasted by virtue of the summary trial. If the Rossners' present action is permitted to proceed, other parties may choose a similar path in similar circumstances in the future, potentially leading to a greater waste of scarce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On the other hand, fraud is a very serious matter and the court should be reluctant to deprive the Rossners of an opportunity to have the present action determined on the merits. Likewise, </w:t>
      </w:r>
      <w:r>
        <w:rPr>
          <w:rFonts w:ascii="arial" w:eastAsia="arial" w:hAnsi="arial" w:cs="arial"/>
          <w:i/>
          <w:color w:val="000000"/>
          <w:sz w:val="20"/>
          <w:lang w:val="en-US" w:eastAsia="en-US" w:bidi="ar-SA"/>
        </w:rPr>
        <w:t>if</w:t>
      </w:r>
      <w:r>
        <w:rPr>
          <w:rFonts w:ascii="arial" w:eastAsia="arial" w:hAnsi="arial" w:cs="arial"/>
          <w:color w:val="000000"/>
          <w:sz w:val="20"/>
          <w:lang w:val="en-US" w:eastAsia="en-US" w:bidi="ar-SA"/>
        </w:rPr>
        <w:t xml:space="preserve"> the Nystroms have engaged in fraud, the court should be reluctant to allow them to escape such conduct. Further, the Nystroms were not called upon to defend the counterclaim in the original action. As a result, they will not be "vexed" twice if the present claim proceeds. With respect to judicial resources, the summary trial was not contested so any potential waste would be minimal. The heaviest loss associated with any duplication of effort clearly rests with the Rossners, not the Nystroms or the court. Finally, any inconsistent findings will easily be understood to be a function of the original claim being determined without the participation of Momentum and the present action being contested. In these circumstances, any undermining of the integrity of the judicial process by reason of inconsistent findings will be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Given that there are compelling factors in both directions, I am unable to conclude that the circumstances are so unfair, oppressive or egregious that I ought to strike the Rossners' present action for being an abuse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Nystroms' application to strike the Rossners' present action is dismissed.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MARCHAND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R. v. McMath, [2013] B.C.J. No. 3086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23-27, 30,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 7-11, 16 and November 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56641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3086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2434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Robert McMath</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(161 paras.)</w:t>
      </w:r>
    </w:p>
    <w:p>
      <w:pPr>
        <w:jc w:val="both"/>
        <w:rPr>
          <w:rFonts w:ascii="arial" w:eastAsia="arial" w:hAnsi="arial" w:cs="arial"/>
          <w:sz w:val="20"/>
          <w:lang w:val="en-US" w:eastAsia="en-US" w:bidi="ar-SA"/>
        </w:rPr>
      </w:pPr>
      <w:bookmarkStart w:id="38" w:name="Counsel_8"/>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Kimberly C. Jansen, Robert Macgowan.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J. Douglas Jevning, Donna M. Turko.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 w:name="Judgment_8"/>
      <w:bookmarkEnd w:id="39"/>
      <w:r>
        <w:pict>
          <v:line id="_x0000_s1062" style="position:absolute;z-index:251722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 w:name="C.J. ROSS J. (orally)"/>
            <w:bookmarkEnd w:id="40"/>
            <w:r>
              <w:rPr>
                <w:rFonts w:ascii="arial" w:eastAsia="arial" w:hAnsi="arial" w:cs="arial"/>
                <w:b/>
                <w:color w:val="000000"/>
                <w:sz w:val="30"/>
                <w:lang w:val="en-US" w:eastAsia="en-US" w:bidi="ar-SA"/>
              </w:rPr>
              <w:t>C.J. ROSS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accused, Robert McMath, is charged with the second degree murder of his wife, Janice McMath, while using a firearm contrary to s. 235(1)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necessary elements that the Crown must prove beyond a reasonable doubt with respect to the charge of second degree murder are that on the date and in the place described in the indictment, Mr. McMath committed an unlawful act while using a firearm, that his unlawful act caused Janice McMath's death, and that Mr. McMath had the intent required for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defence in this case has admitted that Janice McMath died in hospital on June 7, 2008, as a result of being shot on May 28, 2008 at the McMath property, located at 5077 McMath Street in Abbotsford. Mr. McMath admitted discharging the firearm at the property on the evening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Therefore, in this case the only live issue with respect to the charge of second degree murder is whether Mr. McMath had the intent required for murder. To prove that Mr. McMath had the intent required for murder, the Crown must prove beyond a reasonable doubt one of two things: either that Mr. McMath meant to cause Janice McMath's death, or that Mr. McMath meant to cause Janice McMath bodily harm that he knew was likely to cause her death and he was reckless whether death ensued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an accused person, Mr. McMath is under no obligation to testify. However, he chose to do so in this case. Mr. McMath testified that the shooting was accidental. If that is so, then he did not have the required intent to commit second degree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application of the principle of reasonable doubt in this circumstance requires that if I believe Mr. McMath's testimony that the shooting was accidental, I must find him not guilty of the offence of second degree murder. If I do not believe Mr. McMath's testimony, but I am left with a reasonable doubt by it, I must find him not guilty of the offence of second degree murder. If, after a careful consideration of all of the evidence, I am unable to decide whom to believe, then I must find Mr. McMath not guilty of the offence of second degree murder. Even if I am not left in reasonable doubt by Mr. McMath's testimony, if, after a careful consideration of all the evidence, I am not satisfied beyond a reasonable doubt of his guilt, I must find him not guilty of the offence of second degree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 those principles in mind, I turn to the evidence concerning the events of the evening in question that bears on the issue of Mr. McMath's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Janice McMath was born on October 5, 1944 and died on June 8, 2008 at the Royal Columbian Hospital in New Westminster, British Columbia of gunshot wounds inflicted on May 28, 2008. Before her death, she was residing in Surrey and worked as a notary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During the course of their marriage, the McMaths resided at a farm property located at 5077 McMath Street in Abbotsford, B.C. The property was a 23.34 acre farm which contained a 7,000 square foot residence and several outbuildings. The property was registered in Mr. McMath's name only. In addition, there were four other parcels of land comprising a further 18.74 acres that were owned as at May 2008 either solely by Mr. McMath or jointly with Janice McMath.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McMath was born in 1944. He has lived on the McMath property farm since 1969. His grandparents had purchased the main farm property and the farm has been passed through the generations in his family coming first to his father and mother and after his father's death, the property was registered in his name and his mother's. When his mother died in 2003, Mr. McMath became the sole registered owner of the main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Robert McMath and Janice McMath commenced a relationship in the mid to late 1970s and were married in 1981. They had five sons, born between 1979 and 1985: Cameron, Matthew, Alden, Patrick and Michael.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McMath testified that the spouses separated in 1995 for the first time and then reconciled in 1996. The McMaths separated again in January 2003 and Ms. McMath commenced divorce proceedings on July 14, 2005. In those proceedings, she was seeking an order for spousal support and a division of family assets. Mr. McMath was contesting the claim for spousal support and was also seeking orders with respect to the division of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were many issues raised in the pleadings in the family action; however, the most significant was the dispute with respect to the identification and division of family assets. Mr. McMath asserted that the farm properties were not family assets. He alleged that the parties had agreed that the farm properties were not to be family assets and that pursuant to this agreement Ms. McMath had not contributed either directly or indirectly to the properties. He wanted to keep the properties intact to be farmed by him during his lifetime and then passed to the children. There was some evidence that the three oldest sons supported their father's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James Robinson is a notary who was a friend of Janice McMath. He stated that she had made plans to go on a motorcycle ride with him on the evening of May 28, 2008. He had spoken with her on the telephone and she had cancelled saying she had extra appointments. He testified that he was aware that the McMaths were going through divorce proceedings. He said that Ms. McMath had told him about six months earlier that there were some difficulties associated with the divorce about visiting the home. She said there were some arguments and unpleasantness from the boys venting that they wanted the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McMath was seeking to have all the farm property declared to be family assets and to have these assets reapportioned in her favour. If she were to succeed in this position at a trial, some or all of the farm properties would have had to have been sold to pay her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the separation, Mr. McMath continued to live on the McMath Street property. After the separation, their youngest son, Michael, was diagnosed with schizophrenia at the age of 16 or 17. He was hospitalized for a period, coming home for visits on the weekends and then eventually released to a series of care homes. Both his parents were actively involved in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Following the separation, Patrick lived for a time with his mother, then with friends and then moved back to live with his father. He maintained good relations with both his parents. At the time of the shooting, Patrick and Cameron were living at the McMath farm with their father. Michael was living in a group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financial statements filed in the divorce proceedings in 2008, Janice McMath claimed an annual income of $60,000 and assets of $84,400. Mr. McMath's financial statement filed in November 2005 claimed an income of $126,100 and assets of $1,623,000, excluding his longshoreman's pension and any interest in Janice McMath's notary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Court proceedings continued in the matrimonial action through 2005 to 2007 with both parties represented by counsel. A trial date was set for October 2007 but Ms. McMath was granted an adjournment because her lawyer was not available. There had, to that point, been a series of settlement conferences that had not been successful in resolving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second trial date was set for February 4, 2008. On February 4, 2008, Mr. McMath applied for an adjournment in order to retain a new lawyer. The adjournment was granted by the presiding judge who ordered that the matter would proceed to trial on June 4, 2008, whether Mr. McMath was represented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May 29, 2008, a letter was received by the Supreme Court Registry from Mark Hargrave, a solicitor, advising that he was retained as counsel for Mr. McMath in the divorce proceedings but that the trial would not be able to proceed because Janice McMath was in hospital with severe injuries and Robert McMath was in police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had been a separate lawsuit initiated by the three oldest sons against Ms. McMath. Mr. McMath was not a party to this action. The suit concerns an inheritance from grandparents that Ms. McMath held in trust for the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McMath testified that despite the family litigation, the relations between the parties were quite good. He said that Ms. McMath would visit the farm, attending birthdays and dinners and family celebrations. She would drop in for coffee or to share a glass of wine with Mr. McMath and to visit with their sons. He said that she had invited him to her home for dinners although he had not attended. She had moved her personal things out of the farm but kept her kayak and a tent trailer at the farm and would attend to pick up and drop off these items. Mr. McMath testified that in 2008 he had hopes of reconciliation. He stated that he and Ms. McMath had spent some nights together at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McMath testified that on May 28th he had been planning to go see Michael, but then Ms. McMath called to say she was going to see Michael. He called her later in the day to make sure and she said she had changed her mind. She said it was month end and she was tired. He told her he had mail for her at the farm and she asked if he had wine and suggested that she come to the farm to have wine with him. He stated that when she arrived, they went into the house and shared a bottle of wine and talked. Eventually, Mr. McMath said he had work to do at the barn. He said that they poured the remaining wine into glasses and went out to the barn and talked some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McMath testified that earlier in that day he had taken a gun out from where he stored it in his room in the house and loaded it with three cartridges, one in the chamber and two in the magazine. He left it out near the barn. He said that he was having trouble with coyotes taking his chickens. It was his evidence that he had acquired the firearm many years ago from a friend. It was his evidence that he had only used it once before, a week earlier, when he had test fired it to see if it worked. He said that prior to that he had never fired the gun. He said that he had had other guns that had been stolen in 1996. He said that the last time he had fired a gun before the test firing was in 1996 and that was the last time he had shot at a coyote. He said that coyotes were around all the time but he does not try to shoot them unless they are doing harm. He decided to take action this time because they were taking his chickens.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noted, he had loaded the firearm and left it out by the chicken coop. It was his evidence that the gun was still there when he and Ms. McMath came out to the barn. He said that it was leaning on the plow closest to the chicken coop.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stated that during their conversation that evening, they had not discussed settlement of the litigation. It was his evidence that he was somewhat disappointed by this but he said he had hoped that Ms. McMath would raise it. He said he remained hopeful they would discuss it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stated that Cameron was home that evening. He had been trying to get Cameron to help with work at the barn. Cameron had been around when they were in the house but did not come to the barn. Mr. McMath said he was expecting Alden to come by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testified that while they were down by the barn, Ms. McMath went to the house to use the washroom. She asked about more wine and came back out with another bottle that they opened. They continued to talk and have more wine.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Finally, it was getting dark and they decided to go in. He said he was feeling quite mellow and good from the wine. He said he felt good but would not say he was drunk. He did not notice Ms. McMath's level of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said that he picked up the gun and went to unload it and that is when the accident happened. He stated, "I was holding the gun in my hand and I guess I just stumbled a bit, I shuffled my foot as it was going and the gun went off. I tripped a bit and fell down and when I got up the gun went off again. I had turned away to unload and I guess she came up on my left side. When I stood up, she was beside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stated that Ms. McMath said "'You shot me'. She was still standing and I still had the gun in my hand and she fell down". He testified, "I reached over and rolled her back and realized she had been shot". He stated that Ms. McMath was talking, saying "Why did you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stated he ran to the house to get a phone. He could not find the phone in the house and went to his car to get a cell phone, called 9-1-1 and went back to the barn. Mr. McMath said he went to the main floor of the house to get the phone. He was yelling but got no response. He said he thought he saw someone in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testified that Patrick joined him as he went to the barn. He said he did not know where Patrick came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described again how the shots were fired, stating "I was trying to unload the gun." He demonstrated holding the gun by the slide in the centre of his body angled up toward his shoulder. "I may have turned a bit when the gun went off. I didn't see her. All I remember is someone is behind me and after that the gun went off. I went down just partly and as I got up the gun went off a second time. I stumbled a bit. We had been standing for quite a while drinking wine. I was tired. Sometimes my knees give out a bit or I miss a step. My knee was swollen that night I imagine, it was swollen every night". He could not say if wine had an effect on his stumbling. He noted that the cement in the area was uneven.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McMath was then asked by his counsel, "When you stumbled, what part of the gun hit the ground?" He answered "The butt". He then stated that "Between the first and second shot, my body went down. I was just there, not walking, just standing. When the first shot went off I was in the process of going forward. I didn't take a step, I just mis-stepped and then I went down". He demonstrated that when he picked the gun up to unload it he had his left hand on the slide, right hand on the stock, finger over the trigger area. He stated that he did not do anything before the gun went off the first time. He stated it was possible that his finger was on the trigger each time the gun went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stated that when Patrick walked to the barn, he told him there had been an accident and Janice was hurt. He was at that point calling 9-1-1. He said he explained to the operator what had happened and told Patrick to maybe go to direct the emergency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Police arrived and he told them it was an accident. He told them two shots had been fired and said he had fallen twice. He recalled the police were there when Alden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Graham McAllister is a neighbour who lives on the property across the street from the McMath property. He testified that on the evening in question he was sitting outdoors with friends when he heard two gunshots. The sound appeared to be coming from the southwest, which is the direction of the McMath property. He could only be approximate with the time but estimated it as around 9:30 p.m. He estimated that the gunshots were about one to two seconds apart. He is familiar with the sound of gunshots. He said that the first response vehicles arrived about 20 minutes later. He agreed that it could have been less time. He had not heard any yelling at the McMath property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Kenneth McAllister was inside the house and did not hear any gunshots. He did hear the emergency vehicles arriving at the McMath property. He stated that he had in the past heard gunshots coming from the property, the last time probably two years prior to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Frederick Eaves is the neighbour whose property borders the north lawn of the McMath property. He recalled on the evening in question he had gone to bed at 9:00 or 9:30. He was either dozing off or asleep when he heard two shots. He estimated there were six or seven seconds between the shots. He could not be precise about the direction but assumed they came from the McMath property. He stated he did not hear any crying or yelling coming from the property. He stated in the past he had seen dead chickens on the McMath property and agreed it is common in the neighbourhood for coyotes to come after the chickens.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Kelly Zembik was another neighbour who lived on a property at the north left corner of the McMath property. She stated that just around 10:00 in the evening after she and her husband had just gone to bed, shortly later - perhaps ten minutes later - she heard a shot. Her husband said "That sounds like a shot". She estimated that five seconds later there was a second shot. Her testimony at the preliminary hearing had been that she heard a shot and then there was just enough time for her husband to say, "That sounds like a gunshot" and then a couple of seconds later there was a second shot. She stated that she told the police in her statement made closest in time to the events that the interval between shots was five to ten seconds. In court, when the period that she estimated was timed, the interval was just under five seconds. She agreed that it is not uncommon for farmers in the neighbourhood to shoot at coyotes.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Scott Ansell is Ms. Zembik's husband. He recalled they had just retired to bed around 9:45 on the evening in question. He heard a shot, made a comment about it, and then there was a second shot. He said he heard traffic on the road and then sirens. He believed that the period between shots was three to five seconds after he made the comment. He doubted if the interval was less than three seconds. He was confident that the sounds were gunshots as he was experienced with firearms. He believed the shots came from the direction of the McMath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Kasey Oravec is a friend of Patrick McMath. On the evening in question, she had spent the evening with Patrick and returned to drop him off at home between 9:45 and 10:00 p.m. They were parked at the residence chatting in the car when she heard two loud noises. She estimated they had been chatting for about 20 minutes when she heard the noises. She said they both wondered what the noises were and rolled down the window and heard nothing further. She estimated between one and 15 seconds elapsed between the noises but when the time was measured out in court, stated that the interval was five seconds. She said they chatted for about five minutes and then she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Patrick McMath testified that when he and Ms. Oravec heard the noises, he rolled down the window to check things out but did not hear anything further. He said the noises were two loud concussive noises like pans clapping. He thought that there was perhaps one to two seconds between the noises. He thought the sounds came from the direction of the barn. He stated that when they arrived, he saw his mother's vehicle parked at the house. This did not surprise him because his mother was a frequent visitor to the house. It was his evidence she would stop by perhaps two to three times a week. He stated that his mother smoked and his father did not. Smoking was not allowed in the house. He said that after he got out of the car, he headed off toward the barn to investigate the sounds and spotted his dad walking back up to the barn. His father was in a hurry and looked upset. He was speaking with 9-1-1. Patrick then saw his mother lying on the ground and ran to the house to get his older brother Cam to help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Wednesday, May 28, 2008 at approximately 10:12 p.m., 9-1-1 records a call from Mr. McMath requesting an ambulance to attend. He identified himself to the operator as Bob McMath. The first part of the call was a three-way conversation between Mr. McMath, B.C. Ambulance Service, and the call taker.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course of that call, Mr. McMath requests an ambulance. In the background a woman's voice can be heard saying, "Why?" In response to the question "What is the problem? Tell me exactly what happened", Mr. McMath said "We've had an accident with a gun". He reported that one person was hurt. When asked "When did this happen?", he responded "Now". When asked if the attacker was still nearby, he responded "I'm the guy who had the gun, it's unloaded, it's safe". He was asked where the victim was shot and he responded "Chest". He was asked if there was more than one wound and he responded "I think so". He was asked if there was more than one gunshot, how many shots were fired, and he responded "Two". A woman can be heard moaning in the background. At this point a woman's voice asks, "Why,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approximately 10:14 p.m., the call was redirected to the Ambulance Service Dispatch and various police, ambulance, and fire department personnel were sent out in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course of the second phase of the call, in response to the question "Where's the gun now?", Mr. McMath replied "The gun's here". He later stated "It's safe, it's unloaded". Sometime later he can be heard saying "The ambulance is on its way,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was then the following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Dispatcher:</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I get your date of birth?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McMath Why?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Dispatcher: Because I need it for my file. The police are on the way but I need the information from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McMath: Is the ambulance on the way; never mind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Later on in the call a woman's voice can be heard saying, "Tell me why, Bob" and Mr. McMath replying "It was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Somewhat later there was the following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Dispatcher:</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Whereabouts has she been shot?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McMath: Like I said earlier, in the chest, I'm not sure; we're getting it right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Dispatcher:</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sorry, I wasn't on the line earlier.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McMath:</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I can't tell one -- I'm a little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Dispatcher:</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Can't tell,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McMath:</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upset.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Dispatcher:</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for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McMath: We're trying to get light to see what's going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Dispatcher: I'm just keeping you on the line until we get there sir,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McMath:</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Fine. I can't do much right 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service operator then asks "How is her breathing?" and he replied "She is breathing fine. One is a shoulder wound obviously and the other is an upper chest wound". He later states in response to a question about whether he has the lights on and if he can see where she is bleeding from, "No, I can't. I think she'll be all right. It's not good but she's got a shoulder wound and a chest wound. She's going to be okay. The ambulance is on its way, Cam, you got a light. What's that a blanket? Just bring it here and we'll put it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operator asked what kind of gun it was and Mr. McMath responded "A 32" and added "I think we missed the vital organs, I'm not sure; I can't see". Mr. McMath can be heard instructing his son to go to the end of the driveway and bring them in. He later says in response to the operator saying "We can hear your wife in the background", "You'll be fine. It was [an] accident. It's coming, Jan, you'll be okay, you'll be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the police arrived at the scene in response to the dispatch, a white Jeep belonging to Janice McMath was located in the driveway at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Daffydd Hermann, who is presently a member of the Transit police, was a Sergeant with the Abbotsford Police force in May 2008. On the evening in question, he was on duty driving a marked police vehicle. He was dispatched to the McMath residence just after 10:00 p.m. He was told there had been an accident - a gunshot wound. He estimated he arrived about 10:22 p.m. and was the first responder on the scene. A young male in his mid-20s was at the driveway and directed him to the barn pointing down the driveway to the west. He did not learn this person's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drove to the area of the workshop and encountered an older man who pointed to where the victim was lying. The older man said "She needs oxygen". Sergeant Hermann replied he did not have that equipment but that the ambulance was on its way. He observed a woman lying on the ground and retrieved some equipment from his trunk and went to assist. She was lying on her back. He observed her chest had three open wounds. She was bleeding, had good colour, and was breathing in a shallow, distressed manner. He gave some assistance at the scene and covered her wounds.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described three significant wounds, the largest in the mid-chest below her neck, a smaller wound in the left chest area. These wounds he described as being oblong in shape. The third was in the upper left arm shoulder. He observed that there appeared to be damaged bones in her chest and bone fragments on her face and around the wounds. He said he did not remove her clothing. Her clothing was partially torn at the time he was tending to her. He said he did not rip or tear her clothing but did move it to see her wounds. He had a conversation with the victim. He said "Did you do this?" and she said, "No", and shook her head from side to side. He said "Who did this?" and she appeared to be trying to respond but did not. He asked "Are you on medication?" and there was no response. He asked "What happened?" and once again there was no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recalled it was a clear night. There was some artificial light in the area but it was not well lit. He recalled using the police spotlight to illuminate the scene. He observed there were two wine glasses on a barrel about six feet from the victim. He stated that one glass was broken later when a fireman moved the barrel and it fell to the ground. It was his evidence that he observed the firefighter break the glass. It was his evidence that the glass was intact when he arrived and that both glasses and the wine bottle were on the top of the barrel. He recalled observing a rifle leaning against the workshop door. He stated that he observed another male who was not a first responder at the scene but had no interactions with him and did not learn his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second officer to arrive was Constable Robert Reid. When he arrived, he observed an unknown male in the driveway near the edge of the property. He went to assist Sergeant Hermann giving aid to Ms. McMath. He did not have a conversation with the victim. He stated that the victim was on her back, moaning and not speaking. He stated that at one point while they were assisting Ms. McMath, Mr. McMath came with a blanket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Constable Reid stated that there was sufficient lighting for him to be able to see without using his flashlight but he could not say what the source of that lighting was. Then Constables Mark Frendo and Nathan Brown arrived and he directed them to locate the firearm.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Constable Frendo was on night shift that evening in a police vehicle with Constable Brown. They were dispatched to the scene about 10:30 p.m. and they were told the victim was female and it was Bob McMath who had called 9-1-1. It was described by dispatch as an accidental shooting. When Constable Frendo arrived at the scene, he observed Sergeant Hermann kneeling by the victim who was covered with a yellow first aid blanket. There was a man he identified in court as Mr. McMath pacing around apparently very agitated. Another younger man was in the area. This man was not moving. He was later identified as Alden McMath.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Constable Frendo stated that he saw the injured person was being attended to so he looked for the weapon and he located a firearm leaning against the door. He made sure the gun was not loaded and then left it open so it was evident that it was empty. He told the other officers that the gun was safe. He stated he observed shell casings on the ground - two casings, and one live round. He instructed Constable Brown to put traffic cones over the shells. He recalled that the lighting was sufficient to see other persons and objects but did not recall the source of the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Constable Brown stated that after Constable Reid told him to locate the gun, he looked over and saw Constable Frendo had picked up a gun by the barn. At that time he noticed a shell casing near the victim. He took out his flashlight to look for more. He located another empty casing close to the gun and a live round. He put cones over the round and casing. He saw the wine bottle and put a traffic cone there. He recalled seeing wine glasses but he did not recall how many.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original plan had been to transport Ms. McMath by helicopter to the Royal Columbian. Constable Brown left with another officer to ready the scene for the helicopter. The plan changed by the time he returned. By that point the scene was contained and yellow police tape was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Constable Frendo had a conversation with Mr. McMath which he recorded in his notes and in its full extent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Frendo: Who are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Bob McMath:</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Bob McMath. What do you want?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Frendo: I need to know what happened, how hurt she is so we can help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McMath: I fell with my gun. I had my gun out with me because earlier on a coyote came after my chickens and got some of them. I have less now. We were having a glass of wine and I fell and the gun went off. Then I fell again. I fell because I have a bad knee.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Frendo: Did the gun shoot twice then?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McMath: Yes, I told you, it fired when I fell two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Frendo: Pointing to the shell casing on the ground and said: "Are these the only shells?"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McMath:</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Frendo: Pointed to the live round on the ground and said, "What about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McMath: I went inside to call 9-1-1 and when I came back I grabbed it and unloaded the remaining round and she started saying "Why did you shoot me?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Constable Frendo stated that the purpose of the conversation was to help determine the extent of the victim's injuries. This information would assist the paramedics while they were en route and could help to facilitate helicopter evacuation if that proved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Constable Frendo stated that after the conversation with Mr. McMath, he realized that there was something more than falling and the gun going off by itself because of his experience with that type of firearm. In his experience, a pump action firearm had to be reloaded to shoot a second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By this time, the ambulance and firefighters had arrived and Constable Frendo told them the victim had been shot twice. He agreed that Mr. McMath had not said the victim had been shot twice but that the gun had fired twice. It was an inference that Constable Frendo drew that the victim had been shot twice. He reported the conversation with Mr. McMath to Constable 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the paramedics took over the care of Ms. McMath, Constable Reid turned on his audio recorder. He kept it on for the duration of his involvement that night and into the early hours of the next morning. He testified that he did not see the wine glass being broken but that he observed one intact wine glass down on the ground near Ms. McMath. He did not see that glass being broken but the sound of glass breaking was recorded. He believes that either the paramedics or the firefighters on the scene broke the 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After Constable Reid had a conversation with Constable Frendo about the firearm, Constable Reid arrested Mr. McMath for assault causing bodily harm and possession of a weapon dangerous to the public peace. After giving him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warnings, Constable Reid handcuffed Mr. McMath and placed him in his police vehicle. He stated that Mr. McMath had a somewhat laidback manner. He did not want to be handcuffed at first, but he was not aggressive or verbally abusive. Constable Reid observed that Mr. McMath had blood on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Constable Frendo testified that he was having a conversation with the younger male who identified himself as Alden while Mr. McMath was being escorted to the police vehicle. It was his testimony that Mr. McMath shouted "Don't tell them anything; don't say anything". Constable Frendo did not make reference to this either in his notebook or in his Report to Crown counsel which he prepared early the next morning at the station. He testified that now he realized it was more impactful than he realized at the time. He said he thought Constable Reid would have noted the remarks because he was dealing with Mr. McMath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None of the other officers stated that they heard Mr. McMath make such statements. There is no suggestion that they were recorded on the audio recorder. Constable Frendo made no contemporaneous note of such a remark and I have concluded that his recollection with respect to this statement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Firefighters and two teams of paramedics arrived at the scene and took over Ms. McMath's care. In the course of providing this care to her at the scene, they cut away her clothing in order to expose her wounds.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paramedics transported her by ambulance to Royal Columbian Hospital. During the course of that trip, there was a conversation between Ms. McMath and Devon Pinchak, one of the paramedics, the substance of which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Pinchak:</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do this to yourself?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McMath:</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Pinchak:</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did this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McMath:</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husband.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Pinchak testified that he phoned the Royal Columbian twice on the trip to confer with a physician. He consulted about the appropriate dosage of morphine and possible intubation. He was the only first responder who spoke with the physician. He agreed that it is possible that he told the physician that the patient had been shot twice.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Now retired, Keith Nutbrown was, in 2008, a Sergeant in the Forensic Identification Section of the Abbotsford Police Department. He administered a test for gunshot residue on Mr. McMath's hands at approximately 12:45 a.m. on May 29 at the station. The swabs taken revealed the presence of gunshot residue, meaning that Mr. McMath had either fired a firearm, been in proximity to a firearm being discharged, or was in contact with another source of gunshot residue or a source of particles similar to gunshot residue.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11:47 p.m., Detective Demers instructed Constable Reid to re-arrest and re-</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Mr. McMath for attempted murder. He then arranged to call Legal Aid on Mr. McMath's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Constable Reid stated that Mr. McMath did not appear to be unsteady on his feet; he did not lose his balance; he was pacing around the station. Constable Reid described him as being somewhat slow on his feet, a heavyset man wearing work boots.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McMath conversed with Constable Reid at the station. He was not aggressive. On several occasions he expressed concern for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Detective Demers conducted an interview with Mr. McMath at the station after he had been re-</w:t>
      </w:r>
      <w:r>
        <w:rPr>
          <w:rFonts w:ascii="arial" w:eastAsia="arial" w:hAnsi="arial" w:cs="arial"/>
          <w:i/>
          <w:color w:val="000000"/>
          <w:sz w:val="20"/>
          <w:lang w:val="en-US" w:eastAsia="en-US" w:bidi="ar-SA"/>
        </w:rPr>
        <w:t>Chartered</w:t>
      </w:r>
      <w:r>
        <w:rPr>
          <w:rFonts w:ascii="arial" w:eastAsia="arial" w:hAnsi="arial" w:cs="arial"/>
          <w:color w:val="000000"/>
          <w:sz w:val="20"/>
          <w:lang w:val="en-US" w:eastAsia="en-US" w:bidi="ar-SA"/>
        </w:rPr>
        <w:t xml:space="preserve"> and given the opportunity to consult with counsel. He described Mr. McMath's demeanour as cordial and communicative. He seemed to understand and communicate in a normal fashion. He agreed that overall Mr. McMath was taking matters very seriously. He expressed concern for his wife. He said that Mr. McMath told him that he was physically uncomfortable and stated he had a swollen knee. Detective Demers recalled Mr. McMath putting his leg up to rest the knee and asked if he could be given anti-inflammatories.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Peter Jackson cigarette butts were found in the area close to where Janice McMath was lying along with the wine bottle and glass. A full package of Peter Jackson cigarettes was found in her vehicle at the scene. The package from which the butts had come was not recovered; however, Detective Demers agreed that he was not looking for it at the house and did not search the garbage.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 critical factor in the consideration of whether the Crown has discharged its burden of proof in this case is the consideration of the credibility of Mr. McMath's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provided the following useful discussion of the assessment of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 Ultimately, the validity of the evidence depends on whether the evidence is consistent with the probabilities affecting the case as a whole and shown to be in existence at the time... [Internal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Turning then to a consideration of Mr. McMath's testimony, Mr. McMath gave his evidence in a straightforward manner without apparent embellishment or argumentativeness. His demeanour appeared to be sincere and he appeared to be doing his best to provide an accurate history. There were some shifts in his evidence between chief and cross, but none that I viewed of great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Crown placed considerable emphasis on the fact that in his evidence in-chief he did not state that the firearm had struck the ground when he fell or that the butt of the firearm struck the ground until asked a leading question by his counsel. I do place some significance on this in considering the credibility and reliability of his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also note that the events at issue occurred some years ago. Moreover, the actual events surrounding the shooting occupied a very short interval. It would not be unexpected that a person who experienced an accidental fall with the terrible consequences of this case would have a difficult time providing a complete moment-by-moment recitation of what happened. Such an event would likely be shrouded to some extent in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Aspects of Mr. McMath's evidence are consistent with evidence of other witnesses. His evidence that he and Ms. McMath, notwithstanding the family litigation, had a relatively good relationship and that she frequently attended the farm is consistent with the evidence of Patrick and Ms. Judith Piccolo.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Patrick testified that since the separation he had not observed hostility between his parents. He agreed that there was a degree of tension but no hostility. He described their relations as tense but civil. He said his mother came and went as she chose at the house as often as two to three times a week. He confirmed that she kept some of her belongings at the house such as her kayak and that she would sometimes phone ahead to say she was coming and sometimes she would just drop by. He stated that his mother had never expressed any reluctance or fear to go to the home. She had never expressed any fear of his father. He stated that his parents worked together co-parenting his younger brother Michael. Michael was living in a group home at the time but would often have day or weekend passes to visit the residence. Patrick said his mother helped quite a bit with Michael.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evidence concerning the relationship of the parties was also corroborated by Judith Piccolo, who is a notary public and friend for many years to both McMaths. She stated that in March or April of 2008, Janice McMath told her that she and Mr. McMath might be getting back together; that they were working things out. She also agreed that Janice McMath visited the farm after separation and continued to store her personal items there. Ms. Piccolo had been visiting at the farm more than once when Janice McMath dropped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That there was some reason to believe that there could be a reconciliation as noted is corroborated by Ms. Piccolo who testified that Janice McMath had told her this in the spring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That Cam was home that evening is consistent with Patrick's evidence that when he saw his mother's injuries he ran to the house and got Cam to provide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That Mr. and Ms. McMath were drinking wine together that evening is consistent with the evidence of the wine bottle and wine glasses at the scene, together with the cigarette butts surrounding the area where the wine bottle and glasses had been standing and where Mr. McMath said they had been drinking. It is also consistent with the evidence of the blood alcohol analysis provided by Carolyn Kirkwood.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McMath's evidence concerning the two shots fired in relatively close succession is consistent with the evidence of other witnesses who heard shots and loud noises. The witnesses described shots in relatively close succession. There is a range of estimates of how far apart in time the shots were, but all are relatively close together and roughly consistent with what Mr. McMath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McMath's evidence that once he called 9-1-1 shortly after the shots were fired, leaving time to get to the phone, is consistent with Patrick's evidence, who described getting out of the car shortly after hearing loud noises, going to investigate, and finding his father on the phone with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McMath testified that his knee was chronically swollen in May 2008 and sometimes it gave out on him. This is consistent with the evidence of Dr. Kousaie who testified that Mr. McMath suffered from degenerative arthritis of the knee and Detective Demers confirmed that Mr. McMath asked for anti-inflammatory medication for his knee and complained about it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Motive is not one of the elements of the offence that the Crown is required to prove; however, evidence of motive is relevant evidence in this case going to the issue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Crown submits that the financial issues associated with the divorce proceedings provided a strong motive for Mr. McMath to kill his wife. The farm property had been in Mr. McMath's family for generations. He had added to the property over the years, and his plan was to remain on the property for life and pass it on to his sons. It was clear that this concept of legacy was important to Mr. McMath. It is also clear that the financial issues in the divorce proceeding constituted a very real threat to Mr. McMath's ability to preserve this legacy for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clear that if Ms. McMath succeeded to any degree in her claim for division of assets, at least some and perhaps all of the property would have to be sold. Moreover, they were now on the eve of trial and efforts to settle the litigation had not succeeded. Mr. McMath acknowledged that his sons and homestead meant everything to him and that he lives for his sons and the legacy they will inherit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accept that this situation could amount to a motive for Mr. McMath to murder his wife in order to preserve the property for himself and his children. On the other hand, this must be viewed in context. There is no evidence of animus between the couple, apart from the existence of the litigation. There is no evidence of violence in the marriage or after separation. Ms. McMath was comfortable coming and going to the farm property and visited frequently. She stored belongings there. Relations between the parties were cordial. They had reconciled in the past and Mr. McMath harboured hopes for reconciliation; what he described as the best possible solution. The evidence of Ms. Piccolo suggests that Janice McMath was at least considering the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is of course possible that a quarrel over the litigation could have erupted into violence. Mr. McMath's evidence is that they had not discussed the litigation that evening. The Crown submits that this is implausible, given the imminent trial date. However, there is no evidence that there was a quarrel or argument between Mr. McMath and his wife that night. They were sharing wine together, as noted. The presence of the wine bottle and glasses together with the blood alcohol analysis corroborates this aspect of Mr. McMath's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Neighbours and in particular Graham McAllister, who lived in closest proximity to the barn area and who was outside that evening, did not hear any sounds of arguing.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crux of the Crown's case for murder is that two shots were discharged from the firearm and that given the pump action in this firearm, this did not happen by accident. In the Crown's submission it required an intentional act to eject the spent cartridge from the chamber and load another cartridge.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have concluded that it is clear that two shots were fired. Mr. McMath told the 9-1-1 operator that two shots had been fired. He told Constable Frendo the same thing at the scene. His testimony at trial was to the same effect. The neighbours described hearing two shots in close succession and Patrick and his friend heard two noises in close succession they could not identify as gunshots but that were consistent with the timing of the shots the neighbours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Two spent cartridge cases and a live cartridge were recovered at the scene and Mr. Rioux, the RCMP firearms analyst, concluded that the cartridge cases had been fired from the rifle.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Crown contends that Ms. McMath suffered two gunshot wounds. The Crown relies upon the description of the wounds suffered by Ms. McMath provided by police and paramedics, the medical evidence, and the expert evidence of Mr. Rioux.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was the theory of the defence that Ms. McMath suffered only one gunshot wound. Counsel argued that the misapprehension was initiated by Constable Frendo who was told by Mr. McMath that the gun had fired twice and then told the first responders that Ms. McMath had been shot twice. This misinformation, counsel submits, was then repeated and coloured the perception of first responders and doctors who treated Ms. McMath.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John Nordby, the defence firearms expert, conducted a reconstruction based upon Ms. McMath's clothing. He pinned the clothing back together, it having been cut apart by the paramedics to administer treatment to Ms. McMath at the scene. The clothing was examined and the stains and damaged areas documented. The clothing was reassembled in the order it was believed to have been worn and each defect was examined to attempt to determine a mechanism of damage. The clothing was installed on a frame in order to examine the relationship of one layer to the next. Based upon this analysis, it was Dr. Nordby's opinion that a single gunshot perforated Ms. McMath's body pursuing a course from down to up and front to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was also Dr. Nordby's opinion that the other damage observed on the clothing could have been caused by bullet fragments, bone fragments, or gases associated with discharge at close range. Dr. Nordby stated it was his opinion based upon a review of the medical reports that it was possible that all the injuries described could have been occasioned by a single gunshot. He stated that the force of a gunshot can result in fragmenting of the bullet, which fragments will in turn cause damage, stretching and tearing of organs and the fracturing of bones, including fractures at a distance from the path of the bullet. Bone fragments can then cause further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my view, however, his opinion is at odds with the opinions of the doctors who treated Ms. McMath at the Royal Columbian Hospital. Dr. Joseph Ip is a physician who has special expertise in emergency medicine. He was the head of the Trauma Team at the Royal Columbian when Ms. McMath was admitted. He observed three wounds in his preliminary assessment when Ms. McMath was admitted: an open wound on the left shoulder to mid-chest, running from the shoulder area to mid-chest; a small round wound in the lower aspect of the left lateral chest; and a wound on the left flank with bowel contents extruding. He was of the opinion that the round wound in the lower chest was a bullet wound. He was of the view that the left flank wound was an exit wound. He requested chest and abdominal x-rays and observed multiple bullet fragments in the left shoulder and left chest wall and multiple bullet fragments in the upper left quadrant below the lowest rib in the abdominal x-ray.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David Konkin is a surgeon who dealt with Ms. McMath's abdominal injury. He noted that she had a large anterior chest injury just below the clavicle. Dr. Bond, the chest surgeon, dealt with that injury. She also had a penetrating trauma wound with what looked like an exit site posteriorly. With respect to this injury, when he operated he observed that the spleen was macerated, there was a large left diaphragm injury, a number of the short gastrics were ripped apart and bleeding profusely. There were two colon injuries at the transverse colon and in the sigmoid. These injuries were on the left side and consistent with a gunshot injury. The injury in the left abdominal area he was treating appeared to be one track with damage in the area of the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Reuben Bond is the thoracic surgeon who operated on Ms. McMath's chest after she was admitted. He described observing two distinct wounds: the open laceration in the left anterior chest extending from the sternum just under the clavicle to just above the lateral to the humeral head, extending deep to the humeral head opening up the joints in the intercostal space down to the lung with a small lung laceration in the upper left lobe. In his opinion, this was likely a gunshot wound tangentially striking the chest. There was also what he believed to be an entry wound in the lower anterior axillary line with what he believed was a posterior lateral exit wound. During surgery he observed a large chest wall defect where the ribs were shattered from the fourth to the ninth, and a large defect in the diaphragm. He observed bone fragments in the chest wall but none in the lung or pleural cavity. He observed a large deep laceration in the lower left lobe of the lung and did not observe fractures above the fourth rib.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was his opinion that there were three wounds and two distinct injuries. This was because there was no trauma pathway or projectile path between the wounds in the upper and lower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Charlesworth performed the autopsy. His observations were limited by the extensive surgical repairs that had been done. He concluded based in part upon his review of the medical records that there were gunshot wounds to the left chest and left side abdomen and attributed the cause of death to complications of gunshot wounds sustained to the left chest and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Rioux gave the opinion that the damage observed to Ms. McMath's clothing was consistent with having been caused by fired projectiles.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have concluded that Ms. McMath was struck by two bullets. While I accept that damage of the sort described could have been caused by one bullet, I can see and was provided with no mechanism by which one bullet could cause the damage along two separate paths in the body with healthy tissue in between as was found in Ms. McMath's body; in particular, the damage to the upper and lower lobes of the lung with healthy, undamaged lung tissue in between.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Was the wound to the chest a contact wound? Mr. Rioux was of the opinion that the shot that caused the damage to the left front pocket of Ms. McMath's blouse had been fired with the muzzle in contact with the blouse. He based his opinion on the shape of the tear in the blouse, the pattern observed around the tear, and the absence of the residue of powder grains. However, the testing conducted by Mr. Rioux in this regard was in my view not sufficient to permit me to give weight to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standard test for range determination is to fire the weapon from specific distances using the same ammunition to a white target of the same material as the subject. Then the dimensions and characteristics of the pattern produced can be compared with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Rioux did conduct test firing using the firearm. He used what he believed to be similar ammunition. His test did not, however, use the same material and he made no measurements for comparison purposes. He placed considerable emphasis on the shape of the tear in the blouse; however, it is possible that the tear could have been altered by the efforts of first responders in treating Ms. McMath. He did not measure the dimensions of the defect in the blouse. He did not conduct a test using the same type of cloth as the blouse. Indeed he assumed without checking that the blouse was cotton when in fact it was a blend. He believes that he used cotton in the test fabric but did not check to confirm that this was the case. This is important because the type of fabric is an important factor in the configuration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did not measure the dimensions of the damage in the test shots so there is no way to compare the test and the subject and in any event they were not visually comparable. He placed reliance on the soot pattern; however, the soot pattern on the blouse was quite different from that produced in his test shots. In his testimony, Mr. Rioux attributed that to the angle of contact but conducted no tests to validate this hypothesis.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Nordby's ability to conduct tests was compromised by his inability to fire the rifle and by the destructive testing of the fabric conducted by Crown. He stated that a back splatter test to examine the firearm to see if the vacuum created in the barrel from firing had drawn back blood is an important test to determine the range of firing. This is a test that must be done before any other test since the data will be destroyed once another bullet is fired. This test was not done in the RCMP lab and could not be done by Dr. Nordby because of the RCMP test firing. He was of the opinion, based upon the testing that he was able to do, that the shot could have been at a distance of up to 16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conclude that the shot that caused the damage to the left pocket area of Ms. McMath's blouse was fired at a distance of up to 16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position of the Crown is that Mr. McMath's evidence is not credible, nor should it raise a reasonable doubt because it is not possible for the firearm to be discharged twice by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Crown's expert, Mr. Rioux, found that the firearm was prone to discharge in his testing when struck with a mallet on the top of the receiver with the safety off. He stated that there are several ways to test for shock discharge: the blow with the mallet while holding the firearm with one hand, a drop test in which the firearm is held from a four foot height and dropped to a hard rubber mat, or to let the firearm fall in every direction onto a rubber mat. In Mr. Rioux's testing, no shock discharge was produced when the safety was on and shock discharge was only produced with a blow to the top of the receiver, not to the butt stock. He noted that the butt stock was cracked when the firearm arrived at the lab. It was his testimony that the balance of the butt plate broke when struck with the mallet. He agreed in cross-examination that if the firearm was prone to shock discharge when dropped onto a rubber mat, it would be more prone when dropped on 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 stated that the slide cannot move back and forth to eject and reload without manual manipulation. It was his opinion that it was not possible to reload by hitting the butt stock on the cement floor. However, he agreed in cross-examination that with sufficient recoil from a butt strike shock discharge the slide in a pump action rifle could be manipulated other than manually. He stated that the slide could move but he did not know to what extent. He agreed that he conducted no testing to determine whether recoil and the force of discharge could move the slide and agreed that if someone tested the firearm and found movement, he is not in a position to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Nordby noted that the firearm was damaged. The butt plate was gone, the stock was broken where the wood joins the receiver, and efforts to tighten the bolt holding the stock to the receiver would not work because of the crack in the stock. In his view the cracks in the stock were not ancient; they were not filled with dirt for example. It was his opinion that the damage was likely caused by a severe blow to the butt of the stock. He noted that for this sort of damage he would expect it to be from a hard strike to the stock. He stated he did not think the damage could have been caused by testing in the RCMP lab because if that were so it would have been documented.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This is somewhat problematic however, because but for the initial damage to the butt plate, none of the damage to the firearm was documented by Mr. Rioux. However, it is clear from photographs taken prior to the testing that there was visible damage to the firearm prior to the RCMP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Nordby conducted a test of the firearm by placing it in a vise and striking it with a rubber hammer. In this test, the slide moved when the firearm was struck. He observed about four centimetres of movement, enough to begin loading another round. He did not observe in testing enough movement to unload and re-load but was of the opinion that with the rifle striking a cement floor with the upper end of the butt plate down, the discharge and reaction to the impact could move the slide enough to both eject the spent cartridge case and re-load a new one from the magazine.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 hypothetical was put to Dr. Nordby for his opinion based on his testing, his examination of the rifle, and training and expertise. The hypothetical to consider was: if someone was holding the rifle with the left hand on the pump, the right hand on the trigger area, the weapon at hip level and the safety off, and were to then stumble and have a shot fired, after the first shot the person would take a step forward, the safety still off, holding the slide with the left hand, the right hand still in the trigger area, stumble and fall down with the butt striking the ground and another shot fired.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Nordby stated that when the first shot was fired, he would assume the finger was on the trigger. When the first shot fired, there would be recoil. The rifle will move to the rear and could move the person back toward the recoil. When the gun moved back, the hand on the slide will exert pressure, pushing the slide forward and then back. It was possible that there would be enough movement from the recoil to eject the spent shell. In other words, in those circumstances the force of the recoil moves the slide. A step forward with a hand on the pump could move the slide forward and load another shell. Then if there is a second fall and the finger is on the trigger the weapon would fire from the stumble without an intentional pull, depressed from reaction to the fall. Another possibility is if the hand was not on the trigger but the firearm could discharge from striking the butt.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can be no question that Mr. McMath's description of the events is inherently implausible. There is an implausible coincidence in the fact that the firearm was taken out and loaded, ostensibly to be used for the first time in years to kill marauding coyotes on the very day Ms. McMath came to the house for wine. It is certainly implausible that a pump action firearm could be discharged twice in rapid succession by accident. It is implausible that two accidentally fired shots would both hit Ms. McMath.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However, I have concluded that although implausible, it is possible that the firearm could have discharged accidentally twice in succession as Mr. McMath described in his testimony. In this regard I note in particular Dr. Nordby's testimony that the damage to the firearm was damage that was likely caused by a severe blow to the butt stock. Further, he described in his testimony a mechanism by which the firearm could accidentally discharge twice in close succession.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While Mr. Rioux's opinion was to the contrary, he acknowledged that his opinion was not based on any testing. Moreover, he did not appear to have considered the mechanisms described in the hypothetical addressed by Dr. Nordby.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Considering Mr. McMath's testimony in light of the evidence with respect to the condition of the firearm and the expert evidence of Dr. Nordby, I am left with reasonable doubt with respect to the question of intent. I have concluded that the Crown has failed to discharge its burden to prove beyond a reasonable doubt that Mr. McMath discharged the firearm intentionally. It follows, Mr. McMath, that I find you not guilty of second degree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next issue is whether the Crown has proved that Mr. McMath is guilty of unlawful act manslaughter, pursuant to s. 222(5)(a)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by reason that Mr. McMath is guilty of an offence contrary to s. 86(1)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Ms. McMath's death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essential elements that the Crown must prove beyond a reasonable doubt with respect to the offence of unlawful act manslaughter are that on the date and in the place specified by the indictment, Mr. McMath committed an unlawful act, that his unlawful act was dangerous, meaning that a reasonable person in the same circumstances would have realized that he or she was exposing someone else to a risk of bodily harm, and that his unlawful act caused Janice McMath's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Section 86(1) concerns the careless use of a firearm. The section provides: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person commits an offence who, without lawful excuse, uses, carries, handles, ships, transports or stores a firearm, a prohibited weapon, a restricted weapon, a prohibited device or any ammunition or prohibited ammunition in a careless manner or without reasonable precautions for the safety of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It is clear that Mr. McMath could be convicted of manslaughter based on careless use of a firearm, contrary to s. 86(1) (see: </w:t>
      </w:r>
      <w:r>
        <w:rPr>
          <w:rFonts w:ascii="arial" w:eastAsia="arial" w:hAnsi="arial" w:cs="arial"/>
          <w:i/>
          <w:color w:val="000000"/>
          <w:sz w:val="20"/>
          <w:lang w:val="en-US" w:eastAsia="en-US" w:bidi="ar-SA"/>
        </w:rPr>
        <w:t>R .v.</w:t>
      </w:r>
      <w:r>
        <w:rPr>
          <w:rFonts w:ascii="arial" w:eastAsia="arial" w:hAnsi="arial" w:cs="arial"/>
          <w:color w:val="000000"/>
          <w:sz w:val="20"/>
          <w:lang w:val="en-US" w:eastAsia="en-US" w:bidi="ar-SA"/>
        </w:rPr>
        <w:t xml:space="preserve"> Gosse</w:t>
      </w:r>
      <w:r>
        <w:rPr>
          <w:rFonts w:ascii="arial" w:eastAsia="arial" w:hAnsi="arial" w:cs="arial"/>
          <w:i/>
          <w:color w:val="000000"/>
          <w:sz w:val="20"/>
          <w:lang w:val="en-US" w:eastAsia="en-US" w:bidi="ar-SA"/>
        </w:rPr>
        <w:t>t</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[1993] 3 S.C.R. 76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Tataryn</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2001 BCCA 406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Finlay</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[1993] 3 S.C.R. 103</w:t>
        </w:r>
      </w:hyperlink>
      <w:r>
        <w:rPr>
          <w:rFonts w:ascii="arial" w:eastAsia="arial" w:hAnsi="arial" w:cs="arial"/>
          <w:color w:val="000000"/>
          <w:sz w:val="20"/>
          <w:lang w:val="en-US" w:eastAsia="en-US" w:bidi="ar-SA"/>
        </w:rPr>
        <w:t>, Chief Justice Lamer noted at 115: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enacting s. 86(2), Parliament has seen fit to impose on all people owning or using firearms a specific and rigorous duty of care. It is a basic tenet of the principles of fundamental justice that the state not be permitted to punish and deprive of liberty the morally innocent. Those who have the capacity to live up to a standard of care and fail to do so, in circumstances involving inherently dangerous activities, however, cannot be said to have done nothing wrong. The Law Reform Commission of Canada emphasized this point in the following passage from </w:t>
      </w:r>
      <w:r>
        <w:rPr>
          <w:rFonts w:ascii="arial" w:eastAsia="arial" w:hAnsi="arial" w:cs="arial"/>
          <w:i/>
          <w:color w:val="000000"/>
          <w:sz w:val="20"/>
          <w:lang w:val="en-US" w:eastAsia="en-US" w:bidi="ar-SA"/>
        </w:rPr>
        <w:t>Workplace Pollution</w:t>
      </w:r>
      <w:r>
        <w:rPr>
          <w:rFonts w:ascii="arial" w:eastAsia="arial" w:hAnsi="arial" w:cs="arial"/>
          <w:color w:val="000000"/>
          <w:sz w:val="20"/>
          <w:lang w:val="en-US" w:eastAsia="en-US" w:bidi="ar-SA"/>
        </w:rPr>
        <w:t>, Working Paper 53 (1986), at pp. 72-73: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 kinds of activity involve the control of technology (cars, explosives, firearms) with the inherent potential to do such serious damage to life and limb that the law is justified in paying special attention to the individuals in control. Failing to act in a way which indicates respect for the inherent potential for harm of those technologies, after having voluntarily assumed control of them (no one </w:t>
      </w:r>
      <w:r>
        <w:rPr>
          <w:rFonts w:ascii="arial" w:eastAsia="arial" w:hAnsi="arial" w:cs="arial"/>
          <w:i/>
          <w:color w:val="000000"/>
          <w:sz w:val="20"/>
          <w:lang w:val="en-US" w:eastAsia="en-US" w:bidi="ar-SA"/>
        </w:rPr>
        <w:t>has</w:t>
      </w:r>
      <w:r>
        <w:rPr>
          <w:rFonts w:ascii="arial" w:eastAsia="arial" w:hAnsi="arial" w:cs="arial"/>
          <w:color w:val="000000"/>
          <w:sz w:val="20"/>
          <w:lang w:val="en-US" w:eastAsia="en-US" w:bidi="ar-SA"/>
        </w:rPr>
        <w:t xml:space="preserve"> to drive, use explosives, or keep guns) is legitimately regarded as criminal.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test for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cases involving penal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articulated in the majority decision of Justice McLachlin, as she then was, in </w:t>
      </w:r>
      <w:r>
        <w:rPr>
          <w:rFonts w:ascii="arial" w:eastAsia="arial" w:hAnsi="arial" w:cs="arial"/>
          <w:i/>
          <w:color w:val="000000"/>
          <w:sz w:val="20"/>
          <w:lang w:val="en-US" w:eastAsia="en-US" w:bidi="ar-SA"/>
        </w:rPr>
        <w:t>R. v. Creighton</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[1993] 3 S.C.R. 3</w:t>
        </w:r>
      </w:hyperlink>
      <w:r>
        <w:rPr>
          <w:rFonts w:ascii="arial" w:eastAsia="arial" w:hAnsi="arial" w:cs="arial"/>
          <w:color w:val="000000"/>
          <w:sz w:val="20"/>
          <w:lang w:val="en-US" w:eastAsia="en-US" w:bidi="ar-SA"/>
        </w:rPr>
        <w:t xml:space="preserve"> at 73-74: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first question is whether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established. This requires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constitute a marked departure from the standards of the reasonable person in all the circumstances of the case. This may consist in carrying out the activity in a dangerous fashion, or in embarking on the activity when in all the circumstances it is dangerous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next question is whether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established. As is the case with crimes of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objective foresight of risking harm is normally inferred from the facts. The standard is that of the reasonable person in the circumstances of the accused. If a person has committed a manifestly dangerous act, it is reasonable, absent indications to the contrary, to infer that he or she failed to direct his or her mind to the risk and the need to take care. However, the normal inference may be negated by evidence raising a reasonable doubt as to lack of capacity to appreciate the risk. Thus,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for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made out, it is necessary to ask a further question: did the accused possess the requisite capacity to appreciate the risk flowing from his conduct? If this further question is answered in the affirmative, the necessary moral fault is established and the accused is properly convicted. If not, the accused must be acquitted.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Carlos</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2002 SCC 35</w:t>
        </w:r>
      </w:hyperlink>
      <w:r>
        <w:rPr>
          <w:rFonts w:ascii="arial" w:eastAsia="arial" w:hAnsi="arial" w:cs="arial"/>
          <w:color w:val="000000"/>
          <w:sz w:val="20"/>
          <w:lang w:val="en-US" w:eastAsia="en-US" w:bidi="ar-SA"/>
        </w:rPr>
        <w:t xml:space="preserve">, the Supreme Court of Canada confirmed that storage does not require proof of long-term or permanent storage (and see </w:t>
      </w:r>
      <w:r>
        <w:rPr>
          <w:rFonts w:ascii="arial" w:eastAsia="arial" w:hAnsi="arial" w:cs="arial"/>
          <w:i/>
          <w:color w:val="000000"/>
          <w:sz w:val="20"/>
          <w:lang w:val="en-US" w:eastAsia="en-US" w:bidi="ar-SA"/>
        </w:rPr>
        <w:t>R. v. Critch</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(2012), 322 Nfld. &amp; P.E.I.R. 126</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[2012] N.J. No. 131</w:t>
        </w:r>
      </w:hyperlink>
      <w:r>
        <w:rPr>
          <w:rFonts w:ascii="arial" w:eastAsia="arial" w:hAnsi="arial" w:cs="arial"/>
          <w:color w:val="000000"/>
          <w:sz w:val="20"/>
          <w:lang w:val="en-US" w:eastAsia="en-US" w:bidi="ar-SA"/>
        </w:rPr>
        <w:t xml:space="preserve"> (P.C.)).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evidence that bears upon this issue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Sometime during the day of May 28, 2008, Mr. McMath loaded the Remington rifle with three cartridges. He placed one cartridge in the chamber even though this was not necessary. He could have placed all three cartridges in the magazine and left the chamber clear. A cartridge would then have been put into the chamber by using the slide action or pumping the firearm.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McMath testified that he was familiar with the purpose of the safety and could not say whether it was on. I find that the safety was not on. The evidence is clear that this rifle will not discharge intentionally or otherwise when the safety is on. The firearm did not discharge in the shock testing with the safety on. Since the firearm discharged, not once but twice, the safety must have been off. Mr. Rioux testified that the safety was in working order when he examined the firearm.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McMath then left the loaded firearm propped up against some farm equipment in the area of the chicken coop. The area was unattended for a period of time while he was in the house drinking wine with Ms. McMath. Later in the evening, he stated that he attempted to unload the firearm. This was after he had consumed sufficient alcohol so that he was affected to some extent by it. It was undertaken in dark conditions on uneven pavement and in close proximity to another person. He demonstrated that when he picked the gun up to unload it, he had his left hand on the slide, his right on the stock and his finger over or near the trigger area. It was possible that his finger was on the trigger each time the gun went off. He stated that as he was attempting to unload he stumbled or his knee went out and the firearm discharged the first time. He went down and the gun discharged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agree with the Crown that at least with respect to the first shot, the only explanation on the evidence is that his finger was on the trigger at the time of first discharge since it is not until the second shot that he describes the gun hitting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Crown submits that his behaviour was not momentary inadvertence but demonstrated a chain of inherently dangerous actions from which the risk of bodily harm was objectively foreseeable. He first stored and then handled to unload the firearm in circumstances in which the safety was not engaged and there was a round in the chamber. Having a cartridge in the chamber left the firearm more dangerous and prone to discharge, intentional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defence submits that Mr. McMath was taking steps to unload the gun. He was not in the process of firing or using it in any other fashion. Counsel submits that it would not have been safe to take the gun back to the house to unload it. Because Mr. McMath was taking precautionary steps, counsel submits that the conduct does not amount to a marked departure from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defence submits that Mr. McMath had turned away from Ms. McMath to unload the firearm and that she stepped in front of the muzzle of the firearm. Thus, counsel submits, it was not foreseeable that she would be in the line of fire and accordingly, in counsel's submission, this conduct was not a marked departure from a reasonable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defence submits that there is no expert evidence concerning the standard of care of a farmer in a rural area with respect to the practice of placing a round in the chamber. Counsel submitted that in the absence of such evidence, the Court cannot conclude that the conduct amounted to a marked departure from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defence submits that leaving the loaded firearm unattended in the area near the chicken coop is of no significance in relation to the issue as there was no causal nexus between that act and the shooting.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Finally, the defence submits that the accident that resulted in the discharge of the firearm was an intervening act that was unforeseeable and broke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have concluded that the storing and handling of a loaded firearm with the safety not engaged in the circumstances constituted a marked departure from the standard of care. The defence submitted that Mr. McMath was taking safety precautions in unloading the firearm prior to taking it back to the house. However, as Dr. Nordby stated, it is possible to unload this firearm with the safety engaged. It is clear in my view that proceeding to unload the firearm with the safety not engaged did constitute a marked departure from the standard of care. The marked departure was compounded in the circumstances of this case by the fact that Mr. McMath had previously placed a round in the chamber, thereby increasing the level of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defence has submitted that the conduct was not a marked departure from the standard of care because Mr. McMath had turned away from Ms. McMath when he started to unload the firearm. I do not agree. Ms. McMath was in close proximity. Moreover, this aspect of the standard of care is directed to prevent the accidental discharge of the firearm. It is foreseeable that a stumble could cause the position of the weapon to change, bringing Ms. McMath into the line of fire. It is also foreseeable that she might change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my view, no expert evidence is required. Mr. McMath accurately described the standard of care in his testimony: the safety is to be engaged unless the firearm was going to be fired. Moreover, while this was a rural setting, there were other people in the vicinity, notably, Janice and Cameron McMath.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 contrast these circumstances with those in </w:t>
      </w:r>
      <w:r>
        <w:rPr>
          <w:rFonts w:ascii="arial" w:eastAsia="arial" w:hAnsi="arial" w:cs="arial"/>
          <w:i/>
          <w:color w:val="000000"/>
          <w:sz w:val="20"/>
          <w:lang w:val="en-US" w:eastAsia="en-US" w:bidi="ar-SA"/>
        </w:rPr>
        <w:t>R. v. Bludau</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[1994] O.J. No. 2537</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25 W.C.B. (2d) 330</w:t>
        </w:r>
      </w:hyperlink>
      <w:r>
        <w:rPr>
          <w:rFonts w:ascii="arial" w:eastAsia="arial" w:hAnsi="arial" w:cs="arial"/>
          <w:color w:val="000000"/>
          <w:sz w:val="20"/>
          <w:lang w:val="en-US" w:eastAsia="en-US" w:bidi="ar-SA"/>
        </w:rPr>
        <w:t xml:space="preserve"> (C.J. Gen. Div.), a case cited by the Crown. In that case the accused had loaded a firearm for potential use against animals rummaging through the garbage. He had placed the weapon in his kitchen. The safety was engaged and there was no round in the chamber. The gun would therefore have to be pumped to be in a position to fire. The home was in a remote rural area and the gun was not left unattended. The accused had not been drinking or using drugs. The Court of Appeal concluded that in the circumstances the risk of harm was minimal and that the Crown had not established that the conduct amounted to a marked departure from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am satisfied that in the present case the risk of harm that the rifle might discharge and injure or kill someone was foreseeable and that Mr. McMath's conduct did amount to a marked departure from the standard of care. In my view the stumble and fall leading to the discharge of the firearm as described by Mr. McMath was not an accident breaking the chain of causation but a risk of the very sort that the standard of care was intended to prevent - the unintentional discharge of the firearm.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With respect to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I conclude that a reasonable person in the circumstances would foresee the risk of harm. Finally, I conclude that Mr. McMath possessed the capacity to appreciate the risks flowing from his conduct. There is no suggestion of a lawful excuse. I conclude that the Crown has established beyond a reasonable doubt that Mr. McMath violated s. 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am also satisfied beyond a reasonable doubt that his actions were dangerous and that a reasonable person in his circumstances would appreciate that he was exposing Ms. McMath to the risk of bodily harm. Finally, I am satisfied that Ms. McMath's death was caused by the unlawful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McMath, please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Mr. McMath, I find you guilty of unlawful act manslaughter contrary to s. 222(5)(a)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in causing the death of Janice McMath. You may be seated, sir.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R. v. Park, [2018] B.C.J. No. 1225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16-20, 23-27, 30, May 1-4, 9-10,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Date of summary of reasons: May 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27172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1225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945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414 C.R.R. (2d) 222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James Travis Park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(210 paras.)</w:t>
      </w:r>
    </w:p>
    <w:p>
      <w:pPr>
        <w:jc w:val="both"/>
        <w:rPr>
          <w:rFonts w:ascii="arial" w:eastAsia="arial" w:hAnsi="arial" w:cs="arial"/>
          <w:sz w:val="20"/>
          <w:lang w:val="en-US" w:eastAsia="en-US" w:bidi="ar-SA"/>
        </w:rPr>
      </w:pPr>
      <w:bookmarkStart w:id="41" w:name="Counsel_9"/>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D.G. Nearing, M.J. Booker, J. Gock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R.S. Fowler, K.A. Blok.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9"/>
      <w:bookmarkEnd w:id="42"/>
      <w:r>
        <w:pict>
          <v:line id="_x0000_s1065" style="position:absolute;z-index:251723776"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 486.4(2.1)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any information that could identify the victim known as A. shall not published in any document or broadcast or transmitted in any way.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Paragraph</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 INTRODUCTION</w:t>
      </w:r>
      <w:r>
        <w:rPr>
          <w:rFonts w:ascii="arial" w:eastAsia="arial" w:hAnsi="arial" w:cs="arial"/>
          <w:color w:val="000000"/>
          <w:sz w:val="20"/>
          <w:lang w:val="en-US" w:eastAsia="en-US" w:bidi="ar-SA"/>
        </w:rPr>
        <w:t xml:space="preserve"> 1</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II. THE FACTUAL BACKGROUND</w:t>
      </w:r>
      <w:r>
        <w:rPr>
          <w:rFonts w:ascii="arial" w:eastAsia="arial" w:hAnsi="arial" w:cs="arial"/>
          <w:color w:val="000000"/>
          <w:sz w:val="20"/>
          <w:lang w:val="en-US" w:eastAsia="en-US" w:bidi="ar-SA"/>
        </w:rPr>
        <w:t xml:space="preserve"> 7</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III. VOLUNTARINESS</w:t>
      </w:r>
      <w:r>
        <w:rPr>
          <w:rFonts w:ascii="arial" w:eastAsia="arial" w:hAnsi="arial" w:cs="arial"/>
          <w:color w:val="000000"/>
          <w:sz w:val="20"/>
          <w:lang w:val="en-US" w:eastAsia="en-US" w:bidi="ar-SA"/>
        </w:rPr>
        <w:t xml:space="preserve"> 36</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A. Issues on Voluntariness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778"/>
        <w:gridCol w:w="627"/>
        <w:gridCol w:w="74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The Law</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w:t>
            </w:r>
          </w:p>
        </w:tc>
        <w:tc>
          <w:tcPr>
            <w:tcW w:w="72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359"/>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Summary</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the Law Regarding Voluntariness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33"/>
        <w:gridCol w:w="74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 Oppression</w:t>
            </w:r>
          </w:p>
        </w:tc>
        <w:tc>
          <w:tcPr>
            <w:tcW w:w="72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w:t>
            </w:r>
          </w:p>
        </w:tc>
        <w:tc>
          <w:tcPr>
            <w:tcW w:w="72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43</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evidence presentations 46</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Symptoms of Substance Withdrawal and Voluntariness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Positions of</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Parties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D. Discussion and Conclusion on Voluntariness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359"/>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Threats</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Inducements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Atmosphere of Oppression 66</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Mr. Park's vulnerabilities 68</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theme related to the charge approval standard 74</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presentation 79</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allowing Mr. Park to leave the interview room 82</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Mr. Park requesting to speak to his lawyer 85</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Cpl. Fortin suggesting Mr. Park had made an admission 90</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interview 94</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Withdrawal and hallucinations 99</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 105</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Regarding Alcohol Withdrawal and Hallucinosis 128</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Voluntariness 137</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IV. CHARTER - SECTION 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146</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A. Positions of the Parties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151</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151</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159</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B. Issues regarding s. 7 of the Charter 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Overview of</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Law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7 of the Charter 173</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Deprivation 173</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Principles of Fundamental Justice 179</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24(2) of the Charter 190</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D. Discussion and Conclusions on Charter Application 196</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24(2) - "Obtained in a Manner" 196</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Section 7 Argument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Ruling on Admissibility of Statement</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James Travis Park is charged with the offence of second degree murder in relation to the death of his seven-week old daughter, A., on March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Crown applies to tender in evidence the entirety of the statement made by the accused on October 29, 2016 as part of the Crown's case at trial. The Crown says it may also use the statement made by Mr. Park on October 28, 2016 in cross-examination if Mr. Park testifies. Mr. Park made inculpatory statements in the last 20 minutes of his police interview on October 29. The entirety of the inculpatory portion of the statement is included as an appendix with a short portion also inserted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commenced on the sole issue of the voluntariness of Mr. Park's statements. At the commencement of the second week of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the defence made an application to bring a late-filed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 seeking an order pursuant to sections 7 and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excluding the statement that Mr. Park made on October 29. The defence application to bring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 was granted, and the applications then proceeded as a blended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trial, now judge alone after a re-election, is scheduled to commence on May 28, 2018. Due to the urgency, I informed counsel with a summary of these Reasons on May 18 that the Crown application is allowed, and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these reasons I will first address the issue of voluntariness and then turn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 On voluntariness the Crown has the burden of proof beyond a reasonable doubt, and on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 the defence must prove the breach on a balance of probabilities. Although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was blended, the analysis of the two issues is separate.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Many of the facts set out in the discussion of voluntariness are also relevant to the discussion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 The evidence was extensive and detailed, and although these Reasons will not incorporate all of the evidence, the totality of the evidence has been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arose during the 29-hour period that Mr. Park was held in custody in the Burnaby RCMP Detachment (also referred to as the "Burnaby Cells") from 4:30 p.m. on Friday, October 28, 2016 to approximately 9:25 p.m. on Saturday, October 29, 2016. For ease of reference I will often refer to October 28, 2016 as "Friday" and October 29, 2016 as "Saturday".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the 15 days of evidence on this blended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the court observed and heard approximately 15 hours of video only, audio only, and video with audio; and reviewed approximately 550 pages of transcripts of the audio played in court. The witnesses, all called by the Crown, were four police officers, a civilian cell guard, and four doctors who were qualified to give expert evidence in their medical fields of expertise. Counsel filed Admissions pursuant to s. 655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regarding much of the time that Mr. Park was in custody in the Burnaby Cells; thus in-court observation of the video of Mr. Park overnight was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Park's arrest for the second degree murder of A. occurred on Friday October 28, 2016, at 3:45 p.m. at Lougheed Town Centre Station. Members of the Integrated Homicide Investigation Team ("IHIT") attended and read a prepared arrest script to Mr.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approximately 4:30 p.m., Csts. Sabo and Lee of IHIT transported Mr. Park to the Burnaby Cells. At various times during the booking-in process, Mr. Park advised IHIT and Burnaby RCMP members that he was a smoker, an alcoholic, had anxiety for which he had a prescription for Ativan, and that he had not consumed alcohol for approximately 14 hours. Cst. Sabo asked directly and Mr. Park stated that he did not have suicidal thoughts. The "S" or suicide box was not checked on the booking-in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Park was provided access to his counsel shortly after he was booked in. IHIT members obtained Mr. Park's Ativan prescription from his mother and filled it at a drug store for him later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Mr. Park had a cigarette break with Cst. Lee from 7:47 to 9:54 p.m. on October 28, Cpl. Kee conducted a warned statement with Mr. Park (the "First Statement"). In the early stages of the interview, Cpl. Kee asked Mr. Park about his alcohol consumption but Mr. Park declined to answer. When asked about his present situation Mr. Park said that he might be sick from nausea because of his anxiety. He requested that the officers obtain his prescription for anxiety medication from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Following the First Statement, Mr. Park was taken for a cigarette in the garage and then returned to Cell 5. At 10:45 p.m. Cpl. Whalley, the Burnaby cells officer in charge or NCO, provided Mr. Park his Ativan, and then at Mr. Park's request, a book. Mr. Park remained in Cell 5 overnight from Friday into Saturday. Between 12:31 a.m. and 8:43 a.m. Mr. Park was lying on his bed except when he got up six times to use the washroom or walk around his cell. No unusual behaviour was noted. Instances of unusual behaviour before the end of the Second Statement are noted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Saturday morning, Mr. Park requested his medication at 8:57 a.m. and received it at 9:00 a.m. At 9:21 a.m. Mr. Park appeared to speak to someone at his cell door, but there was no indication anyone was on the other side of the door. At approximately 9:45 a.m. Mr. Park was wiping at the ceiling with toilet paper and touching the walls. At 9:45 a.m. Mr. Park reported seeing flies and a sticky floor to the Burnaby Cells Civilian Guard Motak who reported this to Cpl. Kee and 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10:03 a.m. when Cpl. Kee took Mr. Park to the garage for a cigarette Cpl. Kee asked Mr. Park about his sleep and learned that it had been interrupted by noise from a prisoner in another cell. Mr. Park described the tacky paint on the ceiling and wall and seeing the fruit flies on the ceiling. During this conversation Mr. Park was standing calmly in one place with his cigarette. Mr. Park also asked about the process of his upcoming telephone hearing, the latest World Series baseball game, and made jokes about his being in a hotel with free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cigarette break, Cpl. Kee went with Mr. Park to Cell 5 where Mr. Park showed Cpl. Kee where he saw the flies and tackiness. Cpl. Kee observed that the paint on the ceiling was marked with black spots, possibly from mold.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Between 11:02 and 11:15 a.m. Mr. Park was taken from his cell to consult with his counsel. He was then taken for a telephone hearing with a judicial justice of the peace ("JJP hearing") between 12:59 and 1:10 p.m. Around this time, Mr. Park reported to an IHIT member that the cement slab in Cell 5 was moving, and that he could hear the caulking sliding back and forth. Officers observed Mr. Park to be jittery and shaky. In the video footage of the cell he appeared to shield himself from the wall at times, and touched the corner between the wall and the ceiling.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From 1:11 to 6:20 p.m., Cpl. Kee conducted a second warned interview with Mr. Park (the "Second Statement"). At 1:25 p.m. Cpl. Kee escorted Mr. Park to the bathroom. At 1:33 p.m. Mr. Park asked Cpl. Kee if he could be moved to a different cell because there was a slab hanging off the wall and Mr. Park said he thought it would fall down. Cpl. Kee agreed Mr. Park could be moved to a different cell. Mr. Park was given food and a cigarette between 2:50 and 3:10 p.m. While on a bathroom break in a cell, Mr. Park asked Cst. Lee if "it fell" and then a few minutes later told Cst. Lee that a "slab" in the cell was making noise and moving. There was no further mention by Mr. Park of these hallucinations after approximately 3:00 p.m. on Saturday.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Second Statement continued and the evidence presentation portion took place between 4:00 and 5:35 p.m. with Cst. Gaiger. At 5:43 p.m. Cpl. Fortin entered the interview room to speak with Mr. Park. At 5:48 p.m., after shaking hands with Cpl. Fortin, Mr. Park stated "I appreciate you guys being good". Cpl. Fortin replied that they do not mean for it to be tactical, but rather to be respectful. Mr. Park also asked to leave the room and was told that he could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5:56 p.m., Cst. Lee and Cpl. Kee escorted Mr. Park to the garage for a cigarette. The Second Statement continued from 6:00 to 6:20 p.m., when Mr. Park made inculpatory statements to Cpl. Kee in the garage. The entirety of the inculpatory statement is included at Appendix A to these Reasons. A portion of that part of the Second Statement of Saturday, October 29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Waste of a life, fuckin' five seconds.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What do you mean 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What a waste of a life, for a decision that I made so quickly.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You just snapped? Is that what you mean by it happened so quickly?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Was she crying?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Huh?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Was she crying?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and I was fuckin' hammered, like beyond.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How much had you been drinking?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A lot like enough to barely remember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Mm-hm. What was she doing? Was she in the swing?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Had you taken her out of the swing 'cause she was crying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05:08:38)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Um yeah uh no, I don't know, yeah at one point I did go took her put in the swing, went back, took her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So when you took her from the swing and you went and came back and put her in the swing, what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She just cried, cried and cried and cried and cried.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Yeah, she wouldn't go to sleep?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Cst. Lee escorted Mr. Park to his different cell, Cell 6, at 6:20 p.m. and left him alone in the cell. In notes dictated after Mr. Park was in his cell, Cpl. Kee described Mr. Park's demeanour and physical locations in the garage from 6:00 to 6:20 p.m. He was first standing beside a wall and then crouched down beside a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6:35 p.m., Mr. Park requested to speak to Cpl. Kee and advised him he was experiencing hallucinations including of cartoons on the roof and a red dog, and a belief that the guards intended to hurt him. He expressed suicidal ideations saying: "Now I don't wanna live". Cpl. Kee reassured Mr. Park that he was safe and offered Ativan, which Mr. Park declined as he thought it was making him worse. Cpl. Kee enquired as to whether he was detoxing from alcohol, and assured Mr. Park that he was safe. Cpl. Kee told Mr. Park he would tell the guards so they could get medical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Cpl. Kee observed Mr. Park at 6:35 p.m. as drastically changed from when the statement concluded at 6:20 p.m. This observation is consistent with the expert evidence of Dr. Wood who described the often sudden onset of delirium tremens, or the last and most severe stage of alcohol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Cpl. Kee left the cell and informed Cpl. Whalley, the Burnaby Cells NCO, that Mr. Park was hallucinating, that he had made suicidal comments, and requested that they put him on suicide watch. With regard to alcohol withdrawal, Cpl. Kee informed Cpl. Whalley that Mr. Park's alcohol consumption had been 12-15 beers per day, and Cpl. Whalley replied that he knew that alcohol detox could be harder than heroin detoxing. Cpl. Whalley said that he would speak to Mr. Park and assess his needs for medical care. Cpl. Kee indicated IHIT's interview was over and that Cpl. Whalley should see to medical care for Mr. Park. In this process the visiting police agency, IHIT, was leaving the Burnaby RCMP Detachment. Mr. Park would remain in custody at Burnaby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Following his conversation with Cpl. Kee, Cpl. Whalley did monitor Mr. Park on the cell block video. He also monitored other prisoners and did his administrative duties, including conducting a bail hearing for one prisoner around 8:00 p.m., and dealing with other officers' concerns as they arose. He did not go to see Mr. Park, although he said he intended to go when he had an opportunity. He did not seek medical attention for Mr. Park. He did not discuss Mr. Park's condition with Guard Watts, because he thought Guard Watts was present when Cpl. Kee told him about Mr. Park not wanting to live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Cpl. Whalley testified that he has a duty of care to ensure the health and well-being of prisoners when they are in the custody of the RCMP. His obligations regarding prisoners' health include that if prisoners require medical assistance, he has to ensure that medical care is provided and their needs are met. If a person requested medical attention or it was apparent that they required it, it is his responsibility. He believes he has a duty of care because the police are responsible for prisoners the entire time that they are in custody. It is RCMP policy that prisoners are owed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Cell Guard Watts, who was the only other person working with Cpl. Whalley in the cell block that night, also monitored Mr. Park on his video monitors. Guard Watts described the main part of his job as ensuring the health, safety and welfare of prisoners and if there are any concerns he addresses it with the cell NCO. However, if there is a medical situation, because he cannot enter a cell unless the NCO is present, he will immediately contact the cell 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Guard Watts testified that although "suicide watch" is not a term used often, his response to being told a prisoner had expressed suicidal thoughts would be to have them placed in a cell as close to his work station as possible because it allows for a quicker response time. He would also enlarge the view of that person's cell on his monitor screen. If he observes odd behaviour, he will go to the cell and speak to the prisoner, attempt to establish a dialogue, and if he is satisfied that the threat is clear and imminent he will notify the cell NCO right away. The standard he uses to determine if a threat is clear and imminent is despondency, crying and agitation.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Guard Watts recalled that when he came on duty Saturday night, he saw a notation in the Prisoner Log from 9:47 a.m. that morning indicating Mr. Park had started to hallucinate. He was told that Mr. Park was changing cells because of hallucinations. He did not know that Mr. Park was withdrawing from alcohol. Overall he was satisfied that Mr. Park appeared to be calm with no indication of agitation like a lot of prisoners. He does not recall having discussions with anyone from IHIT regarding Mr. Park requiring medical attention, or that he had expressed suicidal thoughts. He left the room when Cpl. Kee was speaking with Cpl. Whalley about Mr.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That night Guard Watts noted that Mr. Park was resting on his bed until about 8:00 p.m. at which time he began alternately pacing, standing and sitting. This was observed by the court in the video footage. At 8:10 p.m. when Watts went to Cell 6, Mr. Park declined the medication offered to him. He also said to Guard Watts words to the effect of "You've got to understand I really loved her." Guard Watts said Mr. Park was teary eyed and very anxious and upset, but he did not conclude that Mr. Park required medical attention at that time as nothing led him to believe that he would engage in self-harm. Guard Watts returned to his office and continued to monitor Mr. Park, he believed on the stand-alone larger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From 8:15 to 8:19 p.m. Mr. Park sat on the bed at times rocking back and forth and putting his head in his hands. At 8:19 p.m. he walked to the cell door to look out the window and then returned to sit on the bed. At 8:20 p.m. Mr. Park is seen on the video attempting to choke himself with both hands on his neck. From 8:21 to 8:25 p.m. Mr. Park used the edge of the hardcover book to repeatedly harshly swipe at his neck below his right ear. Those actions resulted in abrasions and swelling on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Guard Watts observed Mr. Park attempting self-harm with the book at 8:24 p.m. on the video monitor. Guard Watts immediately advised Burnaby RCMP members, Cpl. Whalley and Cst. Tarape. Cpl. Whalley had not seen the self-harming activity on the video monitors in his office. The self-harm occurred for approximately five minutes in total before the officers arrived in Mr. Park's cell at 8:25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Cpl. Whalley and Cst. Tarape apprehended Mr. Park under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 handcuffed him, and moved him to Cell 11, a larger holding cell where Mr. Park was left alone. He can be seen in the video putting his left foot through his hands that are handcuffed.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Cpl. Whalley and Guard Watts had called immediately for an ambulance and emergency health services (EHS). The paramedics attended at 9:10 p.m. There was no evidence regarding the progress of EHS's arrival time after Mr. Park was secured in Cell 11 at 8:30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Due to Mr. Park's elevated heart rate and blood pressure, chest pain, statement that he was seeing things, and the possibility that he was in "some kind of psychosis", the paramedics determined that Mr. Park required further medical evaluation. He was transported to Burnaby General Hospital by ambulance. Cst. Harker of IHIT accompanied Mr. Park and the paramedics in the ambulance, and Cst. Tarape followed in his police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VOLUNTARINESS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Issues on Voluntariness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issue for the court is whether Mr. Park voluntarily made the statements the Crown seeks to tender in evidence at trial. The following questions are relevant in determining voluntariness: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Park have an operating mind at the time that he made the statements?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Park's will to freely choose to speak or remain silent overborne by:</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threats or inducements; and/ or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oppressive conditions?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combination of the above factors operate to overcome Mr. Park's will to freely choose to speak or remain silent?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Law</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Summary of the Law Regarding Voluntariness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test for determining whether statements are voluntary was set out by the majority of the Supreme Court of Canada in </w:t>
      </w:r>
      <w:r>
        <w:rPr>
          <w:rFonts w:ascii="arial" w:eastAsia="arial" w:hAnsi="arial" w:cs="arial"/>
          <w:i/>
          <w:color w:val="000000"/>
          <w:sz w:val="20"/>
          <w:lang w:val="en-US" w:eastAsia="en-US" w:bidi="ar-SA"/>
        </w:rPr>
        <w:t>R. v. Oickle</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2000 SCC 38</w:t>
        </w:r>
      </w:hyperlink>
      <w:r>
        <w:rPr>
          <w:rFonts w:ascii="arial" w:eastAsia="arial" w:hAnsi="arial" w:cs="arial"/>
          <w:color w:val="000000"/>
          <w:sz w:val="20"/>
          <w:lang w:val="en-US" w:eastAsia="en-US" w:bidi="ar-SA"/>
        </w:rPr>
        <w:t>. The Crown has the burden of proof to establish beyond a reasonable doubt that the statement is voluntary.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 are a number of factors that could bring the voluntariness of a statement made to police into doubt. These include threats or promises, oppression, lack of an operating mind, and police trickery that would shock the conscience of the community. There are also the overarching concerns of reliability and the accused's right to silence: </w:t>
      </w:r>
      <w:r>
        <w:rPr>
          <w:rFonts w:ascii="arial" w:eastAsia="arial" w:hAnsi="arial" w:cs="arial"/>
          <w:i/>
          <w:color w:val="000000"/>
          <w:sz w:val="20"/>
          <w:lang w:val="en-US" w:eastAsia="en-US" w:bidi="ar-SA"/>
        </w:rPr>
        <w:t>R. v. Singh</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2007 SCC 48</w:t>
        </w:r>
      </w:hyperlink>
      <w:r>
        <w:rPr>
          <w:rFonts w:ascii="arial" w:eastAsia="arial" w:hAnsi="arial" w:cs="arial"/>
          <w:color w:val="000000"/>
          <w:sz w:val="20"/>
          <w:lang w:val="en-US" w:eastAsia="en-US" w:bidi="ar-SA"/>
        </w:rPr>
        <w:t xml:space="preserve"> at paras. 30,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operating mind and inducements are not at issue, I do not intend to cover the law on these factors in any detail. Aspects of these factors, as they are relevant to oppression, are considered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individual characteristics of the accused are relevant considerations in assessing the voluntariness of statements: </w:t>
      </w:r>
      <w:r>
        <w:rPr>
          <w:rFonts w:ascii="arial" w:eastAsia="arial" w:hAnsi="arial" w:cs="arial"/>
          <w:i/>
          <w:color w:val="000000"/>
          <w:sz w:val="20"/>
          <w:lang w:val="en-US" w:eastAsia="en-US" w:bidi="ar-SA"/>
        </w:rPr>
        <w:t>Oickle</w:t>
      </w:r>
      <w:r>
        <w:rPr>
          <w:rFonts w:ascii="arial" w:eastAsia="arial" w:hAnsi="arial" w:cs="arial"/>
          <w:color w:val="000000"/>
          <w:sz w:val="20"/>
          <w:lang w:val="en-US" w:eastAsia="en-US" w:bidi="ar-SA"/>
        </w:rPr>
        <w:t xml:space="preserve">, at para. 42. An analysis of the factors and the accused's statements includes objective and subjective aspects. This is because the confessions rule "...is concerned with voluntariness, broadly understood": </w:t>
      </w:r>
      <w:r>
        <w:rPr>
          <w:rFonts w:ascii="arial" w:eastAsia="arial" w:hAnsi="arial" w:cs="arial"/>
          <w:i/>
          <w:color w:val="000000"/>
          <w:sz w:val="20"/>
          <w:lang w:val="en-US" w:eastAsia="en-US" w:bidi="ar-SA"/>
        </w:rPr>
        <w:t>Oickle</w:t>
      </w:r>
      <w:r>
        <w:rPr>
          <w:rFonts w:ascii="arial" w:eastAsia="arial" w:hAnsi="arial" w:cs="arial"/>
          <w:color w:val="000000"/>
          <w:sz w:val="20"/>
          <w:lang w:val="en-US" w:eastAsia="en-US" w:bidi="ar-SA"/>
        </w:rPr>
        <w:t xml:space="preserve">, at para. 27. As Williams J. noted in </w:t>
      </w:r>
      <w:r>
        <w:rPr>
          <w:rFonts w:ascii="arial" w:eastAsia="arial" w:hAnsi="arial" w:cs="arial"/>
          <w:i/>
          <w:color w:val="000000"/>
          <w:sz w:val="20"/>
          <w:lang w:val="en-US" w:eastAsia="en-US" w:bidi="ar-SA"/>
        </w:rPr>
        <w:t>R. v. Pickton</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2006 BCSC 995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 Voluntariness involves a consideration of both objective and subjective factors, and it is therefore necessary to be sensitive to the particularities of the subject when assessing whether a statement was made freely and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Where there is expert evidence on the accused's state of mind, the court must still consider the actual factual and legal meanings ascribed to the accused's behaviour during the interviews to arrive at its own conclusion: </w:t>
      </w:r>
      <w:r>
        <w:rPr>
          <w:rFonts w:ascii="arial" w:eastAsia="arial" w:hAnsi="arial" w:cs="arial"/>
          <w:i/>
          <w:color w:val="000000"/>
          <w:sz w:val="20"/>
          <w:lang w:val="en-US" w:eastAsia="en-US" w:bidi="ar-SA"/>
        </w:rPr>
        <w:t>R. v. Hosack</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2012 BCSC 2139</w:t>
        </w:r>
      </w:hyperlink>
      <w:r>
        <w:rPr>
          <w:rFonts w:ascii="arial" w:eastAsia="arial" w:hAnsi="arial" w:cs="arial"/>
          <w:color w:val="000000"/>
          <w:sz w:val="20"/>
          <w:lang w:val="en-US" w:eastAsia="en-US" w:bidi="ar-SA"/>
        </w:rPr>
        <w:t xml:space="preserve">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court must consider all the relevant factors in a contextual manner. The </w:t>
      </w:r>
      <w:r>
        <w:rPr>
          <w:rFonts w:ascii="arial" w:eastAsia="arial" w:hAnsi="arial" w:cs="arial"/>
          <w:i/>
          <w:color w:val="000000"/>
          <w:sz w:val="20"/>
          <w:lang w:val="en-US" w:eastAsia="en-US" w:bidi="ar-SA"/>
        </w:rPr>
        <w:t>Oickle</w:t>
      </w:r>
      <w:r>
        <w:rPr>
          <w:rFonts w:ascii="arial" w:eastAsia="arial" w:hAnsi="arial" w:cs="arial"/>
          <w:color w:val="000000"/>
          <w:sz w:val="20"/>
          <w:lang w:val="en-US" w:eastAsia="en-US" w:bidi="ar-SA"/>
        </w:rPr>
        <w:t xml:space="preserve"> factors may overlap and operate together to render a statement involuntary. Therefore, it is necessary to understand the circumstances surrounding the statement and ask if they give rise to a reasonable doubt as to the voluntariness of the statement. Where the conduct of police in its totality serves to overwhelm the particular accused's choice to make statements, the statements are not voluntary. A statement is inadmissible if there is a reasonable doubt about whether the will of the subject has been overborne: </w:t>
      </w:r>
      <w:r>
        <w:rPr>
          <w:rFonts w:ascii="arial" w:eastAsia="arial" w:hAnsi="arial" w:cs="arial"/>
          <w:i/>
          <w:color w:val="000000"/>
          <w:sz w:val="20"/>
          <w:lang w:val="en-US" w:eastAsia="en-US" w:bidi="ar-SA"/>
        </w:rPr>
        <w:t>Oickle</w:t>
      </w:r>
      <w:r>
        <w:rPr>
          <w:rFonts w:ascii="arial" w:eastAsia="arial" w:hAnsi="arial" w:cs="arial"/>
          <w:color w:val="000000"/>
          <w:sz w:val="20"/>
          <w:lang w:val="en-US" w:eastAsia="en-US" w:bidi="ar-SA"/>
        </w:rPr>
        <w:t>, at paras. 27, 47, 57 and 71.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Oppression</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Justice Iacobucci in </w:t>
      </w:r>
      <w:r>
        <w:rPr>
          <w:rFonts w:ascii="arial" w:eastAsia="arial" w:hAnsi="arial" w:cs="arial"/>
          <w:i/>
          <w:color w:val="000000"/>
          <w:sz w:val="20"/>
          <w:lang w:val="en-US" w:eastAsia="en-US" w:bidi="ar-SA"/>
        </w:rPr>
        <w:t>Oickle</w:t>
      </w:r>
      <w:r>
        <w:rPr>
          <w:rFonts w:ascii="arial" w:eastAsia="arial" w:hAnsi="arial" w:cs="arial"/>
          <w:color w:val="000000"/>
          <w:sz w:val="20"/>
          <w:lang w:val="en-US" w:eastAsia="en-US" w:bidi="ar-SA"/>
        </w:rPr>
        <w:t xml:space="preserve"> described oppression at paragraph 58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police create conditions distasteful enough, it should be no surprise that the suspect would make a stress-compliant confession to escape those conditions. Alternately, oppressive circumstances could overbear the suspect's will to the point that he or she comes to doubt his or her own memory, believes the relentless accusations made by the police, and gives an induced confession.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Oppressive conditions clearly have the potential to produce false confessions. If the conduct of authorities creates a general atmosphere which is so oppressive that the accused's free will is overborne by the interrogator, the statement is not voluntary. The court must not be left in reasonable doubt that this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with all of the </w:t>
      </w:r>
      <w:r>
        <w:rPr>
          <w:rFonts w:ascii="arial" w:eastAsia="arial" w:hAnsi="arial" w:cs="arial"/>
          <w:i/>
          <w:color w:val="000000"/>
          <w:sz w:val="20"/>
          <w:lang w:val="en-US" w:eastAsia="en-US" w:bidi="ar-SA"/>
        </w:rPr>
        <w:t>Oickle</w:t>
      </w:r>
      <w:r>
        <w:rPr>
          <w:rFonts w:ascii="arial" w:eastAsia="arial" w:hAnsi="arial" w:cs="arial"/>
          <w:color w:val="000000"/>
          <w:sz w:val="20"/>
          <w:lang w:val="en-US" w:eastAsia="en-US" w:bidi="ar-SA"/>
        </w:rPr>
        <w:t xml:space="preserve"> factors, the oppression analysis is contextual, with no one factor or combination of factors reducing themselves to an automatic formula. However, the Court in </w:t>
      </w:r>
      <w:r>
        <w:rPr>
          <w:rFonts w:ascii="arial" w:eastAsia="arial" w:hAnsi="arial" w:cs="arial"/>
          <w:i/>
          <w:color w:val="000000"/>
          <w:sz w:val="20"/>
          <w:lang w:val="en-US" w:eastAsia="en-US" w:bidi="ar-SA"/>
        </w:rPr>
        <w:t>Oickle</w:t>
      </w:r>
      <w:r>
        <w:rPr>
          <w:rFonts w:ascii="arial" w:eastAsia="arial" w:hAnsi="arial" w:cs="arial"/>
          <w:color w:val="000000"/>
          <w:sz w:val="20"/>
          <w:lang w:val="en-US" w:eastAsia="en-US" w:bidi="ar-SA"/>
        </w:rPr>
        <w:t xml:space="preserve"> provided a non-exhaustive list of factors relevant to oppression including: "depriving the suspect of food, clothing, water, sleep or medical attention; denying access to counsel; and excessively aggressive, intimidating questioning for a prolonged period of time", or the use by the police of "non-existent evidence": </w:t>
      </w:r>
      <w:r>
        <w:rPr>
          <w:rFonts w:ascii="arial" w:eastAsia="arial" w:hAnsi="arial" w:cs="arial"/>
          <w:i/>
          <w:color w:val="000000"/>
          <w:sz w:val="20"/>
          <w:lang w:val="en-US" w:eastAsia="en-US" w:bidi="ar-SA"/>
        </w:rPr>
        <w:t>Oickle</w:t>
      </w:r>
      <w:r>
        <w:rPr>
          <w:rFonts w:ascii="arial" w:eastAsia="arial" w:hAnsi="arial" w:cs="arial"/>
          <w:color w:val="000000"/>
          <w:sz w:val="20"/>
          <w:lang w:val="en-US" w:eastAsia="en-US" w:bidi="ar-SA"/>
        </w:rPr>
        <w:t>, at paras. 60, 61.</w:t>
      </w:r>
      <w:r>
        <w:rPr>
          <w:rFonts w:ascii="arial" w:eastAsia="arial" w:hAnsi="arial" w:cs="arial"/>
          <w:sz w:val="20"/>
          <w:lang w:val="en-US" w:eastAsia="en-US" w:bidi="ar-SA"/>
        </w:rPr>
        <w:cr/>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use of evidence 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Police can engage in an evidence presentation during an interrogation. If the police misinform the accused about the evidence or exaggerate the evidence it may bear on the voluntariness of any resulting statements. However, presenting the case against a suspect "as insurmountable" is not itself objectionable: </w:t>
      </w:r>
      <w:r>
        <w:rPr>
          <w:rFonts w:ascii="arial" w:eastAsia="arial" w:hAnsi="arial" w:cs="arial"/>
          <w:i/>
          <w:color w:val="000000"/>
          <w:sz w:val="20"/>
          <w:lang w:val="en-US" w:eastAsia="en-US" w:bidi="ar-SA"/>
        </w:rPr>
        <w:t>R. v. Camille</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2018 BCSC 301</w:t>
        </w:r>
      </w:hyperlink>
      <w:r>
        <w:rPr>
          <w:rFonts w:ascii="arial" w:eastAsia="arial" w:hAnsi="arial" w:cs="arial"/>
          <w:color w:val="000000"/>
          <w:sz w:val="20"/>
          <w:lang w:val="en-US" w:eastAsia="en-US" w:bidi="ar-SA"/>
        </w:rPr>
        <w:t xml:space="preserve"> at para. 56;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Camille</w:t>
      </w:r>
      <w:r>
        <w:rPr>
          <w:rFonts w:ascii="arial" w:eastAsia="arial" w:hAnsi="arial" w:cs="arial"/>
          <w:color w:val="000000"/>
          <w:sz w:val="20"/>
          <w:lang w:val="en-US" w:eastAsia="en-US" w:bidi="ar-SA"/>
        </w:rPr>
        <w:t xml:space="preserve">, Holmes J. excluded the accused's statement to police, finding that the police's overstatement of the strength of the evidence against the accused raised a reasonable doubt in the circumstances as to the statement's voluntariness. Justice Holmes was concerned the accused may have admitted his guilt because the officer had convinced him this was the inevitable conclusion, rather than because the accused himself knew: </w:t>
      </w:r>
      <w:r>
        <w:rPr>
          <w:rFonts w:ascii="arial" w:eastAsia="arial" w:hAnsi="arial" w:cs="arial"/>
          <w:i/>
          <w:color w:val="000000"/>
          <w:sz w:val="20"/>
          <w:lang w:val="en-US" w:eastAsia="en-US" w:bidi="ar-SA"/>
        </w:rPr>
        <w:t>Camille</w:t>
      </w:r>
      <w:r>
        <w:rPr>
          <w:rFonts w:ascii="arial" w:eastAsia="arial" w:hAnsi="arial" w:cs="arial"/>
          <w:color w:val="000000"/>
          <w:sz w:val="20"/>
          <w:lang w:val="en-US" w:eastAsia="en-US" w:bidi="ar-SA"/>
        </w:rPr>
        <w:t>, at para. 61. She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In short, Cpl. Bell gave Mr. Camille the impression that objective evidence established that only he could have killed Mr. Adolph, when, according to the evidence in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this was not necessarily the case. Video-footage showed Mr. Camille and Mr. Adolph coming and going to and from the general area of their room, but a roof overhang obscured the first few feet from the building such that one could not see them actually entering or leaving the particular room. Also, on the evidence in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a person could have entered or left the room without being shown at all if they walked close to the building in the area the overhang obscured.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evidence presentation was one factor in the circumstances weighing in favour of exclusion in </w:t>
      </w:r>
      <w:r>
        <w:rPr>
          <w:rFonts w:ascii="arial" w:eastAsia="arial" w:hAnsi="arial" w:cs="arial"/>
          <w:i/>
          <w:color w:val="000000"/>
          <w:sz w:val="20"/>
          <w:lang w:val="en-US" w:eastAsia="en-US" w:bidi="ar-SA"/>
        </w:rPr>
        <w:t>Camille</w:t>
      </w:r>
      <w:r>
        <w:rPr>
          <w:rFonts w:ascii="arial" w:eastAsia="arial" w:hAnsi="arial" w:cs="arial"/>
          <w:color w:val="000000"/>
          <w:sz w:val="20"/>
          <w:lang w:val="en-US" w:eastAsia="en-US" w:bidi="ar-SA"/>
        </w:rPr>
        <w:t>, including uncomfortable conditions (cold, lack of sleep, and lack of proper hearing aids), vulnerabilities from the accused's appalling life experiences, inducements, and repeated assertions by the accused of his right to silence.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G.C.Z.</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2015 BCSC 539</w:t>
        </w:r>
      </w:hyperlink>
      <w:r>
        <w:rPr>
          <w:rFonts w:ascii="arial" w:eastAsia="arial" w:hAnsi="arial" w:cs="arial"/>
          <w:color w:val="000000"/>
          <w:sz w:val="20"/>
          <w:lang w:val="en-US" w:eastAsia="en-US" w:bidi="ar-SA"/>
        </w:rPr>
        <w:t>, Verhoeven J. commented on the police interviewer's use of an evidence presentation, noting the presentation emphasized that the police had ample evidence proving the accused's involvement in the murder. The police eventually terminated the interview on the third day because there was concern the accused's mental state may be rendering the process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Justice Verhoeven found that despite the bizarre behaviour it was "very clear" the accused's will was not overborne: </w:t>
      </w:r>
      <w:r>
        <w:rPr>
          <w:rFonts w:ascii="arial" w:eastAsia="arial" w:hAnsi="arial" w:cs="arial"/>
          <w:i/>
          <w:color w:val="000000"/>
          <w:sz w:val="20"/>
          <w:lang w:val="en-US" w:eastAsia="en-US" w:bidi="ar-SA"/>
        </w:rPr>
        <w:t>G.C.Z</w:t>
      </w:r>
      <w:r>
        <w:rPr>
          <w:rFonts w:ascii="arial" w:eastAsia="arial" w:hAnsi="arial" w:cs="arial"/>
          <w:color w:val="000000"/>
          <w:sz w:val="20"/>
          <w:lang w:val="en-US" w:eastAsia="en-US" w:bidi="ar-SA"/>
        </w:rPr>
        <w:t xml:space="preserve">. at para. 73. This was because the accused refused to provide details about the homicide, clearly drawing a line as to what she would talk about. She revealed information based on moral considerations, such as when she stated that she would not have exposed her young child to horrific violence. In other words her will was not overborne because she chose what to say: </w:t>
      </w:r>
      <w:r>
        <w:rPr>
          <w:rFonts w:ascii="arial" w:eastAsia="arial" w:hAnsi="arial" w:cs="arial"/>
          <w:i/>
          <w:color w:val="000000"/>
          <w:sz w:val="20"/>
          <w:lang w:val="en-US" w:eastAsia="en-US" w:bidi="ar-SA"/>
        </w:rPr>
        <w:t>G.C.Z</w:t>
      </w:r>
      <w:r>
        <w:rPr>
          <w:rFonts w:ascii="arial" w:eastAsia="arial" w:hAnsi="arial" w:cs="arial"/>
          <w:color w:val="000000"/>
          <w:sz w:val="20"/>
          <w:lang w:val="en-US" w:eastAsia="en-US" w:bidi="ar-SA"/>
        </w:rPr>
        <w:t xml:space="preserve">. at para. 75. Her mental disorder did not affect her perception of reality or mental functions during the statements: </w:t>
      </w:r>
      <w:r>
        <w:rPr>
          <w:rFonts w:ascii="arial" w:eastAsia="arial" w:hAnsi="arial" w:cs="arial"/>
          <w:i/>
          <w:color w:val="000000"/>
          <w:sz w:val="20"/>
          <w:lang w:val="en-US" w:eastAsia="en-US" w:bidi="ar-SA"/>
        </w:rPr>
        <w:t>G.C.Z</w:t>
      </w:r>
      <w:r>
        <w:rPr>
          <w:rFonts w:ascii="arial" w:eastAsia="arial" w:hAnsi="arial" w:cs="arial"/>
          <w:color w:val="000000"/>
          <w:sz w:val="20"/>
          <w:lang w:val="en-US" w:eastAsia="en-US" w:bidi="ar-SA"/>
        </w:rPr>
        <w:t>. at para. 40. Further, there was a finding that she was not fatigued to the point that it impacted her ability to remain alert.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Symptoms of Substance Withdrawal and Voluntariness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Evidence of symptoms of withdrawal may contribute to a particular accused's vulnerabilities when he gives a statement to police, and can raise reasonable doubt about the voluntariness of the statement: </w:t>
      </w:r>
      <w:r>
        <w:rPr>
          <w:rFonts w:ascii="arial" w:eastAsia="arial" w:hAnsi="arial" w:cs="arial"/>
          <w:i/>
          <w:color w:val="000000"/>
          <w:sz w:val="20"/>
          <w:lang w:val="en-US" w:eastAsia="en-US" w:bidi="ar-SA"/>
        </w:rPr>
        <w:t>R. v. Davidson</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2017 BCSC 2497</w:t>
        </w:r>
      </w:hyperlink>
      <w:r>
        <w:rPr>
          <w:rFonts w:ascii="arial" w:eastAsia="arial" w:hAnsi="arial" w:cs="arial"/>
          <w:color w:val="000000"/>
          <w:sz w:val="20"/>
          <w:lang w:val="en-US" w:eastAsia="en-US" w:bidi="ar-SA"/>
        </w:rPr>
        <w:t xml:space="preserve"> at para.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xml:space="preserve">, the accused was charged with second degree murder and transported to the Abbotsford Police Detachment where he was questioned by police in two separate warned interviews over the course of two days, for a total of seven hours. Prior to the second interview, Mr. Davidson advised the police that he was experiencing withdrawal symptoms from his addiction to heroin and methamphetamine, including that he was "hurting", "hot and cold", and "tossing and turning":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xml:space="preserve"> at para. 18. Justice Armstrong found the accused's evident withdrawal from heroin and methamphetamine at the time of giving the statement contributed to his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Justice Armstrong found the combination of the police conduct (including telling the accused his silence was childish, persistent questioning when he said he was tired, and deceptive remarks about the evidence and charges) and the accused's vulnerability undermined Mr. Davidson's right to remain silent. The statement was excluded.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Crown submits that: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Park had an operating mind at the time that he made the statements;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Park's will to freely choose to speak or remain silent was not overborne by: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threats or inducements; and/ or</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oppressive conditions; and</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Park's will to freely choose to speak or remain silent was not overborne by any combination of the above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Crown takes the position that police trickery is not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defence concedes that Mr. Park had an operating mind throughout the two statements made while he was in custody in the Burnaby Cells on October 28 and 29. No issue is raised concerning the presence of any specific threats or inducements.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defence says that a combination of factors combined to create an atmosphere of oppression that resulted in Mr. Park's will becoming overborne. The factors that they say combine in this case to create an atmosphere of oppression which gives rise to reasonable doubt as to the voluntariness of the statement are:</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Park's vulnerabilities including his anxiety, withdrawal from alcohol and his having recently experienced hallucinations;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interview on Saturday;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times Mr. Park requested to speak to his lawyer, especially nearing the end of the interview after the evidence presentation;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the evidence presentation which upset Mr. Park. Corporal Kee described the experience as a "traumatic thing to have to relive it in the interview room";</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theme related to the charge approval standard having been applied by Crown;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allowing Mr. Park to leave the interview room when he attempted to do so at the end of the evidence presentation;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Cpl. Fortin's erroneous suggestion to Mr. Park that he had made an inculpatory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defence did not make submissions on police trickery, other than the concerns regarding the evidence presentation in the context of oppression.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Discussion and Conclusion on Voluntariness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This discussion first addresses the absence of any threats or inducements. It then addresses the factors the defence says combined to create an atmosphere of oppression. The withdrawal symptoms and the evidence of Mr. Park's condition during the statements are then outlined and discussed as a separate section. The final portion of the voluntariness reasons is the conclusion based on the factors raised by the defence and the withdrawal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Threats or Inducements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is no submission that any person in authority threatened or induced Mr. Park at any point in time while Mr. Park was in police custody on the weekend of October 28 and 29, 2016, or that Mr. Park believed he was under threat before or during the Statements. Mr. Park's belief that he had been threatened by the guards first arose after the Second Statement. There is no evidence that could support any allegations of threats or inducements.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audio and video recordings, as well as testimony from Cpl. Kee, Cst. Lee, Guard Watts, Cpl. Whalley and Cst. Harker, establish that all of the persons in authority who had any interactions with Mr. Park over his 29 hours in custody treated Mr. Park courteously and made no threats. Mr. Park was offered comforts throughout this period of detention, including food, water, cigarettes, a blanket and a book, but none of the comforts assumed the character of an inducement.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First Statement on Friday at approximately 7:48 p.m., Cpl. Kee reviewed the right to silence and advised Mr. Park that any threats or promises made by any police officers to make him feel he should or should not speak to Cpl. Kee had no effect. Cpl. Kee testified he wanted to ensure that Mr. Park knew he did not have to speak with him, and to ensure that Mr. Park knew that any threats or promises were not true. Mr. Park confirmed he understood that he did not have to talk, and exercised his right to silence in respect of questions he was asked at various times throughout both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5:28 p.m. on Saturday, shortly before making the inculpatory statements, and at other times in the interviews Mr. Park acknowledged that he had been treated well by the police. His rapport with Cpl. Kee is demonstrated by Mr. Park's saying that he knows the officer is listening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Park's first mention of any fear of any person in authority occurred at approximately 6:35 p.m. on Saturday after the Second Statement had concluded and he was back in his cell. Mr. Park told Cpl. Kee that the cell guards were attempting to harm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no evidence of any threats or inducements before or after the Second Statement had concluded. As will be discussed below, Mr. Park's fears arose after he entered into the severe stage of alcohol withdrawal after the Second Statement.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Atmosphere of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Crown submits there is no factor or combination of factors that could be said to have created a general atmosphere of oppression so that Mr. Park's free will was effectively overborne. As noted above, Mr. Park was provided comforts regularly while in custody, including food, water, cigarettes, and use of the bathroom. Mr. Park was also given a hardcover book upon his request. His medication was obtained and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factors the defence submits created an atmosphere of oppression are re-stated and discussed in turn.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Mr. Park's vulnerabilities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voluntariness analysis must take place in the context of this accused person's vulnerabilities and particularities.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Park has anxiety for which he had a prescription for Ativan. Mr. Park told Cpl. Kee that he was taking Ativan twice daily. All the relevant persons in authority, including the IHIT team members and members of the Burnaby RCMP and the civilian guards at the Burnaby Cells, were aware that Mr. Park had a prescription for Ativan to treat anxiety. The medical condition was recorded when Mr. Park was booked into the Burnaby Cells, and the medication was noted on the Prisoner Medication Log. Cpl. Kee was mindful throughout the interviews of Mr. Park's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Cst. Harker attended at Mr. Park's mother's home on October 28 following Mr. Park's arrest. One of the reasons that he did so was to obtain the unfilled prescription for Mr. Park's Ativan which he took to a pharmacy the same evening. Cst. Harker delivered Mr. Park's medication to Cpl. Kee at the Burnaby Cells that night. Mr. Park took his medication at 10:48 p.m. on October 28. The next morning at approximately 9:00 a.m. Mr. Park requested and received his medication in his cell. Mr. Park declined medication offered to him on Saturday evening at 6:35 p.m. by Cpl. Kee and again at 8:10 p.m. when offered by Guard Watts.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Park is also a severe alcoholic. When he was arrested he had not had any alcohol for 14 hours. He experienced the stages of alcohol withdrawal throughout Saturday. The medical evidence regarding alcohol withdrawal is discussed in more detail below, but in sum, Mr. Park experienced some shakiness and periodic hallucinations commencing on Saturday morning, culminating in his descent into delirium tremens, the final and most severe stage of withdrawal, on Saturday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During the First Statement Mr. Park declined to answer when Cpl. Kee asked him how much alcohol he usually consumed. Although Cpl. Kee did not therefore know the extent of Mr. Park's alcoholism, throughout the Second Statement after the hallucinations that morning, Cpl. Kee monitored Mr. Park to ensure that he was able to continue with the questioning.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Park also experienced occasional appropriate emotional upset during the Second Statement, primarily in response to the subject matter of the evidence presentation. He made some expression of hopelessness for the future. Cpl. Kee described him as frustrated at an earlier point. He appeared angry that the police had contacted his mother during the investigation. His most emotional state was in the garage with Cpl. Kee where he made the inculpatory statements at the end of the second interview. Cpl. Kee described him then as sad.</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 The theme related to the charge approval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the beginning of the Second Statement Cpl. Kee provided an explanation of the difference between the power of arrest for the police and the Crown charge approval standard. He testified that the reason for doing so was that he was trying to communicate that it was not just the police but that the Crown had also reviewed the evidence. In charging Mr. Park with murder, they believed that there is a strong likelihood he would be convicted.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course of this conversation, Mr. Park asked: "So before we even go in there if there was a trial there-there would already basically be a verdict?" Cpl. Kee responded "absolutely not" and explained to Mr. Park he had been referring to the Crown charge approval standard, not the trial. Mr. Park continued to be engaged in the lengthy conversation that continues regarding evidence at trial until he requests a bathroom break. Cpl. Kee did not overstate or misrepresent the process or the law to Mr. Park. There is no indication of Mr. Park's being upset or disillusioned about the process as a result of the accurate description of the varying standards applicable to the police, Crown and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After the evidence presentation Cst. Gaiger told Mr. Park there was "no doubt in his mind" that Mr. Park inflicted the deceased's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Although the defence submits this had an immense impact on Mr. Park, Mr. Park's comments to Cpl. Kee after Cst. Gaiger left the interview room do not demonstrate that Mr. Park saw guilt as an inevitable conclusion. Mr. Park states at various times: "I'm still taking it to trial."; "I'm still going to court."; and, "I'll let my lawyer have a crack at it and we'll figure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assessment of the entire evidence, this factor will be further considered.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evidence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police in their interviews did not include any false or overstated evidence. With regard to particularly upsetting evidence, Mr. Park asked at the outset of the evidence presentation that it not include any "hospital pictures", and Cst. Gaiger who conducted the presentation assured him that they would not do that. There was only one composite image of the CT scans of A.'s skull after the injuries. Photographs of A. and her mother prior to A.'s injuries were included. Most of the slides presented were typewritten statements or witness summaries.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Park was engaged throughout the evidence presentation and asked intelligent questions. However, it clearly had an emotional impact on Mr. Park. Cpl. Kee fairly described the experience as a "traumatic thing to have to relive it in the interview room". It also led Mr. Park to a plan to work with his lawyer on the timeline presented by the police to disprove the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discussed above, the law regarding voluntariness of statements as set out in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Camille</w:t>
      </w:r>
      <w:r>
        <w:rPr>
          <w:rFonts w:ascii="arial" w:eastAsia="arial" w:hAnsi="arial" w:cs="arial"/>
          <w:color w:val="000000"/>
          <w:sz w:val="20"/>
          <w:lang w:val="en-US" w:eastAsia="en-US" w:bidi="ar-SA"/>
        </w:rPr>
        <w:t xml:space="preserve"> permits evidence presentations. This evidence presentation was conducted in a manner respectful of Mr. Park's vulnerabilities and also in accordance with the principles set out in those cases.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(d) Not allowing Mr. Park to leave the interview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defence accepts that the police were under no obligation to allow Mr. Park to leave the interview room when he attempted to do so. However, the defence says the fact that he was trying to leave but was forced to stay is relevant in assessing the voluntariness of his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attempt to leave occurs after the evidence presentation and before the conversation with Cpl. Fortin, the interview team leader. Mr. Park says to Cpl. Kee that he is "gonna go", and is told that he "unfortunately [doesn't] get to choose where you go anymore." Mr. Park stood up, and then Cpl. Fortin entered the room and asked for a moment alone with Mr. Park. Mr. Park also asked Cpl. Fortin if he can leave. When told he could not, he appeared both times to be accepting of the negative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take this into account in assessing the entirety of the evidence.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(e) Mr. Park requesting to speak to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Park was provided access to counsel on October 28 shortly after his arrival at Burnaby Cells, and at 11:10 a.m. on October 29 prior to his JJP hearing. He was not provided additional access to counsel at 5:59 p.m. or 6:03 p.m. when he requested access to his lawyer after the evidence presentation and in the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After the evidence presentation Cpl. Fortin entered the room. The defence submits that Mr. Park was clearly overwhelmed at the end of the evidence presentation and he asked to call his lawyer saying: "... you guys like painted this picture that's so dominant, feels like I can't crawl back from it mmm but I gotta try." In response, Cpl. Fortin continued the conversation and said to Mr. Park that he knows that Mr. Park is going to take this to court and that he is a good person. It is at the end of this dialogue that Mr. Park shakes hands and expresses his appreciation for the officers "being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Park again requested to speak to counsel shortly after he entered the garage with Cpl. Kee, first indicating he could "call him tomorrow", and shortly after stating: "Maybe I could call him right now?" Cpl. Kee assured Mr. Park that he could speak with his lawyer before court on Monday.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While the defence submits the police were not required to permit Mr. Park to speak to his counsel at either of these times, his desire to do so is relevant to the voluntariness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This factor on its own is not oppressive. In the first instance in the interview room Mr. Park continues the conversation with Cpl. Fortin, clearly calmer and not overwhelmed by the evidence presentation. On the second request, Mr. Park appears to be satisfied by the assurance that he can speak with his lawyer before court on Monday. I therefore take this point to be included in the analysis of the overall circumstances.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(f) Cpl. Fortin suggesting Mr. Park had made an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conversation with Cpl. Fortin, he continued and said to Mr. Park: "I don't think for a minute you woke up that morning planning to do this, did you?" Mr. Park replied that he would never plan that and Cpl. Fortin said: "I one hundred percent believe you". Shortly after, Cpl. Fortin said: "so do I have your commitment that this isn't something you're gonna do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defence submits Cpl. Fortin implied that Mr. Park had admitted causing A.'s injuries but that he had not done so intentionally. They also submit that prior to that point Mr. Park had made no such admission. The defence says this had the effect of breaking Mr. Park's will. The defence further says that by the time Mr. Park was in the garage with Cpl. Kee, his will was overborne because the police had conveyed to him that he was likely to be convicted and there was no point in continuing to deny his involvement in the commission of the offence. This was in conjunction with the trauma of reliving the event, and not knowing when the interview would be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Cpl. Fortin's statement does not amount to police trickery. Mr. Park immediately rebutted the erroneous suggestion by correcting Cpl. Fortin and stating that he "never said he did it." That Mr. Park was able to self-advocate and continue the interview as prior to Cpl. Fortin's statement are indicia that his will was not overborne by Cpl. Fortin.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Again, although this factor does not amount to oppression, I will consider it in the totality of the evidence.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The length of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First Statement on Friday, October 28 was 2 hours and 24 minutes from 7:33 to 9:57 p.m. The Second Statement on October 29 was 5 hours and 9 minutes from 1:11 to 6:20 p.m. During both Statements Mr. Park was provided with food, and during the Second Statement he was also provided bathroom and cigarette breaks, with Cst. Lee and then Cpl. Kee, and left alone at times in the interview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Second Statement progressed in segments with Cpl. Kee as the lead interviewer, Cst. Derusha being briefly present, Cpl. Gaiger attending for the evidence presentation, and then with Cpl. Fortin. This also provided pauses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With the breaks for food, the bathroom and cigarettes, the length of the interview on Saturday was not on its own oppressive. Further, Cpl. Kee testified that throughout the interview he was monitoring Mr. Park's condition as he was aware that Mr. Park had earlier seen flies in his cell, experienced a tacky floor, and observed the cement slabs moving. There were no significant visible or verbal signs or statements of fatigue other than occasional yawns. Mr. Park remained verbally and in body language engaged and articulate throughout, including making humorous comments about the food, and wordplay such as "population", as well as refusing to answer certain questions indicating he was well aware of his rights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about 3:56 Mr. Park after telling Cpl. Kee to "stop it with this", said: "But honestly I know you have to do it. And I'm letting you do it, I don't have to be here." He then continued to respond to Cpl. Kee's questions saying that he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Park's comment towards the end of the Second Statement further indicates he was not feeling oppressed by the length or conduct of the interviews. He says that the police had treated him well. At approximately 5:48 p.m., Park said to Cpl. Fortin, who was the interview team leader: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PARK I appreciate you guys being good.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Cpl. FORTIN Hey fff-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PARK You're awesome.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Park also comments that this may be tactical, thus also indicating that he is aware of the process.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Withdrawal and hallucinations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defence submits the fact that Mr. Park experienced two incidents of hallucinations on Saturday, October 29 contributes to his vulnerability in the Second Statement. That Mr. Park observed flies in his cell and a tacky floor in the morning, and the cement slab in his cell moving around 12:30 p.m., is not in dispute. The hallucinations of flies and tackiness are recorded in the Prisoner Log as reported by Mr. Park to the guard at 9:45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necessary to place those hallucinations in the context of the withdrawal from alcohol that Mr. Park was experiencing on October 29 as an alcoholic who had then been without alcohol since 2:00 a.m. the previous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Admissions cover much of the 29 hours that Mr. Park was in the Burnaby Cells, and particularly the time after the conclusion of the First Statement on October 28 at 9:55 p.m. to Mr. Park in his cell at 9:00 a.m. on October 29 which is the only video that was not played in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From the Admissions, the video observed during the time from booking-in at 4:30 p.m. Friday to 6:40 p.m. the next day (with the exception of overnight), and the testimony of the witnesses, there are some isolated instances where the behaviour of Mr. Park can be characterised as odd.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first of those instances of odd behaviour occurs between 9:13 and 10:00 a.m. on Saturday morning. For one to two minutes Mr. Park stood on the bed in the cell and swiped at the ceiling with the book. He told the cell guard and later Cpl. Kee that there were flies on the ceiling and that the floor was sticky or tacky. From 10:21 a.m. to 12:37 p.m. he appeared to be resting comfortably on his bed. Commencing at 12:37 p.m. for about 23 minutes he walked around looking at various things in the cell. He told Cpl. Kee that the cement slab in the cell was moving. During a smoke break in the Second Statement he asked Cst. Lee if the slab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Cpl. Kee confirmed in his testimony that when Guard Motak advised him on Saturday morning that Mr. Park was complaining about flies in his cell, this was the first report regarding Mr. Park experiencing hallucinations. Cpl. Kee testified that when he spoke to Mr. Park about the flies, they were discussing it in the past tense, that Mr. Park reported he had been in and out of sleep, and that Mr. Park made it sound like "not a big deal". Mr. Park last referred to the cement slab at about 3:00 p.m.; his earlier concern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Although Mr. Park had the two hallucinations, throughout Saturday, the Second Statement and all of the interactions with officers in the JJP hearing and smoke break the evidence demonstrates that Mr. Park was oriented as to time and place until after 6:20 p.m. He clearly understood the intended process for his bail hearing to take place in the future -- the next Thursday after an initial court appearance on Monday. He understood his right to silence and stated a number of times that he would not answer a question posed. He made humorous comments and a clever wordplay in his statement with Cpl. Kee. His reactions were appropriate in the stressful circumstances. There is no evidence that Mr. Park felt compelled to speak as a result of the hallucinations.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medical evidence addressed both Mr. Park's alcohol withdrawal prior to 6:20 p.m. and Mr. Park's state after 6:35 p.m. on Saturday. The evidence of Dr. Wood was of assistance in understanding Mr. Park's behaviour on Saturday as he was hallucinating but also oriented and aware. I will first summarise Dr. Wood's evidence and then discuss his opinion in the context of the video observations of the court and the testimony of the witnesses who observed Mr. Park on Saturday.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Dr. Wood was an expert retained by the Crown to provide an opinion in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He was qualified as a physician, specializing in Addiction and Internal Medicine, to give opinion evidence on the symptoms, diagnosis and treatment of substance use disorders and the physical and mental effects of substance withdrawal. In addition to his testimony, Dr. Wood also prepared a report dated April 10, 2018 in which he provided context on the symptoms and diagnosis of mild and more severe alcohol withdrawal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Wood testified that of the individuals with alcohol addiction (or "Alcohol Use Disorder"), approximately half will experience some degree of alcohol withdrawal when they cease drinking. Among the individuals who do experience alcohol withdrawal, the majority of them only experience mild symptoms. Dr. Wood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Is it by definition that you could predict the kind of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Why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About 50 percent of people when they cease high level alcohol use don't get any withdrawal symptoms at all, and then among -- so, right there half the people at risk would not have withdrawal symptoms. And then of the 50 percent that have symptoms, the majority of those would be mild. So, a little bit of a hand tremor, some anxiety that you might not even attribute to your alcohol use, insomnia classically.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assuming someone uses heavily as we've talked about in this case, 10 to 12 beers a day -- daily, not stopping for some time, a person in that category would be at a high risk to have symptoms, but empirically or statistically speaking 50 percent of those people don't end up having any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that doesn't mean -- we're not talking about him now. These are just empirical correlations?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out of the remaining 50 percent in that category, only some will have mild symptoms like a tremor, insomnia, some anxiety perhaps?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right. The majority would only have those mild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Then what's the percentage of people who have moderate symptoms who are in that high-risk category?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 the estimates vary widely in the literature, but roughly five to 15 percent of people with alcohol withdrawal will develop severe alcohol withdrawal syndrome if it's untreated.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you'll probably be able to help us because I'm not good at math. When you say five to 15 percent, is that of that already half of the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It's not from a hundred people, it's from the 50 people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from that 50 people left only five to 15 percent will go on to have moderate or severe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In terms of moderate versus severe and acknowledging that the statistics are what they are and, as you said, the estimates vary, is it broken down into moderate and severe?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It's not. It's a clinical diagnosis. So, people refer to mild symptoms and then there's a syndrome of severe alcohol withdrawal. So, mild symptoms or severe. And then the definition of severe alcohol withdrawal generally encompasses alcohol withdrawal seizure, delirium tremens, or a constellation of the other symptoms that's enough to warrant a definition of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Wood testified that the diagnosis of alcohol withdrawal syndrome is made according to the Diagnostic Statistical Manual of Mental Disorders (DSM) - 5. His report outlined the requirements for this diagnosis: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Cessation of (or reduction in) alcohol use that has been heavy and prolonged.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(or more) of the following, developing within several hours to a few days after the cessation of (or reduction in) alcohol use described in criterion A:</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Autonomic hyperactivity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hand tremor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Insomnia</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Nausea or vomiting</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Transient visual, tactile, or auditory hallucinations or illusions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Psychomotor agitation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tonic-clonic seizures.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signs or symptoms in criterion B cause clinically significant distress or impairment in social, occupational, or other important areas of functioning.</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signs or symptoms are not attributable to another medical condition and are not better explained by another mental disorder, including intoxication or withdrawal from another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Wood testified that these symptoms generally, although not always, progress along an expected continuum and time course. As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Now, looking at your report on page 3 in that paragraph we were just reading from, you write: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 along this continuum from mild to more severe, alcohol withdrawal symptoms can [be] grouped into a number of defined presentations that generally occur sequentially from mild withdrawal symptoms, alcohol hallucinosis, alcohol withdrawal seizure and delirium tremens (also referred to as "alcohol withdrawal delirium").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that sentence are you suggesting that these things progress sequentially all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Not all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As a general rule do they progress sequentially?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So, it would be -- you generally wouldn't see delirium tremens emerging without the other symptoms beforehand and usually all you see is the mild symptoms. Sometimes people get confused about alcohol withdrawal seizure thinking it's the most extreme thing that can happen after people in delirium tremens, but that's actually incorrect. It tends to happen in the first 24 hours. So, you get that possible severe manifestation in the first 24 hours and along that continuum delirium tremens is the last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Wood acknowledged that it would be very difficult to differentiate between withdrawal symptoms and anxiety due to the circumstances. However, he opined that Mr. Park would have experienced the discernible milder withdrawal symptoms before he experienced hallucinosis or delirium tremens.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Wood clarified that, along the continuum of alcohol withdrawal syndrome, as the severity of the symptoms goes up, the likelihood of the symptoms occurring goes down: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 and is there anything more that I should understand about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don't think so. We used the example of a hundred people that use a lot of alcohol, let's say 12 beers a day. They all stop because they can't get alcohol. About 50 percent will just go on about their way with no alcohol withdrawal symptoms, so then you're left with about 50 and the majority of those symptoms and about -- for 45 of those people probably to 40 -- 40 to 45 would only have a hand tremor, maybe they're - they're having a hard time sleeping, maybe a little anxiety. They may not attribute those things to alcohol withdrawal even. They may have some craving, but that would be it. In the first 24-hour period where those symptoms tend to emerge you may see seizure, which is -- which is very rare, I would say five percent max. You may see hallucinosis, again in that sort of less than five percent range, and then delirium tremens, after -- sort of after 24 hours is when you tend to see that, in that 24 to 72 hour window, and that would be about 10 percent of that 50 percent. So it's a -- it's a progression to more severe with the caveat that -- that seizure can happen early, but the likelihood of those things happening goes down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Wood explained in direct examination that an additional early presentation of alcohol withdrawal is "alcohol hallucinosis". He classified this as being a moderate symptom, during which generally people's senses remain intact. However, Dr. Wood could not comment on the impact of other factors, outside of the withdrawal, that would impact on cognition, orientation or awareness. This was because Dr. Wood did not interview Mr. Park, but rather just reviewed the videos and transcripts. He acknowledged that having the ability to interview a person would give a better understanding of awareness, cognition, and orientation.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his report, Dr. Wood described alcohol hallucinosis as generally occurring within the first 24 hours after cessation of alcohol, and referred to intermittent and transient hallucinations that classically involve visual hallucinations, including seeing things move or things that are not there, or auditory hallucinations, including hearing sounds. In his report, Dr. Wood explained that alcohol hallucinosis is typically:</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intermittent;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accompanied by autonomic hyperactivity, such as high blood pressure, high heart rate, high breathing rate, and psychomotor agitation (needing to move around);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otherwise accompanied by disorientation or disruption of the senses or cognition.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Regarding what to expect during the alcohol hallucinosis stage, as opposed to the delirium tremens stage which occurs more towards 48 hours since alcohol consumption, Dr. Wood explained that distinguishing features between the two are that the "autonomic activity" (high blood pressure, high heart rate, high breathing rate, agitation) is more pronounced in the delirium tremens stage, and cognition and disorientation are usually intact during hallucinosis. Generally delirium tremens is a state of global disorientation. He explained further regarding cognition during hallucinosis: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so, when you talked about the cognitive functioning and the lack of disorientation and the senses intact, what do you mean?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When somebody is having classic alcohol hallucinosis, they may hear or see things, classically sort of bugs on the ceiling or hear voices and not commanding voices generally. It would be hearing that someone's talking that isn't there, but they're otherwise not disoriented.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the function of seeing something that's not there, hearing something that's not there happens, but the other observable indicia of cognitive functioning suggests the person is okay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Everything else generally would be intact classically.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Wood distinguished alcohol hallucinosis from delirium tremens: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 guess I'm just wondering how alcohol hallucinosis is not delirium if delirium is potentially having hallucinations.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 the distinction is the time when they occur, not that these are hard and fast rules, but epidemiologically hallucinosis happens earlier than delirium tremens and hallucinosis is distinguished from delirium tremens in that it's hallucinations in isolation, essentially, as opposed to hallucinations as part of a delirium that involves all the things listed here in terms of this inability to maintain focus, awareness of where you are, cognition, so not being able to remember things. That's delirium tremens and part of that simple -- complex of all of those things, like global disorientation, can involve hallucinations as opposed to hallucinations essentially in isolation which is hallucinosis.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 I use the example of some -- Mr. Jones in their hospital bed asking the nurse if there's somebody in the bathroom asking for help and the nurse saying, "No. Do you know where you are?" "Yes." "Do you know why you're here?" "Yes." Okay, Mr. Jones is fully intact as opposed to Mr. Jones saying, "I'm hearing something in the bathroom", and then saying, "Do you know where you are?" "Yeah, you know, I'm on -- I've been abducted. I'm on a spaceship and you're taking me..." "Who am I? You think I'm an alien taking you to do experiments on you?" That's delirium.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Wood described delirium tremens as typically rapid onset in his report, and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at the last paragraph on page 4 you write: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Alcohol withdrawal delirium (also known as "delirium tremens") is typically a rapid onset delirium that occurs last among the symptoms of alcohol withdrawal (if it occurs at all) and can be life threatening.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delirium tremens or alcohol withdrawal delirium which are apparently the same thing, you indicate that it's rapid onset. What does that mean?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so classically it would -- it would occur and, okay, Mr. Jones is delirious and, you know, you're getting called to the bedside because of behavioural issues, but alcohol withdrawal exists along a continuum, but delirium tremens as we've talked about isn't -- isn't frequent. Five to 15 percent of those cases that have severe withdrawal or that have withdrawal will develop it and so it will come on classically, but it is along a continuum where they're having symptoms and hallucinosis may be part of that. But once somebody's delirious they would go from seeing something on the ceiling and being relatively relaxed to, you know, fearful for their life, trying to recruit others to their safety or their help. You know, total loss of thought processes and that's delirium. You wouldn't be able to -- you'd transition into a place where you wouldn't be able to function in that sort of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Wood gave evidence that Mr. Park's reports on October 29 of seeing flies and a moving slab of concrete suggested to him that Mr. Park was experiencing mild alcohol withdrawal throughout the police statements. Dr. Wood confirmed that hallucinations of flies is classically described in the literature. Dr. Wood opined that Mr. Park was experiencing intermittent alcohol hallucinosis during the police statements, and a transition to delirium tremens, or severe alcohol withdrawal, after 6:35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Wood stated the following regarding Mr. Park's hallucinations, and the distinction between having hallucinating but being redirectable, and having paranoid delusions: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 see. You say at the bottom of page 4 and going on to the top of page 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occurred in Mr. Park's case, when it occurs, alcohol withdrawal delirium typically occurs [last of all the symptoms of alcohol withdrawal] in approximately 2-3 days after reducing drinking. Mr. Park's delirium presentation after giving his statement to police is entirely consistent with a diagnosis of delirium tremens. For instance, when Constable Kee comes to his cell at 18:35 on October 29th and Mr. Park states: "These guys. They wanna fuck me up. I'm goin' crazy, I can see, I can see cartoons on this fuckin' roof, and a red dog with teeth, and everything I look at gets a fuckin' cartoon on it if I focus on it for long enough."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End quote. In terms of the -- you assumed for the purposes of analysis that Mr. Park was hallucinating -- that he was actually hallucinating what he saw on the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If it was just confined to that, if there was no other information, just those words, would you be able to say that that's symptomatic of delirium tremens?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Symptomatic of? Just the words? If the person believed it, then, yes. There's the paranoid delusion that he's in danger and also the hallucinations.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earlier when he expresses about the slab moving and then later in the garage with Constable Lee about getting a book and, "Well, I'll read it unless the slab crushes me", isn't that the same kind of paranoid delusion involving danger?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It's similar, but he's redirectable and they just carry on with the conversation whereas in this case from my observation I don't think they could've sat down and conducted an interview. I think he would've been too distressed and in delirium and not able to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Tell us what it means clinically to be redirectable in the context of alcohol hallucinosis.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 typically with alcohol hallucinosis you would explain to the person that what they're seeing isn't there and that you'd be able to get them to carry on with what other activity you were doing, examining them or interviewing them or having them eat or whatever it is and that they could - they could attend to what you're asking them to attend to, whereas in the context of alcohol withdrawal delirium people will be too disoriented to be able to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And then they go on to have the justice of the peace hearing. In terms of that exchange, the slab moving, is there any significance or not to -- assuming for the moment it's alcohol hallucinosis, is there any significance or not to the notion that Mr. Park expressed that it's dangerous?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 him I think it's important. He's volunteering it to others to make it aware and he perceives it to be dangerous. I wouldn't make more out of it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Wood then said the following regarding the indicia of withdrawal he observed in the videos of Mr. Park: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From what -- what I can discern from the transcripts and video is that he has mild withdrawal throughout the day and he has hallucinosis when he's alone in the cell on a number of occasions starting with when he sees some flies, I think, in the morning and then the slab moving later in the day, and then he has abrupt onset of delirium tremens when he's back in his cell at the end of the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if someone is having mild symptoms, including alcohol hallucinosis, can they be functioning in a way that they can interact appropriately with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and that's by definition hallucinosis. I wouldn't call the hallucinosis mild, I'd call it more moderate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but by definition it's intermittent or transient hallucinations without clouding of cognition.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And the clouding of cognition you've indicated on the bottom of page 5 came after about 6:35 in the evening when he talks to Corporal Kee in his cell;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at that point in time would he have been able to function without a clouding of his cognition or senses?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Classically,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Wood was asked whether there is any significance of Mr. Park expressing what he saw in his hallucinations was dangerous. 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And then they go on to have the justice of the peace hearing. In terms of that exchange, the slab moving, is there any significance or not to -- assuming for the moment it's alcohol hallucinosis, is there any significance or not to the notion that Mr. Park expressed that it's dangerous?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 him I think it's important. He's volunteering it to others to make it aware and he perceives it to be dangerous. I wouldn't make more out of it than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Is there any significance to the fact that he goes on and answers questions and functions without any reference to things that aren't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what -- what suggests to me it's alcohol hallucinosis and that he can get back to the process that he's in and comply with that and behave in a way that's not out of the 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Wood was of the opinion that Mr. Park went into delirium tremens after 6:20 p.m. His opinion is consistent with the opinions of the physicians who treated Mr. Park at Burnaby General Hospital: Dr. Baxendale, Dr. Gulati, and Dr. Ronsley.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Baxendale, the Emergency Room physician, treated Mr. Park on October 29 and 30, 2016, according to the Clinical Institute Withdrawal Assessment for Alcohol ("CIWA") protocol. Dr. Baxendale testified that he felt Mr. Park was in withdrawal when he was admitted to Burnaby General Hospital on October 29, 2016, with abnormally high heart rate and blood pressure. Dr. Baxendale testified that he administered progressive dosages of drugs, starting with increasing doses of Ativan, then administering an anti-psychotic called Haladol to sedate Mr. Park, and then Propofol which eventually had the effect of sedating Mr.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Gulati, a psychiatrist, saw Mr. Park on October 30, 2016 and diagnosed him with "a brief psychotic episode, in the context of alcohol withdrawal." Dr. Gulati agreed that someone specializing in addiction medicine and the physiology of it would be better suited to speak to the timeline of alcohol withdrawal. Dr. Gulati also testified that the best way to determine the impact of withdrawal on a person's mental state is by speaking to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Ronsley is a psychiatrist who saw Mr. Park upon his admission to hospital. Dr. Ronsley agreed that he would want to consult and work closely with an internal medicine specialist or hospitalist if someone is experiencing alcohol withdrawal, given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there's a lot of medical complications of alcohol withdrawal. There are -- patients can develop seizure disorders. They can be in what we call delirium, which is a medical condition. And then they can have complications of those. They can - they can have co-occurring infections. They can have...complications of seizures, aspirations... They can have high blood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Ronsley testified in cross-examination that delirium has a progressive onset, and that delirium does not always present outwardly. In direct he testified as follows when asked to discuss what delirium means: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Now, you had mentioned infections, aspirations, things that definitely sound like physical kinds of medical problems. You also mentioned in your -- one of your last answers, delirium. What did you mean by that, in the context of alcohol withdrawal?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Right. So, one of -- in the context of alcohol withdrawal -- delirium is a general term which basically refers to people whose mental state is in a state of confusion, where they can't attend to any kind of train of thought or any kind of, uh -- of cognitive awareness of -- of inputs that -- that they're receiving, in general. And that is part the -- there's a -- delirium in general can be caused by many different things, but one of the things is alcohol withdrawal, and at a certain stage of alcohol withdrawal, it's severe. It can induce a state of delirium.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 cross-examination, Dr. Ronsley testified that he would describe delirium as a syndrome, which can be caused by a wide variety of underlying diagnoses.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so those are - are three separate things, hallucinations, delusions, and delirium.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They're three separate things,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with respect to hallucinations and delusions, as opposed to delirium, are those considered -- those first two considered medical conditions in the same way that delirium is, or would you consider those more psychiatric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Those are symptoms. So, delusions and hallucinations are symptoms. They are not diagnoses. They are not -- they have to be explained in terms of an underlying condition of the patient. So, if there is a medical diagnosis that's in existence that would account for those symptoms, then it's a medical diagnosis. If all medical diagnoses have been ruled out by appropriate investigations, then it becomes a psychiatric diagnosis. The symptoms may be - may look very much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Ronsley also testified that he would be very uncomfortable providing an opinion on a person's mental state without interviewing the person first. He also opined that a doctor who was actually involved with the patient at the time would be the most qualified to give an opinion on a person's mental state.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 Findings Regarding Alcohol Withdrawal and Hallucinosis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Wood opined that before 6:35 p.m. on October 29, Mr. Park was likely experiencing intermittent alcohol hallucinosis, a moderate stage of alcohol withdrawal, which did not yet cloud his cognition. Although Dr. Wood did not treat or meet with Mr. Park prior to preparing his opinion, the Crown submits that Dr. Wood reviewed over 15 hours of audio-video recordings of Mr. Park, accompanying transcripts, and Mr. Park's medical records from his admission to Burnaby General Hospital following the incident of self-harm on October 29,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defence notes Dr. Wood's conclusion in this regard is based on the fact that Mr. Park did not say anything in the video indicating there was indicia of withdrawal-related paranoia prior to 6:35 p.m. The defence submits Dr. Wood acknowledged he did not meet with Mr. Park and therefore Dr. Wood was not in a position to ask Mr. Park whether he held any paranoid beliefs prior to 6:35 pm on October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Wood acknowledged that even though he referred to Mr. Park's "normal" interactions while in custody, he had never met or interacted with Park and did not know what his normal behaviour would be. On cross-examination, Dr. Wood qualified this to "normal-appearing". Dr. Wood also acknowledged his description of Mr. Park as "completely oriented" was also based on "normal-appearing conversation and--and interactions and the absence of questioning where he is and why he is there". Dr. Wood also testified that his opinions relating to what Mr. Park was thinking, or on his heart rate were based on assumptions from what he observed in the videos.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finally note that Dr. Wood has never interacted with anyone in Mr. Park's circumstances: somebody in custody after having been arrested for homicide. These are circumstances that I must consider when I approach Dr. Wood's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accept the opinion of Dr. Wood that Mr. Park was experiencing alcohol withdrawal on Saturday, October 29, and it progressed from the moderate to the severe stage of withdrawal in the time after the end of the Second Statement on Saturday. There was no suggestion in the evidence that the process of the Second Statement until 6:20 p.m. had any effect on the progression of withdrawal to the severe stage by 6:35 p.m. The evidence is simply that progression to the severe stage is generally unpredictable, occurs in only 5% of individuals who commence withdrawal, and that this stage is acute onset over a short period of time that can be minutes. I conclude that that was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Wood's written report sets out the diagnostic criteria and describes the symptoms and effects of the various stages of alcohol withdrawal. As the trier of fact I observed Mr. Park in the lengthy videos taken in the cell and in the interviews. The two hallucinations on Saturday are apparent from his discussions of them, and it is also apparent that he remains alert, oriented and aware throughout that day until 6:20 p.m. His interactions with the persons in authority are appropriate in the circumstances of his arrest and detention. After 6:35 p.m. there is a marked behaviour change when he becomes agitated, confused and distraught. His speech pattern changes in tone and cadence. The report and testimony of Dr. Wood assisted in understanding the clinical significance of my observations and the testimony of the witnesses who interacted with Mr. Park on Saturday. A medical framework is provided by the opinion within which the legal analysis can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Wood's evidence assisted the court in understanding the juxtaposition between Mr. Park's two hallucinations on Saturday in the period from 9 a.m. to 3 p.m. together with his apparently normal behaviour in every other respect through that time period until 6:35 p.m. This juxtaposition is explained by the hallucinosis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Prior to 6:35 p.m. on October 29, I find that Mr. Park was experiencing alcohol hallucinosis with intermittent hallucinations. This is based on the opinion of Dr. Wood regarding the stages of alcohol withdrawal and the evidence of the other medical professionals, as well as my observations of the video and audio recordings. In this moderate stage of alcohol withdrawal, Dr. Wood stated in his report: Typically ... individuals would still be completely oriented to their setting and classically have full control over their thought processes and decision making." As described in </w:t>
      </w:r>
      <w:r>
        <w:rPr>
          <w:rFonts w:ascii="arial" w:eastAsia="arial" w:hAnsi="arial" w:cs="arial"/>
          <w:i/>
          <w:color w:val="000000"/>
          <w:sz w:val="20"/>
          <w:lang w:val="en-US" w:eastAsia="en-US" w:bidi="ar-SA"/>
        </w:rPr>
        <w:t>R. v. Hosack</w:t>
      </w:r>
      <w:r>
        <w:rPr>
          <w:rFonts w:ascii="arial" w:eastAsia="arial" w:hAnsi="arial" w:cs="arial"/>
          <w:color w:val="000000"/>
          <w:sz w:val="20"/>
          <w:lang w:val="en-US" w:eastAsia="en-US" w:bidi="ar-SA"/>
        </w:rPr>
        <w:t>, the hallucinations that Mr. Park experienced at times on Saturday, October 29 prior to 6:35 p.m. were essentially "walled off from the bulk of his other cognitive abilities which, as the interviews clearly demonstrate, were not impaired": para. 90. As described by Dr. Wood, Mr. Park was redirectable. As is conceded, Mr. Park had an operating mind throughout the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By 6:35 p.m. Mr. Park had progressed to the severe stage of alcohol withdrawal, delirium tremens. He was in florid delirium with an altered state of consciousness.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Conclusion on Voluntariness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Throughout the Statements on October 28 and 29, 2016, Mr. Park understood what was being said to him by police; the legal advice he was provided; the consequences of speaking to the police; the circumstances of his arrest; and that he had been charged with the murder of his daughter. He was alert, articulate, coherent, and aware. His cognitive abilities were not affected by anxiety or alcohol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parties agree that there was an operating mind and no threats or inducements. However, I must consider whether the combination of factors discussed above were oppressive and raise a reasonable doubt that Mr. Park remained able throughout the Second Statement to freely choose whether to speak or remain silent.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most significant vulnerability of Mr. Park was that he was an alcoholic undergoing withdrawal from alcohol. On Saturday, October 29 he progressed from mild symptoms through moderate to severe symptoms. The moderate stage was evidenced by two episodes of hallucinosis where he experienced seeing flies on the ceiling of his cell in the morning and then cement slabs moving in his cell in the early afternoon. At times he also had tremors, described by the guards and officers as him being jittery and shaky. On the basis of the evidence of the recordings, audio and video, of Mr. Park, and the testimony of the witnesses who observed him during that day, I accept the evidence of Dr. Wood that throughout these mild and moderate stages of withdrawal Mr. Park's cognitive functions were not negatively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 is no direct evidence from Mr. Park as to his anxiety and experience of withdrawal or the process of the Second Statement. His interactions with the guards and Cpl. Kee and Cst. Lee throughout Saturday did not indicate a significant level of anxiety. He had taken his medication. He did not show any lasting distress over the hallucinations; he reported them, returned a few times to the topic of the slabs including the request for a different cell, and each time moved on to another topic. The hallucination of the flies was discussed in the past tense. In Dr. Wood's terminology, Mr. Park was redirectable which is an indicator of hallucinosis rather than delirium. When Mr. Park was in the garage with Cpl. Kee, his emotion increased appropriately in the circumstances as he discussed his role in the death of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delirium occurred with a sudden onset after the end of the Second Statement at 6:20 p.m. When Cpl. Kee observed Mr. Park at 6:35 p.m. there were visible differences in his appearance, body movements, pace of speech, and reporting of his experiences. For the first time, he expressed a fear of harm from the guards. He was suicidal.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the context of Mr. Park being only in the moderate stage of alcohol withdrawal at the time of the Second Statement, the other factors raised by the defence must also be considered collectively.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five-hour length of the Second Statement, the evidence presentation, Mr. Park being refused further access to his counsel, his request to leave the interview room, the lengthy references to the charge approved standard and Cpl. Fortin's mis-statement considered collectively in the context of the evidence as a whole do not rise to the level of oppression. Neither individually nor collectively do these factors raise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That Mr. Park retained his free will throughout the Second Statement, and during the twenty minutes in the garage during which he made the inculpatory statement, is demonstrated by the many times in the garage that Mr. Park responds to questions with "I don't know", as well as indicating that he does not want further questions, does not want to say, and does not want to talk about it. He also says that he is still going to see his lawyer. As in </w:t>
      </w:r>
      <w:r>
        <w:rPr>
          <w:rFonts w:ascii="arial" w:eastAsia="arial" w:hAnsi="arial" w:cs="arial"/>
          <w:i/>
          <w:color w:val="000000"/>
          <w:sz w:val="20"/>
          <w:lang w:val="en-US" w:eastAsia="en-US" w:bidi="ar-SA"/>
        </w:rPr>
        <w:t>G.C.Z.</w:t>
      </w:r>
      <w:r>
        <w:rPr>
          <w:rFonts w:ascii="arial" w:eastAsia="arial" w:hAnsi="arial" w:cs="arial"/>
          <w:color w:val="000000"/>
          <w:sz w:val="20"/>
          <w:lang w:val="en-US" w:eastAsia="en-US" w:bidi="ar-SA"/>
        </w:rPr>
        <w:t>, Mr. Park chose what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totality of the actions and conduct of the police in the particular context of the vulnerabilities of Mr. Park, including the hallucinosis, did not create a general atmosphere which was so oppressive that Mr. Park's ability to exercise his free will was overborne at any time. The police actions and conduct did not overwhelm Mr. Park's choice to make both the entire First and Second statements. The Crown has therefore proven beyond a reasonable doubt that Mr. Park's statements were voluntary.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SECTION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 was heard in the blended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regarding the admissibility of the statement. The issues in this section of these reasons are whether the accused's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were deprived in a manner not in accordance with the principles of fundamental justice, and, if they were, whether the Statements should be excluded pursuant to s.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Mr. Park alleges that the police breached his right to life and security of the person under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with a deprivation which is not in accordance with the principles of fundamental justice. The defence proposes a new principle: the right to be kept safe while in police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defence application seeks an order allowing the application and an order, pursuant to s. 24(2), excluding the Second Statement from the trial of this matter. No issue is taken with regard to the First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Crown submits that Mr. Park has not satisfied the onus on him to establish, on a balance of probabilities,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In particular, the Crown takes the position that any impact to Mr. Park's s. 7 rights did not arise from a state action within the sphere of a fundamental principle of justice, and that the principle proposed by the defence is not and should not be a principle of fundamental justice. The Crown submits that, even if a breach is established, the test for exclusion under section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After careful consideration of all the issues and cases raised by both parties, I find that the Statements obtained on October 29, 2016 were not obtained in a manner that infringed or denied Mr. Park's rights. The remedy sought by the defence pursuant to s. 24(2) requires that the evidence be connected to the alleged breach, and or the totality of the evidence, I find the connection is too tenuous or remote. These are the reasons for that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applicant accused says the police failed to provide for his safety by failing to obtain medical assistance in light of the information they had, and at a time when it was obvious he was in medical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It is submitted that the deprivation of Mr. Park's s. 7 rights occurred after 6:35 p.m. on the Saturday. As described in the facts set out above, the Second Statement concluded at 6:20 p.m. and Mr. Park was then returned to Cell 6, a different cell as a result of his earlier hallucinations regarding the falling concrete. At about 6:30 p.m. he asked the guard to summon Cpl. Kee who attended at 6:35 p.m. Mr. Park told Cpl. Kee that he was experiencing hallucinations and that he was suicidal and that he feared that the guards were trying to harm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Park says the state conduct impacted his right to life and to security of the person. The state conduct increased his risk of death in that it contributed to his suicide attempt, and left him in a life-threatening medical emergency for almost two hours. The defence submits that collectively there could have been more done to support Mr. Park. They say that there was a failure to properly transmit information between Cpl. Kee, Cpl. Whalley, Guard Watts, and anyone else working at the Burnaby Cells that night. Further, if Mr. Park had been identified as suicidal, it is likely that more monitoring would have occurred, and perhaps earlier intervention would have prevented Mr. Park from deteriorating to the state where he attempted to harm himself, or prevented Mr. Park from engaging in self-harm for approximately 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defence says this conduct caused a deprivation of his right to life. When Cpl. Kee left the accused alone in his cell, knowing Mr. Park had said the guards were trying to kill him and that he was suicidal, this engaged the accused's right to security of the person. The accused experienced profound psychological distress and self-harm. The state conduct need not be the only cause of the deprivation, and the defence submits that whether Mr. Park's vulnerabilities contributed to the harm is immaterial.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defence submits these deprivations were not in accordance with the principles of fundamental justice. The defence asserts that based on Canadian jurisprudence and experience, along with Canada's obligations pursuant to international law, it is a principle of fundamental justice that an accused person in the custody of the state has a right to be kept safely while in police custody. The defence cites the </w:t>
      </w:r>
      <w:r>
        <w:rPr>
          <w:rFonts w:ascii="arial" w:eastAsia="arial" w:hAnsi="arial" w:cs="arial"/>
          <w:i/>
          <w:color w:val="000000"/>
          <w:sz w:val="20"/>
          <w:lang w:val="en-US" w:eastAsia="en-US" w:bidi="ar-SA"/>
        </w:rPr>
        <w:t>International Covenant on Civil and Political Rights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United Nations Standard Minimum Rules for the Treatment of Prisoners (the Nelson Mandela Rules)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Body of Principles for the Protection of All Persons under Any Form of Detention or Imprisonment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defence submits that persons in the custody of the state are uniquely vulnerable and are at the mercy of the state. They say the proposed principle is a legal principle because there is a legally recognized duty of care imposed on the state in relation to the incarceration of prisoners; this obligation is fundamental to our notions of justice, and is reflected in international law. This principle is also found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the warrant remanding a person into the custody of the state pursuant to ss. 515 and 516 in Form 19 directs the state to receive the individual into its custody and keep him safely until the day when his remand expires.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defence also links the notion of keeping an accused person safe to the right to a fair trial. They say that imposing an obligation on the state through a principle of fundamental justice is nothing new; in fact the right to a fair trial and the right to silence impose corresponding duties on the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Finally, the defence says the principle is precise and can be applied predictably, because the principle tracks the already recognized legal standard imposed on the state in relation to the care of persons in custody.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Crown submits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provide claimants with positive rights, and there is no free-standing constitutional right to healthcare in Canada: </w:t>
      </w:r>
      <w:r>
        <w:rPr>
          <w:rFonts w:ascii="arial" w:eastAsia="arial" w:hAnsi="arial" w:cs="arial"/>
          <w:i/>
          <w:color w:val="000000"/>
          <w:sz w:val="20"/>
          <w:lang w:val="en-US" w:eastAsia="en-US" w:bidi="ar-SA"/>
        </w:rPr>
        <w:t>Chaoulli v. Quebec (Attorney General)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2005 SCC 35</w:t>
        </w:r>
      </w:hyperlink>
      <w:r>
        <w:rPr>
          <w:rFonts w:ascii="arial" w:eastAsia="arial" w:hAnsi="arial" w:cs="arial"/>
          <w:color w:val="000000"/>
          <w:sz w:val="20"/>
          <w:lang w:val="en-US" w:eastAsia="en-US" w:bidi="ar-SA"/>
        </w:rPr>
        <w:t xml:space="preserve">, at para. 104. The Crown submits that Mr. Park's allegation inappropriately conflates a common law civil duty of care with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remedy. Further, the Crown says that the state conduct must have a sufficient causal connection or sufficient contributory role in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Crown says the cases holding that an increased risk to a person's health can amount to infringement of security of the person all involved statutorily imposed restrictions on the availability of healthcare, coupled with the possibility of criminal conviction: </w:t>
      </w:r>
      <w:r>
        <w:rPr>
          <w:rFonts w:ascii="arial" w:eastAsia="arial" w:hAnsi="arial" w:cs="arial"/>
          <w:i/>
          <w:color w:val="000000"/>
          <w:sz w:val="20"/>
          <w:lang w:val="en-US" w:eastAsia="en-US" w:bidi="ar-SA"/>
        </w:rPr>
        <w:t>Chaoulli, Carter v. Canada (Attorney General)</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2015 SCC 5</w:t>
        </w:r>
      </w:hyperlink>
      <w:r>
        <w:rPr>
          <w:rFonts w:ascii="arial" w:eastAsia="arial" w:hAnsi="arial" w:cs="arial"/>
          <w:i/>
          <w:color w:val="000000"/>
          <w:sz w:val="20"/>
          <w:lang w:val="en-US" w:eastAsia="en-US" w:bidi="ar-SA"/>
        </w:rPr>
        <w:t>; R. v. Morgentaler</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[1988] 1 S.C.R. 30</w:t>
        </w:r>
      </w:hyperlink>
      <w:r>
        <w:rPr>
          <w:rFonts w:ascii="arial" w:eastAsia="arial" w:hAnsi="arial" w:cs="arial"/>
          <w:i/>
          <w:color w:val="000000"/>
          <w:sz w:val="20"/>
          <w:lang w:val="en-US" w:eastAsia="en-US" w:bidi="ar-SA"/>
        </w:rPr>
        <w:t>; R. v. Malmo-Levine, R. v. Caine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2003 SCC 73</w:t>
        </w:r>
      </w:hyperlink>
      <w:r>
        <w:rPr>
          <w:rFonts w:ascii="arial" w:eastAsia="arial" w:hAnsi="arial" w:cs="arial"/>
          <w:color w:val="000000"/>
          <w:sz w:val="20"/>
          <w:lang w:val="en-US" w:eastAsia="en-US" w:bidi="ar-SA"/>
        </w:rPr>
        <w:t xml:space="preserve">. They say these cases should not lead the court to say that any harm experienced by a prisoner while in custody amounts to a breach of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Crown submits that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provide claimants with positive rights: </w:t>
      </w:r>
      <w:r>
        <w:rPr>
          <w:rFonts w:ascii="arial" w:eastAsia="arial" w:hAnsi="arial" w:cs="arial"/>
          <w:i/>
          <w:color w:val="000000"/>
          <w:sz w:val="20"/>
          <w:lang w:val="en-US" w:eastAsia="en-US" w:bidi="ar-SA"/>
        </w:rPr>
        <w:t>Gosselin v. Quebec (Attorney General)</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2002 SCC 84</w:t>
        </w:r>
      </w:hyperlink>
      <w:r>
        <w:rPr>
          <w:rFonts w:ascii="arial" w:eastAsia="arial" w:hAnsi="arial" w:cs="arial"/>
          <w:color w:val="000000"/>
          <w:sz w:val="20"/>
          <w:lang w:val="en-US" w:eastAsia="en-US" w:bidi="ar-SA"/>
        </w:rPr>
        <w:t xml:space="preserve">, at para. 81. In that case Justice McLachlin stated that s. 7 has not yet been interpreted to place "a positive obligation on the state to ensure that each person enjoys life, liberty or security of the person":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at para. 81. This interpretation is based on the wording of section 7, which McLachlin C.J. further explained reflects the provision's restriction on the state's ability to deprive individuals of their rights to life, liberty or security of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Crown says the only reasonable conclusion regarding the cause of the accused's self-harm is that it was caused by his delirium tremens. They say the state actors could not have predicted how the accused's withdrawal symptoms would progress. The Crown submits the accused had no outward signs of his deterioration, and that the guards and officers could not have known he was going to experience delirium tremens, or attempt self-harm. Finally, the Crown submits that because the guards offered the accused Ativan, which is the drug that would be administered in the hospital if someone presents with alcohol withdrawal symptoms, and they monitored him in his cell, which is what the hospital would have done in the circumstances, there is no harm. They note this manner of treatment was offered coincidentally as they reasonably had no knowledge of the state of his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Crown also submits the guards could not be faulted for failing to give Mr. Park medical treatment because Cpl. Whalley did not see anything to indicate Mr. Park had an imminent intention to harm himself, which is the point at which someone can be committed under the </w:t>
      </w:r>
      <w:r>
        <w:rPr>
          <w:rFonts w:ascii="arial" w:eastAsia="arial" w:hAnsi="arial" w:cs="arial"/>
          <w:i/>
          <w:color w:val="000000"/>
          <w:sz w:val="20"/>
          <w:lang w:val="en-US" w:eastAsia="en-US" w:bidi="ar-SA"/>
        </w:rPr>
        <w:t>Mental Health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sum on the deprivation aspect, the Crown says the state actors adequately monitored the accused in the circumstances, the officers were not obliged to take the accused to the hospital in the circumstances, and there was no deprivation because the accused received what he would have received as treatment if he had been at the hospital. In any event there is simply no evidence that any failure to act caused the harm. The Crown submitted further that the actions of the state actors did not amount to a breach of their common law duty of care to take care of Mr. Park, who was a person in their control and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Crown also submits the principle proposed by the defence should not be recognised as a principle of fundamental justice because the test set out in </w:t>
      </w:r>
      <w:r>
        <w:rPr>
          <w:rFonts w:ascii="arial" w:eastAsia="arial" w:hAnsi="arial" w:cs="arial"/>
          <w:i/>
          <w:color w:val="000000"/>
          <w:sz w:val="20"/>
          <w:lang w:val="en-US" w:eastAsia="en-US" w:bidi="ar-SA"/>
        </w:rPr>
        <w:t>Malmo Levine</w:t>
      </w:r>
      <w:r>
        <w:rPr>
          <w:rFonts w:ascii="arial" w:eastAsia="arial" w:hAnsi="arial" w:cs="arial"/>
          <w:color w:val="000000"/>
          <w:sz w:val="20"/>
          <w:lang w:val="en-US" w:eastAsia="en-US" w:bidi="ar-SA"/>
        </w:rPr>
        <w:t xml:space="preserve"> is not met. There is insufficient evidence of the foundational nature of the principle. The Crown says the principle is not a legal principle, but is rather a conclusion of factual circumstances that is even less helpful than the duty of care standard. The Crown notes the defence's articulation of this principle does not mention taking reasonable steps to keep the accused safe and there is no definition of "safe" or "kept safe".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Issues regarding s. 7 of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issues before the court are therefore:</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breach of Mr. Park's section 7 rights to right to life or security of the person?</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police officers and civilian cell guards at the Burnaby Cells interfere with Mr. Park's life or security of the person through their actions and/or omissions?</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the deprivation in accordance with the principles of fundamental justice?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breach of Mr. Park's section 7 right to security of the person, were the statements to police obtained in a manner that infringed Mr. Park's rights?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would admission of Mr. Park's Statement to police on October 29, 2016 bring the administration of justice into disrepute within the meaning of section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this case the factual foundations of this application and the Crown application regarding voluntariness overlap. However, the analysis of each application is distinct and I am required to separate the burdens and apply the appropriate onus in determining each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 and the voluntariness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defence seeks the remedy of exclusion of evidence pursuant to s.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In my view, the nature of the remedy sought brings the threshold issue of "obtained in a manner" to the forefront as the determinative issue in these circumstances. If the evidence sought to be excluded, namely the Second Statement, was not "obtained in a manner", then the only remedy sought cannot flow from any deprivation that Mr. Park may have experienced, whether it was in accordance with the principles of fundamental justice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the parties raised and discussed many issues regarding the nature of s. 7 deprivations in this context and whether this court ought to recognize a new principle of fundamental justice, I will first provide an overview of the law cited regarding s. 7 and 24(2). Then I will address the s. 24(2) issue and briefly discuss the s. 7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Overview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guarantees everyone the right to life, liberty and security of the person and the right not to be deprived thereof except in accordance with the principles of fundamental justice. As the Supreme Court of Canada noted in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at paragraph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7 does not promise that the state will never interfere with a person's life, liberty or security of the person -- laws do this all the time -- but rather that the state will not do so in a way that violates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applicant must establish the s. 7 violation on a balance of probabilities. To establish the breach, the application must demonstrate the following:</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right to life, liberty or security of the person has been interfered with or deprived by state action;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interference or deprivation is not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While sections 8 through 14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address specific deprivations of life, liberty and security of the person in breach of the fundamental principles of justice, s. 7 has a broader application or applies in context beyond those listed in ss. 8-14: </w:t>
      </w:r>
      <w:r>
        <w:rPr>
          <w:rFonts w:ascii="arial" w:eastAsia="arial" w:hAnsi="arial" w:cs="arial"/>
          <w:i/>
          <w:color w:val="000000"/>
          <w:sz w:val="20"/>
          <w:lang w:val="en-US" w:eastAsia="en-US" w:bidi="ar-SA"/>
        </w:rPr>
        <w:t>Reference re Motor Vehicle Act (British Columbia</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[1985] 2 S.C.R. 486</w:t>
        </w:r>
      </w:hyperlink>
      <w:r>
        <w:rPr>
          <w:rFonts w:ascii="arial" w:eastAsia="arial" w:hAnsi="arial" w:cs="arial"/>
          <w:color w:val="000000"/>
          <w:sz w:val="20"/>
          <w:lang w:val="en-US" w:eastAsia="en-US" w:bidi="ar-SA"/>
        </w:rPr>
        <w:t xml:space="preserve"> at paras. 28-29. The s. 7 case law is therefore diverse.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Section 7 of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Chaoulli v. Quebec (Attorney General)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2005 SCC 35</w:t>
        </w:r>
      </w:hyperlink>
      <w:r>
        <w:rPr>
          <w:rFonts w:ascii="arial" w:eastAsia="arial" w:hAnsi="arial" w:cs="arial"/>
          <w:color w:val="000000"/>
          <w:sz w:val="20"/>
          <w:lang w:val="en-US" w:eastAsia="en-US" w:bidi="ar-SA"/>
        </w:rPr>
        <w:t xml:space="preserve">, the Court held that delays in obtaining medical treatment which psychologically or physically affect patients triggers the protection of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para. 118. While the Crown is correct that there is no free-standing right to health care, delay in receiving medical treatment can engage s. 7 of the C</w:t>
      </w:r>
      <w:r>
        <w:rPr>
          <w:rFonts w:ascii="arial" w:eastAsia="arial" w:hAnsi="arial" w:cs="arial"/>
          <w:i/>
          <w:color w:val="000000"/>
          <w:sz w:val="20"/>
          <w:lang w:val="en-US" w:eastAsia="en-US" w:bidi="ar-SA"/>
        </w:rPr>
        <w:t>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Chaoulli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Parker</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(2000) 49 O.R. (3d) 481</w:t>
        </w:r>
      </w:hyperlink>
      <w:r>
        <w:rPr>
          <w:rFonts w:ascii="arial" w:eastAsia="arial" w:hAnsi="arial" w:cs="arial"/>
          <w:color w:val="000000"/>
          <w:sz w:val="20"/>
          <w:lang w:val="en-US" w:eastAsia="en-US" w:bidi="ar-SA"/>
        </w:rPr>
        <w:t>. Further, the issue here is not a free-standing right to health care. The alleged deprivation involves an individual in the custody of the state who has no other recourse to safeguard his physical and psychological health except through the state actors who are detaining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Justice Leask recently summarized the law on s. 7 in </w:t>
      </w:r>
      <w:r>
        <w:rPr>
          <w:rFonts w:ascii="arial" w:eastAsia="arial" w:hAnsi="arial" w:cs="arial"/>
          <w:i/>
          <w:color w:val="000000"/>
          <w:sz w:val="20"/>
          <w:lang w:val="en-US" w:eastAsia="en-US" w:bidi="ar-SA"/>
        </w:rPr>
        <w:t>British Columbia Civil Liberties Association v Canada (Attorney General)</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2018 BCSC 62</w:t>
        </w:r>
      </w:hyperlink>
      <w:r>
        <w:rPr>
          <w:rFonts w:ascii="arial" w:eastAsia="arial" w:hAnsi="arial" w:cs="arial"/>
          <w:color w:val="000000"/>
          <w:sz w:val="20"/>
          <w:lang w:val="en-US" w:eastAsia="en-US" w:bidi="ar-SA"/>
        </w:rPr>
        <w:t xml:space="preserve">, a case dealing with the legislated and regulatory schemes that authorize and govern administrative segregation. Justice Leask held that the right to life is engaged where the state's conduct "imposes death or an increased risk of death": para. 263. The right to security of the person is engaged where the state action interferes with an individual's physical or psychological integrity, including physical or serious psychological suffering. The psychological suffering must be more than ordinary stress or anxiety, but need not rise to the level of nervous shock or psychiatric illness: para. 275; see also </w:t>
      </w:r>
      <w:r>
        <w:rPr>
          <w:rFonts w:ascii="arial" w:eastAsia="arial" w:hAnsi="arial" w:cs="arial"/>
          <w:i/>
          <w:color w:val="000000"/>
          <w:sz w:val="20"/>
          <w:lang w:val="en-US" w:eastAsia="en-US" w:bidi="ar-SA"/>
        </w:rPr>
        <w:t>New Brunswick (Minister of Health and Community Services) v. G.J.</w:t>
      </w:r>
      <w:r>
        <w:rPr>
          <w:rFonts w:ascii="arial" w:eastAsia="arial" w:hAnsi="arial" w:cs="arial"/>
          <w:color w:val="000000"/>
          <w:sz w:val="20"/>
          <w:lang w:val="en-US" w:eastAsia="en-US" w:bidi="ar-SA"/>
        </w:rPr>
        <w:t>, [1993] 3 S.C.R.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There must be a sufficient causal connection, or the state action must play a sufficient contributory role in the harm, or in preventing an individual from taking steps to reduce harm. The state action does not have to be the only or the dominant cause of the harm. This is a practical and pragmatic inquiry: </w:t>
      </w:r>
      <w:r>
        <w:rPr>
          <w:rFonts w:ascii="arial" w:eastAsia="arial" w:hAnsi="arial" w:cs="arial"/>
          <w:i/>
          <w:color w:val="000000"/>
          <w:sz w:val="20"/>
          <w:lang w:val="en-US" w:eastAsia="en-US" w:bidi="ar-SA"/>
        </w:rPr>
        <w:t>Canada (Attorney General) v. Bedford</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2013 SCC 72</w:t>
        </w:r>
      </w:hyperlink>
      <w:r>
        <w:rPr>
          <w:rFonts w:ascii="arial" w:eastAsia="arial" w:hAnsi="arial" w:cs="arial"/>
          <w:color w:val="000000"/>
          <w:sz w:val="20"/>
          <w:lang w:val="en-US" w:eastAsia="en-US" w:bidi="ar-SA"/>
        </w:rPr>
        <w:t xml:space="preserve"> at paras. 75-76.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standard by which the court should measure the state action in this context is unclear. As the parties note, the Ontario Superior Court of Justice applied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standard to dismiss the accused's application for a breach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Lavallee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2012 ONSC 2623</w:t>
        </w:r>
      </w:hyperlink>
      <w:r>
        <w:rPr>
          <w:rFonts w:ascii="arial" w:eastAsia="arial" w:hAnsi="arial" w:cs="arial"/>
          <w:color w:val="000000"/>
          <w:sz w:val="20"/>
          <w:lang w:val="en-US" w:eastAsia="en-US" w:bidi="ar-SA"/>
        </w:rPr>
        <w:t xml:space="preserve">. The defence submits the state conduct need not rise to the level of arbitrariness, or even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maliciousness, in order to find a s. 7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Crown made submissions on the standard of care in this case, referencing the statutory framework in the </w:t>
      </w:r>
      <w:r>
        <w:rPr>
          <w:rFonts w:ascii="arial" w:eastAsia="arial" w:hAnsi="arial" w:cs="arial"/>
          <w:i/>
          <w:color w:val="000000"/>
          <w:sz w:val="20"/>
          <w:lang w:val="en-US" w:eastAsia="en-US" w:bidi="ar-SA"/>
        </w:rPr>
        <w:t>Royal Canadian Mounted Police Act</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R.S.C. 1985, c. R-10</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Officers must conduct themselves in accordance with these </w:t>
      </w:r>
      <w:r>
        <w:rPr>
          <w:rFonts w:ascii="arial" w:eastAsia="arial" w:hAnsi="arial" w:cs="arial"/>
          <w:i/>
          <w:color w:val="000000"/>
          <w:sz w:val="20"/>
          <w:lang w:val="en-US" w:eastAsia="en-US" w:bidi="ar-SA"/>
        </w:rPr>
        <w:t>Acts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Code of Conduct</w:t>
      </w:r>
      <w:r>
        <w:rPr>
          <w:rFonts w:ascii="arial" w:eastAsia="arial" w:hAnsi="arial" w:cs="arial"/>
          <w:color w:val="000000"/>
          <w:sz w:val="20"/>
          <w:lang w:val="en-US" w:eastAsia="en-US" w:bidi="ar-SA"/>
        </w:rPr>
        <w:t xml:space="preserve"> (Schedule to the </w:t>
      </w:r>
      <w:r>
        <w:rPr>
          <w:rFonts w:ascii="arial" w:eastAsia="arial" w:hAnsi="arial" w:cs="arial"/>
          <w:i/>
          <w:color w:val="000000"/>
          <w:sz w:val="20"/>
          <w:lang w:val="en-US" w:eastAsia="en-US" w:bidi="ar-SA"/>
        </w:rPr>
        <w:t>Royal Canadian Mounted Police Regulations</w:t>
      </w:r>
      <w:r>
        <w:rPr>
          <w:rFonts w:ascii="arial" w:eastAsia="arial" w:hAnsi="arial" w:cs="arial"/>
          <w:color w:val="000000"/>
          <w:sz w:val="20"/>
          <w:lang w:val="en-US" w:eastAsia="en-US" w:bidi="ar-SA"/>
        </w:rPr>
        <w:t xml:space="preserve">, 2014 </w:t>
      </w:r>
      <w:hyperlink r:id="rId210" w:history="1">
        <w:r>
          <w:rPr>
            <w:rFonts w:ascii="arial" w:eastAsia="arial" w:hAnsi="arial" w:cs="arial"/>
            <w:i/>
            <w:color w:val="0077CC"/>
            <w:sz w:val="20"/>
            <w:u w:val="single"/>
            <w:shd w:val="clear" w:color="auto" w:fill="FFFFFF"/>
            <w:lang w:val="en-US" w:eastAsia="en-US" w:bidi="ar-SA"/>
          </w:rPr>
          <w:t>SOR/2014-281</w:t>
        </w:r>
      </w:hyperlink>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Code of Conduct</w:t>
      </w:r>
      <w:r>
        <w:rPr>
          <w:rFonts w:ascii="arial" w:eastAsia="arial" w:hAnsi="arial" w:cs="arial"/>
          <w:color w:val="000000"/>
          <w:sz w:val="20"/>
          <w:lang w:val="en-US" w:eastAsia="en-US" w:bidi="ar-SA"/>
        </w:rPr>
        <w:t>, officers must be diligent in the performance of their duties and responsibilities, including taking any appropriate action to aid any person who is exposed to potential, imminent, or actual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Crown relied upon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2008 BCCA 88</w:t>
        </w:r>
      </w:hyperlink>
      <w:r>
        <w:rPr>
          <w:rFonts w:ascii="arial" w:eastAsia="arial" w:hAnsi="arial" w:cs="arial"/>
          <w:color w:val="000000"/>
          <w:sz w:val="20"/>
          <w:lang w:val="en-US" w:eastAsia="en-US" w:bidi="ar-SA"/>
        </w:rPr>
        <w:t>, where the Court of Appeal overturned the trial judge's finding that the officers were negligent for failing to care for a prisoner who died from the overconsumption of alcohol. The court held that in the absence of evidence that peace officers know the difference between a person merely passed out, versus a person who is on the verge of "nervous system failure", the judge could not find the officers failed in their duties: para. 39.</w:t>
      </w:r>
      <w:r>
        <w:rPr>
          <w:rFonts w:ascii="arial" w:eastAsia="arial" w:hAnsi="arial" w:cs="arial"/>
          <w:sz w:val="20"/>
          <w:lang w:val="en-US" w:eastAsia="en-US" w:bidi="ar-SA"/>
        </w:rPr>
        <w:cr/>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principles of fundamental justice are essential elements of the administration of a justice system that is founded on belief in the dignity and worth of the human person and the rule of law: </w:t>
      </w:r>
      <w:r>
        <w:rPr>
          <w:rFonts w:ascii="arial" w:eastAsia="arial" w:hAnsi="arial" w:cs="arial"/>
          <w:i/>
          <w:color w:val="000000"/>
          <w:sz w:val="20"/>
          <w:lang w:val="en-US" w:eastAsia="en-US" w:bidi="ar-SA"/>
        </w:rPr>
        <w:t>Motor Vehicle Reference</w:t>
      </w:r>
      <w:r>
        <w:rPr>
          <w:rFonts w:ascii="arial" w:eastAsia="arial" w:hAnsi="arial" w:cs="arial"/>
          <w:color w:val="000000"/>
          <w:sz w:val="20"/>
          <w:lang w:val="en-US" w:eastAsia="en-US" w:bidi="ar-SA"/>
        </w:rPr>
        <w:t xml:space="preserve"> at 512. The principles are informed by the Canadian experience, jurisprudence, and Canada's obligations and values: </w:t>
      </w:r>
      <w:r>
        <w:rPr>
          <w:rFonts w:ascii="arial" w:eastAsia="arial" w:hAnsi="arial" w:cs="arial"/>
          <w:i/>
          <w:color w:val="000000"/>
          <w:sz w:val="20"/>
          <w:lang w:val="en-US" w:eastAsia="en-US" w:bidi="ar-SA"/>
        </w:rPr>
        <w:t>Canada (Prime Minister) v. Khadr</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2010 SCC 3</w:t>
        </w:r>
      </w:hyperlink>
      <w:r>
        <w:rPr>
          <w:rFonts w:ascii="arial" w:eastAsia="arial" w:hAnsi="arial" w:cs="arial"/>
          <w:color w:val="000000"/>
          <w:sz w:val="20"/>
          <w:lang w:val="en-US" w:eastAsia="en-US" w:bidi="ar-SA"/>
        </w:rPr>
        <w:t xml:space="preserve">, at para. 22. These principles might already be expressed in the presumptions of the common law, or international law, but are not an adjudication of public policy matters: </w:t>
      </w:r>
      <w:r>
        <w:rPr>
          <w:rFonts w:ascii="arial" w:eastAsia="arial" w:hAnsi="arial" w:cs="arial"/>
          <w:i/>
          <w:color w:val="000000"/>
          <w:sz w:val="20"/>
          <w:lang w:val="en-US" w:eastAsia="en-US" w:bidi="ar-SA"/>
        </w:rPr>
        <w:t>Motor Vehicle Reference</w:t>
      </w:r>
      <w:r>
        <w:rPr>
          <w:rFonts w:ascii="arial" w:eastAsia="arial" w:hAnsi="arial" w:cs="arial"/>
          <w:color w:val="000000"/>
          <w:sz w:val="20"/>
          <w:lang w:val="en-US" w:eastAsia="en-US" w:bidi="ar-SA"/>
        </w:rPr>
        <w:t xml:space="preserve"> at 503, 499.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International law can assist in establishing a principle of fundamental justice: </w:t>
      </w:r>
      <w:r>
        <w:rPr>
          <w:rFonts w:ascii="arial" w:eastAsia="arial" w:hAnsi="arial" w:cs="arial"/>
          <w:i/>
          <w:color w:val="000000"/>
          <w:sz w:val="20"/>
          <w:lang w:val="en-US" w:eastAsia="en-US" w:bidi="ar-SA"/>
        </w:rPr>
        <w:t>Kazemi Estate</w:t>
      </w:r>
      <w:r>
        <w:rPr>
          <w:rFonts w:ascii="arial" w:eastAsia="arial" w:hAnsi="arial" w:cs="arial"/>
          <w:color w:val="000000"/>
          <w:sz w:val="20"/>
          <w:lang w:val="en-US" w:eastAsia="en-US" w:bidi="ar-SA"/>
        </w:rPr>
        <w:t xml:space="preserve"> at para. 150; </w:t>
      </w:r>
      <w:r>
        <w:rPr>
          <w:rFonts w:ascii="arial" w:eastAsia="arial" w:hAnsi="arial" w:cs="arial"/>
          <w:i/>
          <w:color w:val="000000"/>
          <w:sz w:val="20"/>
          <w:lang w:val="en-US" w:eastAsia="en-US" w:bidi="ar-SA"/>
        </w:rPr>
        <w:t>Suresh</w:t>
      </w:r>
      <w:r>
        <w:rPr>
          <w:rFonts w:ascii="arial" w:eastAsia="arial" w:hAnsi="arial" w:cs="arial"/>
          <w:color w:val="000000"/>
          <w:sz w:val="20"/>
          <w:lang w:val="en-US" w:eastAsia="en-US" w:bidi="ar-SA"/>
        </w:rPr>
        <w:t xml:space="preserve"> at para. 46. These principles are not free-standing guarantees, but rather are only invoked when a s. 7 deprivation is not accordance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principles can be procedural and substantive. When a court recognizes a principle of fundamental justice, a person's right to life, liberty and security of the person can only be deprived in accordance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As the Supreme Court held in </w:t>
      </w:r>
      <w:r>
        <w:rPr>
          <w:rFonts w:ascii="arial" w:eastAsia="arial" w:hAnsi="arial" w:cs="arial"/>
          <w:i/>
          <w:color w:val="000000"/>
          <w:sz w:val="20"/>
          <w:lang w:val="en-US" w:eastAsia="en-US" w:bidi="ar-SA"/>
        </w:rPr>
        <w:t>Malmo Levine</w:t>
      </w:r>
      <w:r>
        <w:rPr>
          <w:rFonts w:ascii="arial" w:eastAsia="arial" w:hAnsi="arial" w:cs="arial"/>
          <w:color w:val="000000"/>
          <w:sz w:val="20"/>
          <w:lang w:val="en-US" w:eastAsia="en-US" w:bidi="ar-SA"/>
        </w:rPr>
        <w:t xml:space="preserve"> at para. 113, a principle of fundamental justice must meet the following formal requirements:</w:t>
      </w:r>
      <w:r>
        <w:rPr>
          <w:rFonts w:ascii="arial" w:eastAsia="arial" w:hAnsi="arial" w:cs="arial"/>
          <w:sz w:val="20"/>
          <w:lang w:val="en-US" w:eastAsia="en-US" w:bidi="ar-SA"/>
        </w:rPr>
        <w:cr/>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a legal principle;</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sufficient consensus that the principle is vital or fundamental to our societal norms of justice;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 must be capable of being identified with precision and applied in a predictable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Since the enactment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courts have recognized several principles of fundamental justice. The central and most commonly referred to principles are that laws interfering with life, liberty, or security of the person must not be vague, arbitrary, over broad, or have consequences grossly disproportionate to their object: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However, there are others. A review of some authorities indicate the principles of fundamental justice include: the right to a fair trial and the principle against self-incrimination, reaching beyond the specific manifestation of the principles in other provisions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right to legal representation when the state is relieving a parent of custody (</w:t>
      </w:r>
      <w:r>
        <w:rPr>
          <w:rFonts w:ascii="arial" w:eastAsia="arial" w:hAnsi="arial" w:cs="arial"/>
          <w:i/>
          <w:color w:val="000000"/>
          <w:sz w:val="20"/>
          <w:lang w:val="en-US" w:eastAsia="en-US" w:bidi="ar-SA"/>
        </w:rPr>
        <w:t>New Brunswick (Minister of Health and Community Services) v. G.J.</w:t>
      </w:r>
      <w:r>
        <w:rPr>
          <w:rFonts w:ascii="arial" w:eastAsia="arial" w:hAnsi="arial" w:cs="arial"/>
          <w:color w:val="000000"/>
          <w:sz w:val="20"/>
          <w:lang w:val="en-US" w:eastAsia="en-US" w:bidi="ar-SA"/>
        </w:rPr>
        <w:t>, [1993] 3 S.C.R. 46); that young offenders have diminished moral blameworthiness and culpability (</w:t>
      </w:r>
      <w:r>
        <w:rPr>
          <w:rFonts w:ascii="arial" w:eastAsia="arial" w:hAnsi="arial" w:cs="arial"/>
          <w:i/>
          <w:color w:val="000000"/>
          <w:sz w:val="20"/>
          <w:lang w:val="en-US" w:eastAsia="en-US" w:bidi="ar-SA"/>
        </w:rPr>
        <w:t>R. v. D.B.</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2008 SCC 25</w:t>
        </w:r>
      </w:hyperlink>
      <w:r>
        <w:rPr>
          <w:rFonts w:ascii="arial" w:eastAsia="arial" w:hAnsi="arial" w:cs="arial"/>
          <w:color w:val="000000"/>
          <w:sz w:val="20"/>
          <w:lang w:val="en-US" w:eastAsia="en-US" w:bidi="ar-SA"/>
        </w:rPr>
        <w:t>); the duty of lawyers to be loyal to their clients (</w:t>
      </w:r>
      <w:r>
        <w:rPr>
          <w:rFonts w:ascii="arial" w:eastAsia="arial" w:hAnsi="arial" w:cs="arial"/>
          <w:i/>
          <w:color w:val="000000"/>
          <w:sz w:val="20"/>
          <w:lang w:val="en-US" w:eastAsia="en-US" w:bidi="ar-SA"/>
        </w:rPr>
        <w:t>Canada v Federation of Law Societies of Canada</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2015 SCC 7</w:t>
        </w:r>
      </w:hyperlink>
      <w:r>
        <w:rPr>
          <w:rFonts w:ascii="arial" w:eastAsia="arial" w:hAnsi="arial" w:cs="arial"/>
          <w:color w:val="000000"/>
          <w:sz w:val="20"/>
          <w:lang w:val="en-US" w:eastAsia="en-US" w:bidi="ar-SA"/>
        </w:rPr>
        <w:t>); that prosecutors must not act for partisan or other improper purposes (</w:t>
      </w:r>
      <w:r>
        <w:rPr>
          <w:rFonts w:ascii="arial" w:eastAsia="arial" w:hAnsi="arial" w:cs="arial"/>
          <w:i/>
          <w:color w:val="000000"/>
          <w:sz w:val="20"/>
          <w:lang w:val="en-US" w:eastAsia="en-US" w:bidi="ar-SA"/>
        </w:rPr>
        <w:t>R. v. Cawthorne</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2016 SCC 32</w:t>
        </w:r>
      </w:hyperlink>
      <w:r>
        <w:rPr>
          <w:rFonts w:ascii="arial" w:eastAsia="arial" w:hAnsi="arial" w:cs="arial"/>
          <w:color w:val="000000"/>
          <w:sz w:val="20"/>
          <w:lang w:val="en-US" w:eastAsia="en-US" w:bidi="ar-SA"/>
        </w:rPr>
        <w:t>); and Canada's effective control over its borders (</w:t>
      </w:r>
      <w:r>
        <w:rPr>
          <w:rFonts w:ascii="arial" w:eastAsia="arial" w:hAnsi="arial" w:cs="arial"/>
          <w:i/>
          <w:color w:val="000000"/>
          <w:sz w:val="20"/>
          <w:lang w:val="en-US" w:eastAsia="en-US" w:bidi="ar-SA"/>
        </w:rPr>
        <w:t>R. v. Jones</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(2006) 211 C.C.C. (3d) 4</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Supreme Court has also found that certain principles are not fundamental. For example, 'the harm principle' (</w:t>
      </w:r>
      <w:r>
        <w:rPr>
          <w:rFonts w:ascii="arial" w:eastAsia="arial" w:hAnsi="arial" w:cs="arial"/>
          <w:i/>
          <w:color w:val="000000"/>
          <w:sz w:val="20"/>
          <w:lang w:val="en-US" w:eastAsia="en-US" w:bidi="ar-SA"/>
        </w:rPr>
        <w:t>Malmo-Levine</w:t>
      </w:r>
      <w:r>
        <w:rPr>
          <w:rFonts w:ascii="arial" w:eastAsia="arial" w:hAnsi="arial" w:cs="arial"/>
          <w:color w:val="000000"/>
          <w:sz w:val="20"/>
          <w:lang w:val="en-US" w:eastAsia="en-US" w:bidi="ar-SA"/>
        </w:rPr>
        <w:t>); the best interests of the child (</w:t>
      </w:r>
      <w:r>
        <w:rPr>
          <w:rFonts w:ascii="arial" w:eastAsia="arial" w:hAnsi="arial" w:cs="arial"/>
          <w:i/>
          <w:color w:val="000000"/>
          <w:sz w:val="20"/>
          <w:lang w:val="en-US" w:eastAsia="en-US" w:bidi="ar-SA"/>
        </w:rPr>
        <w:t>Canadian Foundation for Children, Youth and the Law v. Canada (Attorney General)</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2004 SCC 76</w:t>
        </w:r>
      </w:hyperlink>
      <w:r>
        <w:rPr>
          <w:rFonts w:ascii="arial" w:eastAsia="arial" w:hAnsi="arial" w:cs="arial"/>
          <w:color w:val="000000"/>
          <w:sz w:val="20"/>
          <w:lang w:val="en-US" w:eastAsia="en-US" w:bidi="ar-SA"/>
        </w:rPr>
        <w:t>); the legal maxim that where there is a right, there is a remedy (</w:t>
      </w:r>
      <w:r>
        <w:rPr>
          <w:rFonts w:ascii="arial" w:eastAsia="arial" w:hAnsi="arial" w:cs="arial"/>
          <w:i/>
          <w:color w:val="000000"/>
          <w:sz w:val="20"/>
          <w:lang w:val="en-US" w:eastAsia="en-US" w:bidi="ar-SA"/>
        </w:rPr>
        <w:t>Kazemi Estate v. Islamic Republic of Iran</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2014 SCC 62</w:t>
        </w:r>
      </w:hyperlink>
      <w:r>
        <w:rPr>
          <w:rFonts w:ascii="arial" w:eastAsia="arial" w:hAnsi="arial" w:cs="arial"/>
          <w:color w:val="000000"/>
          <w:sz w:val="20"/>
          <w:lang w:val="en-US" w:eastAsia="en-US" w:bidi="ar-SA"/>
        </w:rPr>
        <w:t>); and proportionality in sentencing (</w:t>
      </w:r>
      <w:r>
        <w:rPr>
          <w:rFonts w:ascii="arial" w:eastAsia="arial" w:hAnsi="arial" w:cs="arial"/>
          <w:i/>
          <w:color w:val="000000"/>
          <w:sz w:val="20"/>
          <w:lang w:val="en-US" w:eastAsia="en-US" w:bidi="ar-SA"/>
        </w:rPr>
        <w:t>R. v. Safarzadeh-Markhali</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2016 SCC 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balancing of an individual's interest and the protection of society is also not explicitly a principle of fundamental justice: </w:t>
      </w:r>
      <w:r>
        <w:rPr>
          <w:rFonts w:ascii="arial" w:eastAsia="arial" w:hAnsi="arial" w:cs="arial"/>
          <w:i/>
          <w:color w:val="000000"/>
          <w:sz w:val="20"/>
          <w:lang w:val="en-US" w:eastAsia="en-US" w:bidi="ar-SA"/>
        </w:rPr>
        <w:t>Cunningham v Canada</w:t>
      </w:r>
      <w:r>
        <w:rPr>
          <w:rFonts w:ascii="arial" w:eastAsia="arial" w:hAnsi="arial" w:cs="arial"/>
          <w:color w:val="000000"/>
          <w:sz w:val="20"/>
          <w:lang w:val="en-US" w:eastAsia="en-US" w:bidi="ar-SA"/>
        </w:rPr>
        <w:t xml:space="preserve"> [1993] SCC 143. However, the balancing of interests may help a court identify a principle of fundamental justice: </w:t>
      </w:r>
      <w:r>
        <w:rPr>
          <w:rFonts w:ascii="arial" w:eastAsia="arial" w:hAnsi="arial" w:cs="arial"/>
          <w:i/>
          <w:color w:val="000000"/>
          <w:sz w:val="20"/>
          <w:lang w:val="en-US" w:eastAsia="en-US" w:bidi="ar-SA"/>
        </w:rPr>
        <w:t>Malmo-Levine</w:t>
      </w:r>
      <w:r>
        <w:rPr>
          <w:rFonts w:ascii="arial" w:eastAsia="arial" w:hAnsi="arial" w:cs="arial"/>
          <w:color w:val="000000"/>
          <w:sz w:val="20"/>
          <w:lang w:val="en-US" w:eastAsia="en-US" w:bidi="ar-SA"/>
        </w:rPr>
        <w:t xml:space="preserve"> at para. 98. Further, decisions made pursuant to legislation, such as the decision to deport an individual to torture, requires an adequate balancing of rights and the exercise of discretion in accordance with the Constitution: </w:t>
      </w:r>
      <w:r>
        <w:rPr>
          <w:rFonts w:ascii="arial" w:eastAsia="arial" w:hAnsi="arial" w:cs="arial"/>
          <w:i/>
          <w:color w:val="000000"/>
          <w:sz w:val="20"/>
          <w:lang w:val="en-US" w:eastAsia="en-US" w:bidi="ar-SA"/>
        </w:rPr>
        <w:t>Suresh v. Canada (Minister of Citizenship and Immigration</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2002 SCC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There is room in the law to consider the application of these principles to state action rather than legislative effect. The </w:t>
      </w:r>
      <w:r>
        <w:rPr>
          <w:rFonts w:ascii="arial" w:eastAsia="arial" w:hAnsi="arial" w:cs="arial"/>
          <w:i/>
          <w:color w:val="000000"/>
          <w:sz w:val="20"/>
          <w:lang w:val="en-US" w:eastAsia="en-US" w:bidi="ar-SA"/>
        </w:rPr>
        <w:t>Trang</w:t>
      </w:r>
      <w:r>
        <w:rPr>
          <w:rFonts w:ascii="arial" w:eastAsia="arial" w:hAnsi="arial" w:cs="arial"/>
          <w:color w:val="000000"/>
          <w:sz w:val="20"/>
          <w:lang w:val="en-US" w:eastAsia="en-US" w:bidi="ar-SA"/>
        </w:rPr>
        <w:t xml:space="preserve"> decision cited by the Crown (</w:t>
      </w:r>
      <w:r>
        <w:rPr>
          <w:rFonts w:ascii="arial" w:eastAsia="arial" w:hAnsi="arial" w:cs="arial"/>
          <w:i/>
          <w:color w:val="000000"/>
          <w:sz w:val="20"/>
          <w:lang w:val="en-US" w:eastAsia="en-US" w:bidi="ar-SA"/>
        </w:rPr>
        <w:t>Trang v. Alberta (Edmonton Remand Centre)</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2007 ABCA 263</w:t>
        </w:r>
      </w:hyperlink>
      <w:r>
        <w:rPr>
          <w:rFonts w:ascii="arial" w:eastAsia="arial" w:hAnsi="arial" w:cs="arial"/>
          <w:color w:val="000000"/>
          <w:sz w:val="20"/>
          <w:lang w:val="en-US" w:eastAsia="en-US" w:bidi="ar-SA"/>
        </w:rPr>
        <w:t xml:space="preserve">) suggests the principle of arbitrariness or irrationality could apply to state action: para. 35. I also note that in </w:t>
      </w:r>
      <w:r>
        <w:rPr>
          <w:rFonts w:ascii="arial" w:eastAsia="arial" w:hAnsi="arial" w:cs="arial"/>
          <w:i/>
          <w:color w:val="000000"/>
          <w:sz w:val="20"/>
          <w:lang w:val="en-US" w:eastAsia="en-US" w:bidi="ar-SA"/>
        </w:rPr>
        <w:t>Canada (Attorney General) v. PHS Community Services Society</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2011 SCC 44</w:t>
        </w:r>
      </w:hyperlink>
      <w:r>
        <w:rPr>
          <w:rFonts w:ascii="arial" w:eastAsia="arial" w:hAnsi="arial" w:cs="arial"/>
          <w:color w:val="000000"/>
          <w:sz w:val="20"/>
          <w:lang w:val="en-US" w:eastAsia="en-US" w:bidi="ar-SA"/>
        </w:rPr>
        <w:t>, not referred to by counsel, the failure of the Minister to grant a further exemption to allow the safe injection site to remain open was also found to be arbitrary.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Rodriguez v. British Columbia (Attorney General)</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[1993] 3 S.C.R. 519</w:t>
        </w:r>
      </w:hyperlink>
      <w:r>
        <w:rPr>
          <w:rFonts w:ascii="arial" w:eastAsia="arial" w:hAnsi="arial" w:cs="arial"/>
          <w:color w:val="000000"/>
          <w:sz w:val="20"/>
          <w:lang w:val="en-US" w:eastAsia="en-US" w:bidi="ar-SA"/>
        </w:rPr>
        <w:t xml:space="preserve">, the Supreme Court held that human dignity is not a principle of fundamental justice, but is rather a protected interest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Justice Sopinka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state that "respect for human dignity and autonomy" is a principle of fundamental justice, then, is essentially to state that the deprivation of the appellant's security of the person is contrary to principles of fundamental justice because it deprives her of security of the person. This interpretation would equate security of the person with a principle of fundamental justice and render the latter redundant.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From this statement I take that in defining a principle of fundamental justice, the court must be careful when identifying principles that result in a circular interpretation of the s. 7 right which is deprived.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Section 24(2) of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Section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in proceedings under subsection (1), a court concludes that evidence was </w:t>
      </w:r>
      <w:r>
        <w:rPr>
          <w:rFonts w:ascii="arial" w:eastAsia="arial" w:hAnsi="arial" w:cs="arial"/>
          <w:color w:val="000000"/>
          <w:sz w:val="20"/>
          <w:u w:val="single"/>
          <w:lang w:val="en-US" w:eastAsia="en-US" w:bidi="ar-SA"/>
        </w:rPr>
        <w:t>obtained in a manner</w:t>
      </w:r>
      <w:r>
        <w:rPr>
          <w:rFonts w:ascii="arial" w:eastAsia="arial" w:hAnsi="arial" w:cs="arial"/>
          <w:color w:val="000000"/>
          <w:sz w:val="20"/>
          <w:lang w:val="en-US" w:eastAsia="en-US" w:bidi="ar-SA"/>
        </w:rPr>
        <w:t xml:space="preserve"> that infringed or denied any rights or freedoms guaranteed by this Charter, the evidence shall be excluded if it is established that, having regard to all the circumstances, the admission of it in the proceedings would bring the administration of justice into disrepute.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Thus, whether section 24(2) is engaged is first addressed by the threshold question: whether the evidence sought to be excluded was obtained in a manner that infringed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Although this threshold issue is often conflated with analysis of whether or not a breach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has occurred, evidence of a breach does not itself automatically trigger a full analysis of the three part test for admissibility as set out by the Supreme Court of Canada in </w:t>
      </w:r>
      <w:r>
        <w:rPr>
          <w:rFonts w:ascii="arial" w:eastAsia="arial" w:hAnsi="arial" w:cs="arial"/>
          <w:i/>
          <w:color w:val="000000"/>
          <w:sz w:val="20"/>
          <w:lang w:val="en-US" w:eastAsia="en-US" w:bidi="ar-SA"/>
        </w:rPr>
        <w:t>R. v. Grant</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2009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As Prowse J.A. wrote in </w:t>
      </w:r>
      <w:r>
        <w:rPr>
          <w:rFonts w:ascii="arial" w:eastAsia="arial" w:hAnsi="arial" w:cs="arial"/>
          <w:i/>
          <w:color w:val="000000"/>
          <w:sz w:val="20"/>
          <w:lang w:val="en-US" w:eastAsia="en-US" w:bidi="ar-SA"/>
        </w:rPr>
        <w:t>R. v. Lauriente</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2010 BCCA 72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question of whether there is a requisite nexus between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the obtaining of evidence in relation to the breach is a threshold issue to be determined under s. 24(2). As stated by Mr. Justice Doherty, speaking for the court in </w:t>
      </w:r>
      <w:r>
        <w:rPr>
          <w:rFonts w:ascii="arial" w:eastAsia="arial" w:hAnsi="arial" w:cs="arial"/>
          <w:i/>
          <w:color w:val="000000"/>
          <w:sz w:val="20"/>
          <w:lang w:val="en-US" w:eastAsia="en-US" w:bidi="ar-SA"/>
        </w:rPr>
        <w:t>R. v. Plaha</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(2004), 188 C.C.C. (3d) 289</w:t>
        </w:r>
      </w:hyperlink>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24 C.R. (6th) 360</w:t>
        </w:r>
      </w:hyperlink>
      <w:r>
        <w:rPr>
          <w:rFonts w:ascii="arial" w:eastAsia="arial" w:hAnsi="arial" w:cs="arial"/>
          <w:color w:val="000000"/>
          <w:sz w:val="20"/>
          <w:lang w:val="en-US" w:eastAsia="en-US" w:bidi="ar-SA"/>
        </w:rPr>
        <w:t xml:space="preserve"> (Ont. C.A.), at para. 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two components to s. 24(2). The first is a threshold requirement. The impugned evidence...must be obtained "in a manner that infringed" a right under the Charter. If the threshold is crossed, one then turns to the evaluative component of s. 24(2) - could the admission of the impugned evidence bring the administration of justice into disrepute?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This threshold issue here, therefore, is whether the breaches of the respondents'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or any of them, are sufficiently linked to the evidence sought to be excluded to trigger the application of the second stage of the s. 24(2)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Arthur</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2013 BCSC 2471</w:t>
        </w:r>
      </w:hyperlink>
      <w:r>
        <w:rPr>
          <w:rFonts w:ascii="arial" w:eastAsia="arial" w:hAnsi="arial" w:cs="arial"/>
          <w:color w:val="000000"/>
          <w:sz w:val="20"/>
          <w:lang w:val="en-US" w:eastAsia="en-US" w:bidi="ar-SA"/>
        </w:rPr>
        <w:t>, Maisonville J. found that, although the accused's right to counsel had been breached, "there [was] no nexus, whether temporal, causal, or contextual, sufficient to warrant the exclusion of the evidence": at para. 3. Accordingly, Maisonville J. admitted the impugned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Ontario Court of Appeal in </w:t>
      </w:r>
      <w:r>
        <w:rPr>
          <w:rFonts w:ascii="arial" w:eastAsia="arial" w:hAnsi="arial" w:cs="arial"/>
          <w:i/>
          <w:color w:val="000000"/>
          <w:sz w:val="20"/>
          <w:lang w:val="en-US" w:eastAsia="en-US" w:bidi="ar-SA"/>
        </w:rPr>
        <w:t>R. v. Pino</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2016 ONCA 389</w:t>
        </w:r>
      </w:hyperlink>
      <w:r>
        <w:rPr>
          <w:rFonts w:ascii="arial" w:eastAsia="arial" w:hAnsi="arial" w:cs="arial"/>
          <w:color w:val="000000"/>
          <w:sz w:val="20"/>
          <w:lang w:val="en-US" w:eastAsia="en-US" w:bidi="ar-SA"/>
        </w:rPr>
        <w:t xml:space="preserve">, clarified that evidence obtained prior to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can still meet the requirement of "obtained in a manner": para. 68. "Temporal" generally means close in time, whether before or after, with its determinativeness depending on the circumstances of the case. "Contextual" means "pertaining to the surroundings or situation in which something happens": </w:t>
      </w:r>
      <w:r>
        <w:rPr>
          <w:rFonts w:ascii="arial" w:eastAsia="arial" w:hAnsi="arial" w:cs="arial"/>
          <w:i/>
          <w:color w:val="000000"/>
          <w:sz w:val="20"/>
          <w:lang w:val="en-US" w:eastAsia="en-US" w:bidi="ar-SA"/>
        </w:rPr>
        <w:t>Pino</w:t>
      </w:r>
      <w:r>
        <w:rPr>
          <w:rFonts w:ascii="arial" w:eastAsia="arial" w:hAnsi="arial" w:cs="arial"/>
          <w:color w:val="000000"/>
          <w:sz w:val="20"/>
          <w:lang w:val="en-US" w:eastAsia="en-US" w:bidi="ar-SA"/>
        </w:rPr>
        <w:t>,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Justice Butler in </w:t>
      </w:r>
      <w:r>
        <w:rPr>
          <w:rFonts w:ascii="arial" w:eastAsia="arial" w:hAnsi="arial" w:cs="arial"/>
          <w:i/>
          <w:color w:val="000000"/>
          <w:sz w:val="20"/>
          <w:lang w:val="en-US" w:eastAsia="en-US" w:bidi="ar-SA"/>
        </w:rPr>
        <w:t>R. v. Hamdan</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2017 BCSC 876</w:t>
        </w:r>
      </w:hyperlink>
      <w:r>
        <w:rPr>
          <w:rFonts w:ascii="arial" w:eastAsia="arial" w:hAnsi="arial" w:cs="arial"/>
          <w:color w:val="000000"/>
          <w:sz w:val="20"/>
          <w:lang w:val="en-US" w:eastAsia="en-US" w:bidi="ar-SA"/>
        </w:rPr>
        <w:t xml:space="preserve"> provides an excellent summary of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first inquiry considers whether the evidence sought to be excluded was obtained in a manner that infringed or denied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 nature of the connection between the evidence and the breach required to fall within s. 24(2) is a threshold question. In </w:t>
      </w:r>
      <w:r>
        <w:rPr>
          <w:rFonts w:ascii="arial" w:eastAsia="arial" w:hAnsi="arial" w:cs="arial"/>
          <w:i/>
          <w:color w:val="000000"/>
          <w:sz w:val="20"/>
          <w:lang w:val="en-US" w:eastAsia="en-US" w:bidi="ar-SA"/>
        </w:rPr>
        <w:t>Strachan</w:t>
      </w:r>
      <w:r>
        <w:rPr>
          <w:rFonts w:ascii="arial" w:eastAsia="arial" w:hAnsi="arial" w:cs="arial"/>
          <w:color w:val="000000"/>
          <w:sz w:val="20"/>
          <w:lang w:val="en-US" w:eastAsia="en-US" w:bidi="ar-SA"/>
        </w:rPr>
        <w:t xml:space="preserve">, the Court cited </w:t>
      </w:r>
      <w:r>
        <w:rPr>
          <w:rFonts w:ascii="arial" w:eastAsia="arial" w:hAnsi="arial" w:cs="arial"/>
          <w:i/>
          <w:color w:val="000000"/>
          <w:sz w:val="20"/>
          <w:lang w:val="en-US" w:eastAsia="en-US" w:bidi="ar-SA"/>
        </w:rPr>
        <w:t>R. v. Therens</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[1985] 1 S.C.R. 613</w:t>
        </w:r>
      </w:hyperlink>
      <w:r>
        <w:rPr>
          <w:rFonts w:ascii="arial" w:eastAsia="arial" w:hAnsi="arial" w:cs="arial"/>
          <w:color w:val="000000"/>
          <w:sz w:val="20"/>
          <w:lang w:val="en-US" w:eastAsia="en-US" w:bidi="ar-SA"/>
        </w:rPr>
        <w:t xml:space="preserve">, at 649, which held that a causal link is not required so long as the breach "has preceded, or occurred in the course of, the obtaining of the evidence." Further, a temporal link is sufficient "particularly where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and the discovery of the evidence occur in the course of a single transaction" (</w:t>
      </w:r>
      <w:r>
        <w:rPr>
          <w:rFonts w:ascii="arial" w:eastAsia="arial" w:hAnsi="arial" w:cs="arial"/>
          <w:i/>
          <w:color w:val="000000"/>
          <w:sz w:val="20"/>
          <w:lang w:val="en-US" w:eastAsia="en-US" w:bidi="ar-SA"/>
        </w:rPr>
        <w:t>Strachan</w:t>
      </w:r>
      <w:r>
        <w:rPr>
          <w:rFonts w:ascii="arial" w:eastAsia="arial" w:hAnsi="arial" w:cs="arial"/>
          <w:color w:val="000000"/>
          <w:sz w:val="20"/>
          <w:lang w:val="en-US" w:eastAsia="en-US" w:bidi="ar-SA"/>
        </w:rPr>
        <w:t>, at 1005), so long as the link is not too remote.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R. v. Goldhart</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[1996] 2 S.C.R. 463</w:t>
        </w:r>
      </w:hyperlink>
      <w:r>
        <w:rPr>
          <w:rFonts w:ascii="arial" w:eastAsia="arial" w:hAnsi="arial" w:cs="arial"/>
          <w:color w:val="000000"/>
          <w:sz w:val="20"/>
          <w:lang w:val="en-US" w:eastAsia="en-US" w:bidi="ar-SA"/>
        </w:rPr>
        <w:t>, at para. 40, Sopinka J., writing for the majority, further explored the nature of the nexus required and clarified that 'remote', for the purpose of this analysis, means 'tenuous':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Accordingly, while a temporal link will often suffice, it is not always determinative. It will not be determinative if the connection between the securing of the evidence and the breach is </w:t>
      </w:r>
      <w:r>
        <w:rPr>
          <w:rFonts w:ascii="arial" w:eastAsia="arial" w:hAnsi="arial" w:cs="arial"/>
          <w:color w:val="000000"/>
          <w:sz w:val="20"/>
          <w:u w:val="single"/>
          <w:lang w:val="en-US" w:eastAsia="en-US" w:bidi="ar-SA"/>
        </w:rPr>
        <w:t>remote</w:t>
      </w:r>
      <w:r>
        <w:rPr>
          <w:rFonts w:ascii="arial" w:eastAsia="arial" w:hAnsi="arial" w:cs="arial"/>
          <w:color w:val="000000"/>
          <w:sz w:val="20"/>
          <w:lang w:val="en-US" w:eastAsia="en-US" w:bidi="ar-SA"/>
        </w:rPr>
        <w:t xml:space="preserve">. I take remote to mean that the connection is tenuous. The concept of remoteness relates not only to the temporal connection but to the causal connection as well. It follows that the mere presence of a temporal link is not necessarily sufficient. In obedience to the instruction that the whole of the relationship between the breach and the evidence be examined, it is appropriate for the court to consider the strength of the causal relationship. If both the temporal connection and the causal connection are tenuous, the court may very well conclude that the evidence was not obtained in a manner that infringes a right or freedom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On the other hand, the temporal connection may be so strong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is an integral part of a single transaction. In that case, a causal connection that is weak or even absent will be of no importance. Once the principles of law are defined, the strength of the connection between the evidence obtained and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is a question of fact. ...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w:t>
      </w:r>
      <w:r>
        <w:rPr>
          <w:rFonts w:ascii="arial" w:eastAsia="arial" w:hAnsi="arial" w:cs="arial"/>
          <w:i/>
          <w:color w:val="000000"/>
          <w:sz w:val="20"/>
          <w:lang w:val="en-US" w:eastAsia="en-US" w:bidi="ar-SA"/>
        </w:rPr>
        <w:t>R. v. Wittwer</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2008 SCC 33</w:t>
        </w:r>
      </w:hyperlink>
      <w:r>
        <w:rPr>
          <w:rFonts w:ascii="arial" w:eastAsia="arial" w:hAnsi="arial" w:cs="arial"/>
          <w:color w:val="000000"/>
          <w:sz w:val="20"/>
          <w:lang w:val="en-US" w:eastAsia="en-US" w:bidi="ar-SA"/>
        </w:rPr>
        <w:t xml:space="preserve">, the Court refined the proper approach to determining whether evidence was "obtained in a manner" that violates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Justice Fish, writing for the Court, emphasized at para. 21 that the approach should be purposive and generous, adopting the approach set out in </w:t>
      </w:r>
      <w:r>
        <w:rPr>
          <w:rFonts w:ascii="arial" w:eastAsia="arial" w:hAnsi="arial" w:cs="arial"/>
          <w:i/>
          <w:color w:val="000000"/>
          <w:sz w:val="20"/>
          <w:lang w:val="en-US" w:eastAsia="en-US" w:bidi="ar-SA"/>
        </w:rPr>
        <w:t>R. v. Plaha</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(2004), 188 C.C.C. (3d) 289</w:t>
        </w:r>
      </w:hyperlink>
      <w:r>
        <w:rPr>
          <w:rFonts w:ascii="arial" w:eastAsia="arial" w:hAnsi="arial" w:cs="arial"/>
          <w:color w:val="000000"/>
          <w:sz w:val="20"/>
          <w:lang w:val="en-US" w:eastAsia="en-US" w:bidi="ar-SA"/>
        </w:rPr>
        <w:t xml:space="preserve"> (Ont. C.A.). He found that the required connection between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the evidence to be excluded may be "temporal, contextual, causal or a combination of the three".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present case raises the question of whether there is a sufficient nexus between the impugned evidence and a breach that occurred after that evidence was obtained. In many cases, courts have concluded that s. 24(2) is not engaged when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occurs after evidence was obtained: </w:t>
      </w:r>
      <w:r>
        <w:rPr>
          <w:rFonts w:ascii="arial" w:eastAsia="arial" w:hAnsi="arial" w:cs="arial"/>
          <w:i/>
          <w:color w:val="000000"/>
          <w:sz w:val="20"/>
          <w:lang w:val="en-US" w:eastAsia="en-US" w:bidi="ar-SA"/>
        </w:rPr>
        <w:t>R. v. Andel</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2014 BCCA 179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Pettit &amp; Pranic</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2003 BCCA 522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Galbiati</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2014 BCCA 5</w:t>
        </w:r>
      </w:hyperlink>
      <w:r>
        <w:rPr>
          <w:rFonts w:ascii="arial" w:eastAsia="arial" w:hAnsi="arial" w:cs="arial"/>
          <w:color w:val="000000"/>
          <w:sz w:val="20"/>
          <w:lang w:val="en-US" w:eastAsia="en-US" w:bidi="ar-SA"/>
        </w:rPr>
        <w:t xml:space="preserve">. However, it is clear that evidence can be excluded if there is a sufficient overall connection between a subsequent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that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This issue was considered directly in </w:t>
      </w:r>
      <w:r>
        <w:rPr>
          <w:rFonts w:ascii="arial" w:eastAsia="arial" w:hAnsi="arial" w:cs="arial"/>
          <w:i/>
          <w:color w:val="000000"/>
          <w:sz w:val="20"/>
          <w:lang w:val="en-US" w:eastAsia="en-US" w:bidi="ar-SA"/>
        </w:rPr>
        <w:t>R. v. Pino</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2016 ONCA 389</w:t>
        </w:r>
      </w:hyperlink>
      <w:r>
        <w:rPr>
          <w:rFonts w:ascii="arial" w:eastAsia="arial" w:hAnsi="arial" w:cs="arial"/>
          <w:color w:val="000000"/>
          <w:sz w:val="20"/>
          <w:lang w:val="en-US" w:eastAsia="en-US" w:bidi="ar-SA"/>
        </w:rPr>
        <w:t xml:space="preserve">, a recent decision of the Ontario Court of Appeal. The court summarized the law on the first inquiry under s. 24(2) and set out a list of considerations to be taken into account when determining if evidence obtained following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meets the "obtained in a manner" requirement.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w:t>
      </w:r>
      <w:r>
        <w:rPr>
          <w:rFonts w:ascii="arial" w:eastAsia="arial" w:hAnsi="arial" w:cs="arial"/>
          <w:i/>
          <w:color w:val="000000"/>
          <w:sz w:val="20"/>
          <w:lang w:val="en-US" w:eastAsia="en-US" w:bidi="ar-SA"/>
        </w:rPr>
        <w:t>Pino</w:t>
      </w:r>
      <w:r>
        <w:rPr>
          <w:rFonts w:ascii="arial" w:eastAsia="arial" w:hAnsi="arial" w:cs="arial"/>
          <w:color w:val="000000"/>
          <w:sz w:val="20"/>
          <w:lang w:val="en-US" w:eastAsia="en-US" w:bidi="ar-SA"/>
        </w:rPr>
        <w:t xml:space="preserve">, the court overturned a trial decision that dismissed a defence application to exclude evidence. The trial judge found, as a matter of law,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occurring subsequent to the discovery of evidence, no matter how serious, could not be the basis for the exclusion of evidence under s. 24(2). Justice Laskin, writing for the court, reviewed the development of the jurisprudence and concluded at para. 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think the Supreme Court's generous and increasingly broad approach to the "obtained in a manner" requirement allows the court, in an appropriate case, to exclude the evidence because of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occurring after the evidence was discovered.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Justice Laskin found implicit support for this conclusion in </w:t>
      </w:r>
      <w:r>
        <w:rPr>
          <w:rFonts w:ascii="arial" w:eastAsia="arial" w:hAnsi="arial" w:cs="arial"/>
          <w:i/>
          <w:color w:val="000000"/>
          <w:sz w:val="20"/>
          <w:lang w:val="en-US" w:eastAsia="en-US" w:bidi="ar-SA"/>
        </w:rPr>
        <w:t>R. v. Mian</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2014 SCC 54</w:t>
        </w:r>
      </w:hyperlink>
      <w:r>
        <w:rPr>
          <w:rFonts w:ascii="arial" w:eastAsia="arial" w:hAnsi="arial" w:cs="arial"/>
          <w:color w:val="000000"/>
          <w:sz w:val="20"/>
          <w:lang w:val="en-US" w:eastAsia="en-US" w:bidi="ar-SA"/>
        </w:rPr>
        <w:t xml:space="preserve">, where the Court upheld a decision to exclude evidence seized at the time of the accused's detention (a half-kilogram of cocaine) as a result of breaches of the accused's rights under s. 10(a) and 10(b)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While the Court in </w:t>
      </w:r>
      <w:r>
        <w:rPr>
          <w:rFonts w:ascii="arial" w:eastAsia="arial" w:hAnsi="arial" w:cs="arial"/>
          <w:i/>
          <w:color w:val="000000"/>
          <w:sz w:val="20"/>
          <w:lang w:val="en-US" w:eastAsia="en-US" w:bidi="ar-SA"/>
        </w:rPr>
        <w:t>Mian</w:t>
      </w:r>
      <w:r>
        <w:rPr>
          <w:rFonts w:ascii="arial" w:eastAsia="arial" w:hAnsi="arial" w:cs="arial"/>
          <w:color w:val="000000"/>
          <w:sz w:val="20"/>
          <w:lang w:val="en-US" w:eastAsia="en-US" w:bidi="ar-SA"/>
        </w:rPr>
        <w:t xml:space="preserve"> did not address the "obtained in a manner" requirement, there was no doubt that the evidence was obtained prior to the breaches.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In </w:t>
      </w:r>
      <w:r>
        <w:rPr>
          <w:rFonts w:ascii="arial" w:eastAsia="arial" w:hAnsi="arial" w:cs="arial"/>
          <w:i/>
          <w:color w:val="000000"/>
          <w:sz w:val="20"/>
          <w:lang w:val="en-US" w:eastAsia="en-US" w:bidi="ar-SA"/>
        </w:rPr>
        <w:t>Pino</w:t>
      </w:r>
      <w:r>
        <w:rPr>
          <w:rFonts w:ascii="arial" w:eastAsia="arial" w:hAnsi="arial" w:cs="arial"/>
          <w:color w:val="000000"/>
          <w:sz w:val="20"/>
          <w:lang w:val="en-US" w:eastAsia="en-US" w:bidi="ar-SA"/>
        </w:rPr>
        <w:t xml:space="preserve">, Laskin J.A. also found that the decisions in </w:t>
      </w:r>
      <w:r>
        <w:rPr>
          <w:rFonts w:ascii="arial" w:eastAsia="arial" w:hAnsi="arial" w:cs="arial"/>
          <w:i/>
          <w:color w:val="000000"/>
          <w:sz w:val="20"/>
          <w:lang w:val="en-US" w:eastAsia="en-US" w:bidi="ar-SA"/>
        </w:rPr>
        <w:t>Strachan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LaChappelle</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2007 ONCA 655</w:t>
        </w:r>
      </w:hyperlink>
      <w:r>
        <w:rPr>
          <w:rFonts w:ascii="arial" w:eastAsia="arial" w:hAnsi="arial" w:cs="arial"/>
          <w:color w:val="000000"/>
          <w:sz w:val="20"/>
          <w:lang w:val="en-US" w:eastAsia="en-US" w:bidi="ar-SA"/>
        </w:rPr>
        <w:t xml:space="preserve">, did not preclude the conclusion that it is possible, in an appropriate case, to exclude evidence for a subsequent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In </w:t>
      </w:r>
      <w:r>
        <w:rPr>
          <w:rFonts w:ascii="arial" w:eastAsia="arial" w:hAnsi="arial" w:cs="arial"/>
          <w:i/>
          <w:color w:val="000000"/>
          <w:sz w:val="20"/>
          <w:lang w:val="en-US" w:eastAsia="en-US" w:bidi="ar-SA"/>
        </w:rPr>
        <w:t>Strachan</w:t>
      </w:r>
      <w:r>
        <w:rPr>
          <w:rFonts w:ascii="arial" w:eastAsia="arial" w:hAnsi="arial" w:cs="arial"/>
          <w:color w:val="000000"/>
          <w:sz w:val="20"/>
          <w:lang w:val="en-US" w:eastAsia="en-US" w:bidi="ar-SA"/>
        </w:rPr>
        <w:t xml:space="preserve">, the Court "did not expressly consider and reject the proposition that evidence obtained before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could not be excluded under s. 24(2)." (para. 64). Justice Laskin distinguished the circumstances in </w:t>
      </w:r>
      <w:r>
        <w:rPr>
          <w:rFonts w:ascii="arial" w:eastAsia="arial" w:hAnsi="arial" w:cs="arial"/>
          <w:i/>
          <w:color w:val="000000"/>
          <w:sz w:val="20"/>
          <w:lang w:val="en-US" w:eastAsia="en-US" w:bidi="ar-SA"/>
        </w:rPr>
        <w:t>LaChappelle</w:t>
      </w:r>
      <w:r>
        <w:rPr>
          <w:rFonts w:ascii="arial" w:eastAsia="arial" w:hAnsi="arial" w:cs="arial"/>
          <w:color w:val="000000"/>
          <w:sz w:val="20"/>
          <w:lang w:val="en-US" w:eastAsia="en-US" w:bidi="ar-SA"/>
        </w:rPr>
        <w:t xml:space="preserve"> because there, the "evidence was lawfully seized before the breach" such that the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the obtaining of the evidence were not part of the same transaction." (para. 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Justice Laskin also reviewed academic commentary on the issue, including this statement from Professor Kent Roach in </w:t>
      </w:r>
      <w:r>
        <w:rPr>
          <w:rFonts w:ascii="arial" w:eastAsia="arial" w:hAnsi="arial" w:cs="arial"/>
          <w:i/>
          <w:color w:val="000000"/>
          <w:sz w:val="20"/>
          <w:lang w:val="en-US" w:eastAsia="en-US" w:bidi="ar-SA"/>
        </w:rPr>
        <w:t>Constitutional Remedies in Canada</w:t>
      </w:r>
      <w:r>
        <w:rPr>
          <w:rFonts w:ascii="arial" w:eastAsia="arial" w:hAnsi="arial" w:cs="arial"/>
          <w:color w:val="000000"/>
          <w:sz w:val="20"/>
          <w:lang w:val="en-US" w:eastAsia="en-US" w:bidi="ar-SA"/>
        </w:rPr>
        <w:t>, 2d ed. (Toronto: Canada Law Book) at para. 10.880: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it matter in the temporal connection test whether the evidence is found after or before a Charter violation? Parts of </w:t>
      </w:r>
      <w:r>
        <w:rPr>
          <w:rFonts w:ascii="arial" w:eastAsia="arial" w:hAnsi="arial" w:cs="arial"/>
          <w:i/>
          <w:color w:val="000000"/>
          <w:sz w:val="20"/>
          <w:lang w:val="en-US" w:eastAsia="en-US" w:bidi="ar-SA"/>
        </w:rPr>
        <w:t>Strachan</w:t>
      </w:r>
      <w:r>
        <w:rPr>
          <w:rFonts w:ascii="arial" w:eastAsia="arial" w:hAnsi="arial" w:cs="arial"/>
          <w:color w:val="000000"/>
          <w:sz w:val="20"/>
          <w:lang w:val="en-US" w:eastAsia="en-US" w:bidi="ar-SA"/>
        </w:rPr>
        <w:t xml:space="preserve"> suggest that it is necessary for the evidence to be discovered after a Charter violation, but this may be a hangover of the causation based test. From a regulatory perspective, it should not matter whether the evidence was obtained before or after a serious charter violation. In both cases, the administration of justice could be brought into disrepute if the courts appear to condone a serious Charter violation. If the court is concerned with responding to serious violations, there is no reason why evidence discovered before a violation should not be considered for exclusion.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Following his detailed review of authorities and commentary, Justice Laskin provided a useful summary of the considerations that should guide courts when considering the threshold inquiry under s. 24(2), at para. 72:</w:t>
      </w:r>
    </w:p>
    <w:p>
      <w:pPr>
        <w:numPr>
          <w:numId w:val="5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approach should be generous, consistent with the purpose of s. 24(2).</w:t>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should consider the entire "chain of events" between the accused and the police.</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requirement may be met where the evidence and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are part of the same transaction or course of conduct.</w:t>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connection between the evidence and the breach may be causal, temporal, or contextual, or any combination of these three connections.</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connection cannot be either too tenuous or too remote.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Discussion and Conclusions on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Section 24(2) - "Obtained in a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This case raises the issue of whether there is a sufficient nexus between the evidence and an alleged breach that occurred after that evidence was obtained. After examining the whole of the relationship between the alleged breach and the evidence, I find that there is not a sufficient temporal or contextual connection between the Second Statement and the alleged s. 7 violation. It is not disputed that there is no causal connection, but the lack of a causal connection alone is not conclusive: </w:t>
      </w:r>
      <w:r>
        <w:rPr>
          <w:rFonts w:ascii="arial" w:eastAsia="arial" w:hAnsi="arial" w:cs="arial"/>
          <w:i/>
          <w:color w:val="000000"/>
          <w:sz w:val="20"/>
          <w:lang w:val="en-US" w:eastAsia="en-US" w:bidi="ar-SA"/>
        </w:rPr>
        <w:t>R. v. Main</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2014 SCC 54</w:t>
        </w:r>
      </w:hyperlink>
      <w:r>
        <w:rPr>
          <w:rFonts w:ascii="arial" w:eastAsia="arial" w:hAnsi="arial" w:cs="arial"/>
          <w:color w:val="000000"/>
          <w:sz w:val="20"/>
          <w:lang w:val="en-US" w:eastAsia="en-US" w:bidi="ar-SA"/>
        </w:rPr>
        <w:t>, at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Overall, the circumstances in which the alleged breach occurred were a different transaction from the Second Statement. The detention of Mr. Park before, during, and after the Second Statement is not enough to connect the evidence to the breach in a way that is more than tenuous. As stated by Justice Butler in </w:t>
      </w:r>
      <w:r>
        <w:rPr>
          <w:rFonts w:ascii="arial" w:eastAsia="arial" w:hAnsi="arial" w:cs="arial"/>
          <w:i/>
          <w:color w:val="000000"/>
          <w:sz w:val="20"/>
          <w:lang w:val="en-US" w:eastAsia="en-US" w:bidi="ar-SA"/>
        </w:rPr>
        <w:t>Hamdan</w:t>
      </w:r>
      <w:r>
        <w:rPr>
          <w:rFonts w:ascii="arial" w:eastAsia="arial" w:hAnsi="arial" w:cs="arial"/>
          <w:color w:val="000000"/>
          <w:sz w:val="20"/>
          <w:lang w:val="en-US" w:eastAsia="en-US" w:bidi="ar-SA"/>
        </w:rPr>
        <w:t xml:space="preserve">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Quite simply, the contextual connection here is no more than the fact that the Posts are the subject of the charges before the Court. In that sense, they have a contextual connection with every step taken by the police. If that is a sufficient connection for the s. 24(2) analysis, then every step taken in the investigation would have a nexus with the impugned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defence submitted that the breach occurred when Mr. Park was in a serious life-threatening medical emergency for at least two hours after his conversation in the cell with Cpl. Kee at 6:35 p.m. The claimed breach commences when the defence says that information regarding Mr. Park's condition was not adequately responded to by the officers and guards at the Burnaby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Second Statement concluded at 6:20 p.m. Although the alleged breach commenced 15 minutes, close in time, after that statement concluded, there is not a determinative temporal connection. This is because the onset of delirium tremens and Mr. Park's suicidal ideation was rapid and acute, as described by Cpl. Kee, observed by the court in the video footage of Mr. Park during this time, and corroborated by the medical evidence. The acute deterioration occurred after the conclusion of the Second Statement, and is an intervening circumstance between the statement and the claimed s. 7 breach. It cannot be found that the Second Statement and the alleged breach were part of the same or a single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Contextually, the interaction between Cpl. Kee and Mr. Park during the entire process of taking the statements differs significantly from their conversation in the cell at 6:35 p.m. Mr. Park was different as was Cpl. Kee. While Mr. Park was emotional, sad and quiet, in the garage with Cpl. Kee at the end of the Second Statement, he remained at all times alert, oriented, and aware of his actions. Mr. Park's demeanour, behaviour and general state of health acutely deteriorated after he was placed in Cell 6 at 6:20 p.m. When he requested to speak to Cpl. Kee again at 6:35 p.m., he said that he thought the guards were trying to kill him and that he was suicidal. He was distraught, illogical, and agitated, and no longer speaking slowly as he had been in the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At the time that the alleged breach commenced, the situation is different than during the evidence gathering process of the Statements. At 6:20 p.m., and prior to 6:35 p.m., Cpl. Kee had decided the statement was complete; this was prior to any knowledge of a change in Mr. Park's condition. Cpl. Kee was passing care of Mr. Park to the officers and guards at the Burnaby Cells and was preparing to leave Burnaby. When Cpl. Kee went to Mr. Park's cell, a different place, at Mr. Park's request he was no longer engaging with Mr. Park as an interrogator. His conduct was different; he was compassionately concerned at the change in Mr. Park and intent on assisting him relying on the relationship they had established. While close in time, these two events, the first being the warned Statement under the direction of Cpl. Kee and other IHIT officers, and the second being the alleged breach that occurred after Mr. Park's acute deterioration in the cell, are distinct and remote from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Contextually, there is no continuum between the process of taking the Statement and Mr. Park's acute deterioration. The evidence was obtained in an interrogation that was not oppressive as is discussed in the voluntariness ruling. While appropriately emotional in the circumstances, Mr. Park was not in the third stage of alcohol withdrawal. That finding set out above is based on my observations as well as the medical and other evidence. When the interrogation finished, Cpl. Kee returned Mr. Park to his cell. Once alone in his cell, Mr. Park's medical condition suddenly deteriorated into the third stage of withdrawal. There was no indication during the Second Statement that Mr. Park's condition would suddenly deteriorate to that extent, and on the medical evidence, no way to predict that it would. There was no overall mistreatment or inaction in the face of symptoms that would connect the transaction of the Statement to the transaction of Mr. Park's sudden deterioration and subsequent events including the attempted self-harm. The alleged failure of the state actors in the Burnaby Cells to monitor and obtain medical care for Mr. Park is not sufficiently contextually connected to the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After considering the law and the totality of the evidence in examining the strength of the connection between the evidence obtained and the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I find that there is not a causal connection, the connection is temporally remote, and the connection is contextually tenuous at best. The nexus is, overall, insufficient to meet the requirement of the threshold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 evidence in the Second Statement was therefore not obtained in a manner that infringed Mr. Park's rights. The threshold requirement of s. 24(2) having not been met, I will not proceed with an alternative analysis of the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factors. The application to exclude the Second Statement is dismissed.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Section 7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relief sought by the defence pursuant to s. 24(2) is not available because the evidence was not "obtained in a manner" that deprived Mr. Park of his rights. Therefore it is not necessary to decide the issue of deprivation nor is it appropriate for this court to determine if there should be recognition of the proposed principle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defence did not rely on existing principles of fundamental justice, but rather put forward a new principle of fundamental justice: the right to be kept safely while in police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Nasogaluak</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2010 SCC 6</w:t>
        </w:r>
      </w:hyperlink>
      <w:r>
        <w:rPr>
          <w:rFonts w:ascii="arial" w:eastAsia="arial" w:hAnsi="arial" w:cs="arial"/>
          <w:color w:val="000000"/>
          <w:sz w:val="20"/>
          <w:lang w:val="en-US" w:eastAsia="en-US" w:bidi="ar-SA"/>
        </w:rPr>
        <w:t xml:space="preserve">, the Supreme Court of Canada found that the police officers used excessive force when they arrested Mr. Nasogaluak and in doing so, they breached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However, there were no submissions concerning the s. 7 breach at the Supreme Court.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next question is whether the Court of Appeal correctly upheld the trial judge's finding that the officers' conduct at the time amounted to a violation of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Section 7 provides: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to life, liberty and security of the person and the right not to be deprived thereof except in accordance with the principles of fundamental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Crown contested the finding of excessive force, neither party made submissions to this Court concerning the s. 7 breach, and I do not propose to engage in a lengthy s. 7 analysis. </w:t>
      </w:r>
      <w:r>
        <w:rPr>
          <w:rFonts w:ascii="arial" w:eastAsia="arial" w:hAnsi="arial" w:cs="arial"/>
          <w:color w:val="000000"/>
          <w:sz w:val="20"/>
          <w:u w:val="single"/>
          <w:lang w:val="en-US" w:eastAsia="en-US" w:bidi="ar-SA"/>
        </w:rPr>
        <w:t>I leave for another day the question of whether police officers may have an affirmative duty to obtain medical assistance for persons under their care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Similarly, whether police officers have an affirmative duty to keep prisoners safe is not determined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As discussed above, the Crown application is granted. The statements made by Mr. Park on October 28 and 29, 2016 have been proven beyond a reasonable doubt to have been made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Statement of Travis PARK Transcript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October 29,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(DOOR OPENS/CLOSES, CORPORAL JOE FORTIN LEAVES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(Audio time: 04:58:45)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(INDECIPHERABLE) Thursday.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04:58:54) (DOOR OPENS/CLOSES, CONSTABLE ROBERT KEE AND CONSTABLE DAVID LEE ENTER ROOM TO GET TRAVIS PARK)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Hey Travis, Dave and I will take you for a smoke, cigarette here. It's uh 17:56 hours. I can imagine how emotionally you are feeling right now but how are you feeling physically, are you hungry, do need to go to the bathroom, do you have to, smoke gonna help?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Do you want to hold up, Dave'lI lead, lead you up there, Travis just wait one second.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(INDECIPHERABLE).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Oops hold on a sec, I just have to close the door. Okay. All good.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Alright man, those are for you.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Well you guys did a good job.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What do you mean?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05:00:46)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Travis PARK: Kinda pulling it out. But it doesn't matter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I'm gonna still go see my lawyer see what he says, he'll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probably yell at me for fuckin' saying anything but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You know what though, your lawyer just like you has the same rights in Canada right and it's up to you as a Canadian citizen to determine what you want to do okay and so it's perfect that you still appreciate and recognize your lawyer's advice however you have to at some point make a determination what you personally want to do in a circumstance, does that make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for sure. Well yeah um I'd like to see him because uh or at least call him, we don't even have to go on Monday. I can just call him tomorrow and see what he has to say about what I seen and then, I don't know, he might say fuckin' let's do it anyways, and if so then we'll do it if he's like ah fuck then, why am I like waving and wobbling? (INDECIPHERABLE) my knees.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Say yeah. Man regardless it's, it's a traumatic thing you just went through.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That plus the next fucking twenty years of my life, fuckin'.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What do you, what do you think of that uh, the evidence that the investigators have that Pete showed you? How compelling, how strong does it seem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Strong.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It's tough to stomach.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The (INDECIPHERABLE) it could've been dealt with up to seven, eighty percent of the, eighty percent of the way, the last thirty just crushed it. Never know technicality something, something to save my life. It's really, all I was holding on to you, it's like fuckin', I don't wanna go spend twenty years in prison with fucking people that are gonna fuckin' shit kick me because of what I did, right? Daily basis, that's how it's gonna be, maximum security prison, fuckin' twenty years. (GASPS). Can't see any of my family again, how can I see my family again? Like when in the near future? Sorry.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That's alright man. I, you know what I, I can sit here man and, and it's understand what you're dealing with, I can't uh I can't say that I felt the same thing you know but I can, I've been in this situation enough times that I can understand the generality of your feelings, you know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Would it be easier if you were going to a, go through this whole procedure for something else? Does it seem like it's a, it's, it's particularly bad to you because it's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Because of both ends of it, all of it's so bad, like it's, it's horrible, family gone fuckin' and my fuckin' kid's gone, girlfriend's gone fuckin' life is gone like seriously what, what, when, what kinda hope do you have after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05:04:45)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Well you know what I think you're uh I don't think there's any doubt in my mind that your mom's gonna stand by you, 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(PFFT). Yeah I know she will, that's fine.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You know I think she probably understands, I don't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But I won't be able to see her, I won't be able to be outside like doing anything like it's like it's pointless fuckin' take the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But you have, you know what that support's not going anywhere man, you've got that support.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(PFFT). It doesn't matter, it doesn't matter. It doesn't help me, helps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It doesn't help the situation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What time is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I don't think that one's got a clock, it's six o'clock.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Maybe I could call him right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Call who?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My lawyer guy.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Just because it's uh six o'clock on a Saturday, I don't know if uh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(LAUGHS).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 . .cells will uh do that right away but uh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He's got, he's got a cell phone. (LAUGHS).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Yeah. You'll definitely get a chance to uh chat with him before uh you're hearing there on Monday.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Well what's the point of appearing?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I honestly don't know, I don't know what uh I don't even know what happened in your bail hearing today just besides what you told me man is that you got another one on Monday and then one on Thursday is what you said,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the bail hearing's just to reset the bail hearing to Thursday.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They just adjourned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So what's on Monday?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it could be on Monday.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But what's on Monday? I thought you said that you had something Monday.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The, the original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Oh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Was gonna be on Monday so I ccc, I can talk to the judge or, the original one was gonna be today or yesterday, today yeah today.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It was this morning.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this morning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 . .and then, and then uh he wanted me to adjourn it and go on Monday with his, his uh assistant or whatever.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Right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05:06:42)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And then 'cause I guess the assistant would have, was gonna have something to say about something.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Oh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And then to adjourn it to Thursday.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Waste of a life, fuckin' five seconds.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What do you mean 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What a waste of a life, for a decision that I made so quickly.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You just snapped? Is that what you mean by it happened so quickly?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Was she crying?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Huh?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Was she crying?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and I was fuckin' hammered, like beyond.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How much had you been drinking?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A lot like enough to barely remember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Mm-hm. What was she doing? Was she in the swing?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Had you taken her out of the swing 'cause she was crying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05:08:38)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Um yeah uh no, I don't know, yeah at one point I did go took her put in the swing, went back, took her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So when you took her from the swing and you went and came back and put her in the swing, what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She just cried, cried and cried and cried and cried.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Yeah, she wouldn't go to sleep?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What happened to her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really wanna say at this point because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Where did it happen in the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I'd rather not answer any more questions okay, I guess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Were you trying to put her to sleep or what were you trying to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I was trying to bring her to my bedroom, to put her to sleep.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Yeah. Does she normally sleep on your bed or where does she sleep?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some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Yeah. Was she in the bassinet when it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Were you just holding her? How were you holding her 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05:10:38)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Who cares.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Well it's, it just like all of this Travis it's important for me to understand kind of what, what led up to things, what uh, what you were feeling, what was going on, why you were in that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Fuck.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So you just had her in your arms? It seems to me that uh you've told me a number of times and I believe you that you picked her up and you put her against your chest when you took her from the bassinet.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know, the swing.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From the swing,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need a drink.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So when you took her out of the bassinet where'd you go with her or pardon me man, out of the swing, where did you go with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Towards my 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Towards your 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So you, kinda went out the door or what happened? Like out of, did you make it out of the uh here, did you make it out of the uh out of her bedroom?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Yeah? Into the living 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Mmm.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I know it was something you didn't intend 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Totally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I know it's something like I, I honestly Travis can, can picture myself in your shoes with a screaming kid and, and that two second decision is something that can go either way. So when she was crying what happened 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05:12:31)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wanna talk about it 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Did you cause her head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Explain that to me, what do you mean?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was like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You just kinda go off the handle?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Yeah? Did you hit her against something?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It's tough and it's uh a, this conversation's never easy man but is it that you don't know or you don't want to know, you don't want to remember what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Mmm maybe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Yeah because kind of as we kind of discussed yesterday and today man is that these traumatic events in our life, when they get locked into your memory and you think about them every day it's not something you'll forget. Do you know what I mean?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05:14:34)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Of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And so is, did you ever talk with A.T. about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No, she'll find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Did you talk with anybody about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Do you think A. was hungry or over tired or what do you think the situation was? Why was she crying?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think too much excitement.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Just wired, eh? And you were starting to think about trying to get into bed? Get ready for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 I did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You got ready?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And then I lied down next to her apparently, I don't remember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Lie down in 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Next to her,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Apparently but I didn't, I don't know that I did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Is that, that's in your bed obviously? Just hit her into the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But you did something to her in the bed there, eh?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On the way to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05:16:18)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On the way to the bed? (PAUSE) Did the baseball bat or the hockey stick have anything to do with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know. No, no, no, no. Stupid, not that stupid.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When did you know you had hurt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When A.T. came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Did she go quiet right away when you did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remember.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05:18:16)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Where in the house, where were you? If you don't remember what, you said you made it out of her 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On the way to my room (INDECIPHERABLE).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On the way, so in the kitchen?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How long was it after that before A.T. got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Sorry, you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Did it feel like a long time when you were lying with her in 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(INDECIPHERABLE).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So how did you convince A.T. that it was ah, it was maybe the kids?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It's all I had to go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You told her what, sorry?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It's all I had to go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It's just it's uh the head injury was just so, so bad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05:20:15)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Did you ever drop her or did you just hold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Travis, thank you for telling me the truth. Should we get you back and put you back somewhere you can lie down for a bit? Can I grab those smokes 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Thanks. Thanks. Just gonna put Travis into a uh different cell here guys, get him one that uh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D. LEE: Yeah (INDECIPHERABLE).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...doesn't have so much uh okay um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D. LEE: But yeah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Let's give him twenty minutes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D. LEE: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 time: 05:22:12)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Here we're just gonna put him back into uh maybe six or something, something beside his cell.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Unknown male: Okay yeah we have number six, number six is ready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This one's clean, it's been good?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Unknown male: Yup, it's been cleaned, it's got his uh blanket and his urn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Oh you moved him already?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Unknown male: Because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Travis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 . .so as uh as David said that when you walk by we'll get you in a little bit for fingerprints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PARK: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 KEE: Urn just cause obviously wanna (INDECIPHERABLE). Wanna shake your hand man, take care of yourself okay? Alright, take care. Just gonna go back in the room. (WALKING NOISES) Thanks. (WALKING NOISES)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END AUDIO FILE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770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Savaia v. Stellinga, [2020] B.C.J. No. 192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13-16,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10,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KE M118587, KA M55727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192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156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Renee Savaia, Plaintiff, and Ava Stellinga and Rhea Lafferty and Matthew Fortune and John Doe and the Insurance Corporation of British Columbia, Defendants, and Insurance Corporation of British Columbia, Third Party And between Riley Gillespie, Plaintiff, and Ava Stellinga and Rhea Lafferty and Matthew Fortune and the Insurance Corporation of British Columbia and John Doe,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(130 paras.)</w:t>
      </w:r>
    </w:p>
    <w:p>
      <w:pPr>
        <w:jc w:val="both"/>
        <w:rPr>
          <w:rFonts w:ascii="arial" w:eastAsia="arial" w:hAnsi="arial" w:cs="arial"/>
          <w:sz w:val="20"/>
          <w:lang w:val="en-US" w:eastAsia="en-US" w:bidi="ar-SA"/>
        </w:rPr>
      </w:pPr>
      <w:bookmarkStart w:id="43" w:name="Counsel_10"/>
      <w:bookmarkEnd w:id="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Renee Savaia: L.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Riley Gillespie: E.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Ava Stellinga and Rhea Lafferty aka Matthew Fortune, appearing in person: A. Stellinga, R. Lafferty.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Insurance Corporation of British Columbia: D. Graves.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10"/>
      <w:bookmarkEnd w:id="44"/>
      <w:r>
        <w:pict>
          <v:line id="_x0000_s1068" style="position:absolute;z-index:251724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Metodi Sariyski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Kesha Mitchell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Renee Savaia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Riley Gillespie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Harpreet Singh Gill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Nadine Ricioppo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Bruce Funk and the Phone Records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Rhea Lafferty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Ava Stellinga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 driver of the Range Rover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Mr. Lafferty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Ms. Stellinga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L.A. WARREN J."/>
            <w:bookmarkEnd w:id="45"/>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for judgment concern the liability and insurance coverage issues that arise in two actions that resulted from a motor vehicle accident in Kelowna on February 4, 2017. Pursuant to orders granted in each action, the liability issues were severed from the assessment of the plaintiffs' damages and ordered to be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Renee Savaia and Riley Gillespie. They were walking south on the west side of Water Street in Kelowna, just past the intersection of Water Street and Bernard Avenue, when they were struck by a Range Rover owned by the defendant, Ava Stellinga. The Range Rover had been travelling south on Water Street. It ran a red light at the Bernard Avenue intersection and collided with a pickup truck owned and operated by Metodi Sariyski. The impact of that collision pushed the Range Rover onto the sidewalk at the southwest corner of the intersection, where it hit the plaintiffs. The driver of the Range Rover fled the scene, on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dispute that the collision between Ms. Stellinga's Range Rover and Mr. Sariyski's truck occurred, as I have described it. There is no dispute that the force of the impact pushed the Range Rover onto the sidewalk, where it struck Ms. Savaia and Mr. Gillespie. The dispute concerns the identity of the driver of the Range Rover and Ms. Stellinga's knowledge of the identity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is no suggestion that Ms. Stellinga was driving the Range Rover. The plaintiffs allege that Ms. Stellinga's then common law partner, Rhea Lafferty, was driving, that he is liable for his negligent operation of the Range Rover, and that Ms. Stellinga is vicariously liable pursuant to s. 86(1)(a)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Lafferty has used the pseudonym "Matthew Fortune". The plaintiffs named both Mr. Lafferty and Matthew Fortune as defendants, but they are one and the same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Lafferty denies that he was driving the Range Rover at the time of the accident. Ms. Stellinga says she does not know who was driving the Range Rover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March 21, 2017, approximately six weeks after the accident, Ms. Stellinga gave a written statement to ICBC. It is ICBC's position that this statement was willfully false and that, as a result, her claim to coverage was forfeited under s. 75(c)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Stellinga commenced a third party claim against ICBC in the Savaia action alleging that ICBC wrongfully refused to provide her with a defence and coverage. She seeks a declaration that ICBC is liable to provide her with a defence and to pay any amount she is found liable to pay as damages and costs. No corresponding third party claim was filed by her in the Gillespie action but all parties agree that the determination of the coverage issues in the Savaia action will apply in the Gillespie action and bind the parties to that action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Having denied liability to Ms. Stellinga under her plan of insurance, ICBC added itself as a third party in both actions pursuant to s. 77(3)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February 3, 2017 was a Friday. It snowed heavily in Kelowna that evening and the roads in and around the scene of the accident were covered in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midnight on what was then early Saturday morning, February 4, 2017, Mr. Sariyski, left Dakodas Bar where he had been watching a comedy show with friends. He had not been drinking and he agreed to drive his friends downtown, in his pickup truck. They approached downtown from the east, along Bernard Avenue. Mr. Sariyski pulled over on Bernard, west of Pandosy Street, and his friends got out of the truck. He then continued driving west along Bernard, travelling 30 to 40 kilometres an hour, and taking particular care given the snow on the roads. As he approached Water Street, the traffic light was solid green in his direction. As he entered the intersection, he saw the Range Rover to his right, southbound and travelling quite fast, on Water Street. The Range Rover proceeded through the light, which was red in its direction. Mr. Sariyski honked his horn and applied his brakes but he was unable to avoid the Range Rover and he struck it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mentioned, the impact of the collision pushed the Range Rover up on to the sidewalk on the southwest corner of Bernard Avenue and Water Street. Ms. Savaia and Mr. Gillespie were walking on that sidewalk. They were struck by the Range Rover.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driver of the Range Rover fled the scene on foot. Sometime later, Ms. Stellinga arrived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Lafferty and Ms. Stellinga were in a romantic relationship and living together in an apartment on Walnut Street in Kelowna at the time. Their relationship ended in January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evening of February 3, 2017, Ms. Stellinga and Mr. Lafferty attended a party at the Delta Grand Hotel on Water Street, a couple of blocks north of the intersection where the accident occurred. Ms. Stellinga drove them to the Delta in the Range Rover. She parked the vehicle in the Delta's parkade, locked it with her key fob, and then put the key in her jacket pocket or her purse. She had the only key. Mr. Lafferty did not have a valid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Lafferty did not have his own cell phone. Ms. Stellinga had two cell phones. She used one of them and he used the other one. The phone number for the phone he was using had a 250 area code. I will refer to that phone as "Mr. Lafferty's phone" or "his phone". The phone number for the phone that Ms. Stellinga was using had a 778 area code. I will refer to that phone as "Ms. Stellinga's phone" or "her phone". TELUS was the service provider for both phones. Mr. Lafferty admitted that he had his phone with him throughout the evening of February 3, 2017 and the early morning hours of February 4, 2017. Ms. Stellinga admitted that she had her phone with her throughout the evening of February 3, 2017 and the early morning hours of February 4,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Stellinga and Mr. Lafferty left the party at the Delta separately, after arguing. They had both been drinking. Mr. Lafferty says he walked south towards their apartment but stopped at a house party by the Kelowna General Hospital. Ms. Stellinga says she flagged down a cab to take her home, intending to pick up the Range Rover the next day, when she was sober. She says that shortly after getting into the cab, she coincidentally happened upon the scene of the accident and saw her vehicle up on the sidewalk. She told the cab driver to stop and she got out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key to the Range Rover was found inside the vehicle. There was no damage to the vehicle that might have suggested it had been broken into or that its ignition had been tampered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Metodi Sariyski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Sariyski testified about the sequence of events that culminated in the Range Rover striking the plaintiffs, as outlined above. He testified that after the collision, his truck came to a stop in the intersection. He then backed up, along Bernard, and parked the truck. While still inside his truck, he saw a male person exit the driver's door of the Range Rover and run in a southeasterly direction across Water Street. He did not get a good look at this person and could not say what the person was wearing. He then walked over to the southwest corner of the intersection, where the plaintiffs were being tended to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Sariyski testified that about ten minutes later, Ms. Stellinga arrived at the scene and he heard her say that she had received a phone call advising her that her vehicle had been in an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Kesha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evening in question, Kesha Mitchell was at Sergeant O'Flannigan's pub with a friend. They left that pub sometime around midnight and walked south on Water Street towards another bar called Liquid Zoo. They were on the west side of Water Street as they approached the intersection with Bernard Avenue. They crossed over Bernard Avenue and continued heading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Very soon after crossing Bernard Avenue, Ms. Mitchell heard a crash. She turned around and saw a young woman, who turned out to be Ms. Savaia, pinned up by the Range Rover against the wall of the Blenz coffee shop on the southwest corner of the intersection. Ms. Mitchell was about 10 to 12 feet away from the Range Rover when she heard the crash and turned around. She saw a male person exit the Range Rover from the driver's side door. She saw him walk around in a circle, as if taking stock of what had happened, and then he walked towards her. When he was about 3 to 4 feet away from her, she asked him if he was okay. She testified that he did not respond to her question and that he ran off heading east down the alley south of Bernard. This is consistent with Mr. Sariyski's evidence that he saw the driver of the Range Rover run across Water Street in a southeasterly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Mitchell testified that the lighting was good and she could see the face of the man she saw leave the Range Rover. She testified that he had dark skin and dark hair. When shown a photograph of Mr. Lafferty that was taken within a couple of months of the accident, she said, "He looks similar to the person I saw getting out of the vehicle - I can't say it's him for sure". When asked if she saw anyone in the courtroom who "may have been the driver", she said "could have been but he was a little bit skinnier then". When prompted to identify the person in the courtroom "who could be that driver", she pointed to Mr. Lafferty.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Renee Savaia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Savaia testified that she and Mr. Gillespie left the Cactus Club, which is a couple of blocks north of the scene of the accident and just south of the Delta, at about 12:30 a.m. They were walking to Liquid Zoo. She does not recall the Range Rover actually hitting her. She heard the crash from the impact of the Range Rover and Mr. Sariyski's truck, she turned and saw headlights coming towards her, and the next thing she remembers she was sitting on the sidewalk in the snow. She saw Mr. Gillespie laying in the street with quite a few people around him. She testified that she managed to get herself over to where Mr. Gillespie was laying and was relieved to hear him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Savaia testified that she saw Ms. Stellinga at the scene and she heard Ms. Stellinga say, "My vehicle was stolen".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Riley Gillespie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Gillespie's testified that he does not recall the Range Rover actually hitting him. After hearing a loud bang and seeing headlights coming towards him, his next memory is laying in the street with people around him. He does not know how much time passed between the impact and his next recollection. He testified that he does not recall seeing the driver of the Range Rover and he does not recall anyone at the scene identifying himself or herself as the owner of the Range Rover. He placed the time of the accident at between 12:30 a.m. and 1:00 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Harpreet Singh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evening in question, Mr. Gill was driving a cab for Kelowna Cabs. He testified that he did not witness the accident occur but he came upon the scene soon after. He saw ambulances and police at the intersection, and then turned north on Water Street to avoid the area. He drove a little more than a block down Water Street. Around the north side of the Queensway roundabout, he was flagged down by a young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Gill testified that the young woman was crying when she got into his cab. He said he asked her why she was crying and she responded that her car had just been in an accident, that her boyfriend drove the car, and that they had had a fight. Later, he phrased her response as: her boyfriend had a fight and then he drove her car and he then got into an accident. Mr. Gill testified that the young woman did not say how she knew that her boyfriend had been in an accident with her vehicle. Mr. Gill concluded that her vehicle had likely been involved in the accident at Water Street and Bernard Avenue. He told her he knew where it was and would take her there. When they arrived at the intersection, moments later, she asked him to stop and she jumped out of the cab. She did not pay him for the ride and he did not pursue her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Gill testified that the young woman did not appear to be intoxicated, she made sense, and he had no trouble understanding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 Nadine Ricioppo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Constable Ricioppo is a police officer with the RCMP. In February 2017, she was posted to the Kelowna detachment. She was on duty during the evening of February 3, 2017 and into the morning of February 4,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Constable Ricioppo testified that she was driving her marked police car when she was dispatched to the accident scene. She said she arrived at the intersection between 1:05 a.m. and 1:10 a.m. She said she was one of the first to arrive and she does not believe the paramedics had arrived yet. She characterized the scene as chaotic with several emotional people around. She saw the Range Rover up on the sidewalk. She inspected it for occupants and evidence. She testified that there was no evidence, such as a broken window, to suggest the Range Rover had been broken into. She said the Range Rover was an older model and did not have a pushbutton ignition. She testified that there was no evidence, such as a screwdriver shoved into the ignition or wiring dangling from the dashboard, to suggest that the ignition had been tampered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Constable Ricioppo received a description of the driver of the Range Rover. She ran the license plate number of the Range Rover and discovered that Ms. Stellinga was the registered owner. She obtained Ms. Stellinga's address on Walnut Street from the registration. She then slowly patrolled the downtown area in her police car looking for anyone matching the description she had received of the driver. She made her way south, towards the Walnut Street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Constable Ricioppo testified that she arrived at the Walnut Street apartment between 1:30 a.m. and 2:00 a.m. She radioed for backup and, when some colleagues arrived, they entered the apartment building. She testified that Ms. Stellinga was in her apartment. She said she asked Ms. Stellinga if she was aware that her vehicle had been involved in an accident. She testified that Ms. Stellinga's response was that she was at a party earlier in the evening, with her boyfriend, and that she believed he was in possession of her vehicle because, after an argument, she looked for her keys and they were missing. Constable Ricioppo also said that, during this initial conversation, she asked Ms. Stellinga if she had spoken to her boyfriend and Ms. Stellinga responded that she had tried to phone him but he was not answering his phone. Constable Ricioppo characterized Ms. Stellinga as defensive and said she formed the impression Ms. Stellinga was holding back information. For example, she said when she asked what Ms. Stellinga's boyfriend's name was, Ms. Stellinga initially only provided a first name, and that she provided a surname only after being cautioned about the seriousness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her initial conversation with Ms. Stellinga, Constable Ricioppo returned to her police car and started making notes while waiting to see if Ms. Stellinga's boyfriend would return to the apartment. She testified that about 30 to 45 minutes later, she saw a male, who matched the description she had been given of the driver, walking casually up the driveway to the apartment. She moved her police car towards him and started to step out, while asking him to stop. He responded by running to the side door of the building where she observed him use a fob to enter. She again called for backup and, when backup arrived, she and her colleagues re-entered the building. She said she spoke to Ms. Stellinga a second time. Ms. Stellinga said she had still not heard from her boyfriend and did not know where he was. Constable Ricioppo's colleagues searched Ms. Stellinga's apartment but they did not find Mr. Lafferty there. Constable Ricioppo and her colleagues left the apartment between about 3:30 a.m. and 4:00 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Bruce Funk and the Phone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Funk is a licensed security consultant who worked for TELUS for many years where he was responsible for security matters such as wire intercepts and investigations for the mobility division. Since retiring from TELUS, he has been contracted by municipal police forces throughout British Columbia, the RCMP, provincial and federal Crown counsel, a District Attorney's Office in Buffalo, New York, and private entities for the purpose of analyzing cellular phone records and providing testimony in court. He has testified as a factual and expert witness many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Funk was qualified as an expert in the interpretation of cell phone records and the way cell phones interact with cell towers or cell sites. As it turns out, his evidence was largely factual.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Funk explained that a cell phone is a radio device that transmits and receives a signal from a cellular site. Cellular sites can be located on towers, buildings, or any other location that is capable of providing coverage in a specified area. The cellular site receives the signal from the phone and forwards the information to a switch. The switch is the computer that processes the information and routes the call to the requested destination.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Funk explained that each cell site is designated with an identity number and name provided by TELUS, and its location is maintained on file. When a cell phone is turned on and then makes or receives a call, it draws upon the cell site that provides the strongest signal. In most cases, the signal is provided by the site closest to the phone but due to height, geographical area and building obstructions, other sites in the vicinity may process the call. If a phone is mobile and active on a call, it switches sites during the call when the signal from one site becomes weaker and the signal from another site becomes stronger.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Funk testified that each time a cell phone receives or transmits a call or text message, a record is generated in the switch. He testified about the pieces of information that can be gleaned from the records for Ms. Stellinga's and Mr. Lafferty's phones, which include the date, time, and duration of calls made and received; whether a particular call was answered or forwarded to voicemail; and which cell sites were accessed.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Funk identified a number of cell sites in the material area including a site located at the Delta Grand Hotel (the "Delta Site"); a site located at 737 Leon Avenue, which is southeast of the accident scene (the "Kelowna Centre Site"); and a site located at 2268 Pandosy Street near the Kelowna General Hospital (the "Hospital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phone records and Mr. Funk's evidence establish the following:</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9:01 p.m. on February 3, 2017 and about 12:06 a.m. on February 4, 2017, Mr. Lafferty's phone made calls to or received calls from 250-212-8344, 250-801-5990, 778-363-6431, and 250-819-8374. (Ms. Stellinga testified that 778-363-6431 was Cole Charlton's phone number. Mr. Charlton is Mr. Lafferty's cousin).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12:40 a.m., Mr. Lafferty's phone called Ms. Stellinga's phone twice, with both calls being forwarded to her voicemail.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12:43 a.m., Mr. Lafferty's phone placed a call to 250-863-6377.</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12:46 a.m., Mr. Lafferty's phone placed a call to 250-808-2461.</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12:47 a.m. and 12:50 a.m., Mr. Lafferty's phone called Ms. Stellinga's phone three times, with all three calls being forwarded to her voice mail.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12:53 a.m., Ms. Stellinga's phone received and answered a call from Mr. Lafferty's phone. The duration of this call was about one minute.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12:55 a.m. and 1:01 a.m., Ms. Stellinga's phone received and answered six more calls from Mr. Lafferty's phone.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1:02 a.m., Mr. Lafferty's phone placed a call to 778-215-6431.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1:02 a.m. and 1:05 a.m., Mr. Lafferty's phone received three calls from Ms. Stellinga's phone, the second of which was answered, with the first and third going to voicemail.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1:07 a.m., Mr. Lafferty's phone placed a call to 250-826-3829.</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1:09 a.m., Ms. Stellinga's phone received and answered a call from Mr. Lafferty's phone.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1:13 a.m., Mr. Lafferty's phone called Ms. Stellinga's phone with the call being forwarded to her voicemail.</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1:13 a.m. and 1:38 a.m., Ms. Stellinga's phone placed five calls to 778-363-6431 (Mr. Charlton's phone).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1:22 a.m., Mr. Lafferty's phone placed a call to 778-363-6431 (Mr. Charlton's phone).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1:39 a.m. and 4:10 a.m., a period of about two-and-a-half hours, Mr. Lafferty's phone neither placed nor answered any calls. Between 1:39 a.m. and 2:53 a.m., Ms. Stellinga's phone placed nine calls to his phone all of which went to his voicemail and, in addition, Mr. Charlton's phone placed a call to Mr. Lafferty's phone which went to voicemail.</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1:39 a.m. and 2:48 a.m., Ms. Stellinga's phone also placed calls to and/or received calls from 250-575-0850, 778-363-6431 (Mr. Charlton's phone), 250-870-3381, 250-575-9017, and 250-878-4823.</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4:10 a.m. and 4:17 a.m., Mr. Lafferty's phone placed calls to 778-581-4001, 250-801-3056, 250-575-4907, 250-718-7858, and 250-300-6230.</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4:22 and 4:56, there were ten calls between Mr. Lafferty's phone and Ms. Stellinga's phone, some of which were answered.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6:11 a.m. and 9:31 a.m., Mr. Lafferty's phone placed calls to 778-363-6431 (Mr. Charlton's phone), 250-448-2833, and 250-575-4907, and received a call from 250-718-7858.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Funk's evidence in combination with information gleaned from the phone records, in particular the cell sites identified in the records as being accessed during each call, establishes the likely location of Mr. Lafferty's phone and Ms. Stellinga's phone, in terms of general area, throughout the material time: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between 12:40 a.m. and 1:07 a.m., Mr. Lafferty's phone was mobile, moving in the downtown area around the Delta Hotel and south towards Harvey Street. The intersection of Water Street and Bernard Avenue, the scene of the accident, is in that general area.</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at about 1:02 a.m., Mr. Lafferty's phone made a call that initially activated the Kelowna Centre Site, southeast of the accident scene, and then switched to the Delta Site, north of the accident scene, which is consistent with his phone being in the area between the two sites. The scene of the accident is in that area.</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from 1:09 a.m. to 1:22 a.m., Mr. Lafferty's phone was mobile, moving in the downtown area around Harvey Street and south towards the Kelowna General Hospital.</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1:39 a.m. and 4:10 a.m., the location of Mr. Lafferty's phone is unknown.</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4:10 a.m. and 4:48 a.m., Mr. Lafferty's phone was mobile, moving about the area south of Harvey Street.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between 12:53 a.m. and 1:09 a.m., Ms. Stellinga's phone was in the area around the Delta.</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1:36 a.m., Ms. Stellinga's phone was mobile, moving south towards Harvey Street.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about 1:39 a.m. and 1:41 a.m., Ms. Stellinga's phone was mobile in the area south of Harvey Street, that is south of the scene of the accident.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1:42 a.m., Ms. Stellinga's phone was in the area around the Delta, north of the scene of the accident.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1:44 a.m., Ms. Stellinga's phone was mobile moving south from around the Delta toward Harvey Street.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about 2:00 a.m., Ms. Stellinga's phone was in the area south of the Kelowna General Hospital. Her apartment is in this area.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Rhea Lafferty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Lafferty denies that he was driving the Range Rover when it struck the plaintiffs. He testified that on the evening of February 3, 2017, he got off work at about 9:30 p.m. and that he and Ms. Stellinga went to the Delta Grand Hotel. Ms. Stellinga drove them to the Delta in her Range Rover and parked the vehicle in the Delta's parkade. He acknowledged there was only one key for the Range Rover.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Lafferty testified that he and Ms. Stellinga planned to go to the casino, but they ran into his cousin, Cole Charlton, who invited them to a party in a suite at the Delta. They went to the party instead. He said the only people he knew at the party were Mr. Charlton and Ms. Stellinga. He acknowledged that he and Mr. Charlton had earlier had a falling out, and they had not spoken much in the time leading up to the evening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Lafferty said he and Ms. Stellinga were both drinking at the party and they had an argument. He said he was quite drunk. He said he left the Delta alone and walked south to a house party by the Kelowna General Hospital. He said he did not know for sure what time he arrived at the house party but speculated that it was sometime after midnight. He denied taking the Range Rover.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Lafferty testified that he stayed at the house party for some time and then walked home, arriving at the Walnut Street apartment between 4:00 a.m. and 6:00 a.m. He said Ms. Stellinga told him about the accident when he got home. He agreed that she was very upset. He characterized her as "freaking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mentioned, the phone records for Mr. Lafferty's phone and Ms. Stellinga's phone, establish that there were several calls made from each of those phones during the material time, including several calls between those two phones. Mr. Lafferty testified that he could not remember making or receiving any of the calls indicated in the records for his phone during the material time. He speculated that he may have phoned friends to ask about the house party or to ask them to come to the house party or to ask for a ride, but he had no specific recollection of any of the calls. The phone records show the phone numbers of the phones to which his phone made calls and from which his phone received calls, but he could not recall whose phones those phone numbers belonged to, with the exception of Ms. Stellinga's phone number, which he did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mentioned, the phone records show that there were a flurry of calls made between Mr. Lafferty's phone and Ms. Stellinga's phone, starting at about 12:40 a.m. Mr. Lafferty said he could not remember any of those calls, but he speculated that he might have been trying to apologize to her for the argument. He denied that he was phoning her to tell her that he had been in an accident with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phone records show that Mr. Lafferty's phone placed calls to Mr. Charlton's phone at 1:22 a.m., 6:11 a.m., and 6:15 a.m. The call at 1:22 a.m. was almost two minutes long. The calls at 6:11 a.m. and 6:15 a.m. were each about four minutes long. Again, Mr. Lafferty could not remember anything about these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phone records show that between about 1:39 a.m. and 4:10 a.m., Mr. Lafferty's phone did not make or receive any calls but several calls were forwarded to his voicemail during this time. Although he said he could not remember anything about any of the calls made or received by his phone during the material time, he said he did remember that his phone died when he got to the house party and that he was looking for a phone charger. Initially, he said he "must have" found a way to charge his phone. Later in his testimony, he said he might have purchased a phone charger at a 24-hour gas station and he remembers plugging his phone into the outside of a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phone records show several calls between Mr. Lafferty's phone and Ms. Stellinga's phone between about 4:22 a.m. and 4:56 a.m., totaling in excess of 28 minutes. Mr. Lafferty said he could not recall anything about these calls, although he clearly recalled that Ms. Stellinga told him about the accident when he got home sometime before 6:00 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Ava Stellinga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Stellinga testified that she and Mr. Lafferty went to a party at the Delta Grand Hotel on the evening in question. She drove her Range Rover and parked it in the parkade. She used the key fob to lock the vehicle. She only had one set of keys for the vehicle, which she put in her jacket pocket or in her purse. She estimated they arrived at the Delta about 10:00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Stellinga testified that the only people she knew at the Delta party were Mr. Lafferty and Mr. Charlton. She acknowledged that she and Mr. Charlton did not like each other. She spent most of the time sitting at a table in the common area of the suite, drinking. She testified that she got very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Stellinga testified that she and Mr. Lafferty had an argument at the Delta party and she was upset and angry. She testified that she decided to leave, on her own. She estimated that this was between 12:00 a.m. and 1:00 a.m. She testified that she does not know whether Mr. Lafferty was still at the Delta party when she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Stellinga testified that she got turned around a bit in the hotel when she left the suite, and it took her a little while to find her way down to the lobby. She said she walked out onto Water Street and started heading south towards the Cactus Club. She saw a cab and tried to flag it down, but it did not stop because it already had a fare. She saw a second cab and flagged it down. It stopped, and she got in. She acknowledged that Mr. Gill was the cab driver. She testified that she did not recall telling Mr. Gill that her boyfriend took her vehicle and got in an accident, and she did not recall him telling her that he had just passed the accident scene and knew where it was. She said she did not remember anything about the conversation she had with Mr. Gill. She insisted that she remembered only bits and pieces of what happened after she left the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 portion of her examination for discovery read in by the plaintiffs, Ms. Stellinga testified that after she got into the cab and it started driving south on Water Street, she saw the lights of a tow truck up ahead and then she saw her Range Rover up on the sidewalk. She testified she told the cab driver to stop and she jumped out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Stellinga testified that there was a girl with brown hair at the scene of the accident who put her hands on Ms. Stellinga's shoulders and tried to calm her down. She said she was frantic. She testified that she does not remember saying that she got a phone call telling her about the accident. She recalls going into a nearby pub called Fernando's, where she sat down and waited for the police. She said her memory of what happened at the scene is fuzzy.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Stellinga testified that she spoke to the police while she was in Fernando's. She acknowledged that the phone records show that she phoned Mr. Charlton's number at about 1:13 a.m. and again at about 1:37 a.m. She seemed to agree that she spoke to the police in Fernando's between those two calls. After speaking to the police, Ms. Stellinga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Stellinga testified that she recalls Constable Ricioppo coming to her apartment early in the morning on February 4, 2017, but she only recalls having one conversation with her. She said she does not recall telling Constable Ricioppo that she and Mr. Lafferty had an argument and that she thought he had taken her vehicle because her key was gone. She acknowledged that other police officers searched her apartment looking for Mr. Lafferty. She acknowledged that Constable Ricioppo asked for her boyfriend's name. She characterized Constable Ricioppo as aggressive and she said she asked the police to leave because she felt intimidated.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Stellinga acknowledged that she knew her key to the Range Rover was missing. She later learned, from a police report, that the key was found inside the Range Rover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Stellinga testified that from the time she arrived at the scene of the accident, she was frantically trying to call Mr. Lafferty. She testified that she has no recollection of actually reaching him. The phone records establish that there was no activity on her phone between about 8:32 p.m. on February 3 and 12:40 a.m. on February 4. As mentioned, the records show that between 12:40 a.m. and 12:50 a.m., Mr. Lafferty's phone placed five calls to Ms. Stellinga's phone, all of which went to her voicemail. The records establish that at about 12:53 a.m., Mr. Lafferty's phone placed a call to her phone that was actually answered. That call lasted about one minute. The phone records show a series of calls between Mr. Lafferty's phone and Ms. Stellinga's phone between about 4:22 a.m. and 4:56 a.m., totaling in excess of 28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Stellinga testified that she thought the calls from Mr. Lafferty that went to her voicemail at and shortly after 12:40 a.m., came in while she was still at the Delta party. She insisted that after she arrived at the accident scene, she was frantically trying to reach Mr. Lafferty but she has no recollection of succeeding. She does recall speaking to Mr. Charlton. She said she called him to ask him to help her find Mr. Lafferty. She maintained that she had no memory of speaking to Mr. Lafferty until he arrived home sometime between 6:00 a.m. and 7:00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Stellinga testified that when Mr. Lafferty got home she told him about the accident. She said he appeared shocked to learn about the accident. She said he consoled her and assured her that he had not been driving, and she believed him. She clearly recalled this conversation and maintained that by this time she was sober.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Stellinga acknowledged giving a written statement to ICBC on March 21, 2017. She said the statement was written by the lawyer who was acting for her at the time, and she read it before signing it. She said that she did the best she could when giving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March 21, 2017 statement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Ava Stellinga ... am the registered owner of the black Range Rover motor vehicle bearing BC license plate CW2 24H. I am 23 years old and I am normally employed as an early childhood educator. On February 3, 2017, I attended a party at the Delta Hotel in Kelowna hosted by persons unknown to me. I drove to the party in my Range Rover and parked it in the parkade that is located at the hotel. I believe that I put the key fob into my pocket or purse but I am not certain. I arrived around 10:00 and stayed for about three hours. I consumed alcohol and socialized at the party. I estimate that there were at least fifty people at the party. At some time after midnight, I decided to leave because I wanted to go home and I was tired. I chose not to drive because I had consumed alcohol. I never drink and drive. I left alone and walked out of the Delta Hotel toward the Cactus Club restaurant that is nearby. I did not go to the parkade before I left the hotel. I hailed a taxi in front of the Cactus Club and asked the male driver to drive me home. We proceeded south on Water Street and after only two or three blocks I saw what I thought were tow truck lights and then spotted what I believed to be my vehicle pointed southbound on Water Street and crashed into a fence at Blenz Coffee. This is at the intersections of Water Street and Bernard Avenue. I yelled at the taxi driver to stop and I got out of the taxi and ran toward the vehicle. No one was in the vehicle. The driver door was open. There was a female with long brown hair who tried to talk to me. I was very upset and had to sit down, so I went to a pub next door called Fernando's and sat down. I believe that the female with brown hair was with me. Then the police attended and asked me questions. I answered them. Then I went back outside with the police. I told the police that I was not the driver and that I had arrived by taxi. I explained that I did not know who had taken my vehicle. Nor did I know who had my keys. Because I gave a statement to the police, I did not know that I had to separately report my vehicle as being stolen. It was definitely stolen because I did not consent to anyone taking it at any time on February 3 or February 4, 2017. My vehicle was damaged and I am seeking insurance compensation in that regard. I have read this statement and it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Stellinga agreed that she intended to convey to ICBC that she coincidentally happened upon the scene of the accident while she was in the cab, the implication being that she did not know about the accident before she got into the cab.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for ICBC suggested to Ms. Stellinga that she claims to have no recollection of what she told Mr. Gill when she got into the cab because she knows the only person she spoke to on the phone in the preceding moments was Mr. Lafferty, and if she knew about the accident before getting into the cab, this would implicate Mr. Lafferty as the driver. Counsel for ICBC suggested that she made a false statement to protect Mr. Lafferty, with whom she was in a relationship at the time. She denied these suggestions.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Stellinga testified that she did not wilfully make a false statement. She said that at the time she gave the March 21, 2017 statement, she did not have all the facts. She testified that she trusted and believed what Mr. Lafferty told her, and she maintained that the March 21, 2017 statement reflects what she understood to be true at the time it was made. However, she said she now has "high suspicions" that Mr. Lafferty was driving the Range Rover when it struck the plaintiffs. She did not say what she had learned, since March 21, 2017, to cause her to now suspect he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Ultimately, the assessment of the credibility of witness testimony turns on whether the testimony is in "harmony with the preponderance of the probabilities which a practical and informed person would readily recognize as reasonable in that place and in those conditions":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factors identified by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247"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also play a role in assessing whether the evidence of a witness is truthful and accurate. These factors include the ability of the witness to resist being influenced by his or her interest in recalling events; the internal and external consistency of the witness's evidence; whether the witness's evidence harmonizes with or is contradicted by other evidence, particularly independent or undisputed evidence; whether his or her evidence seems unreasonable, improbable or unlikely, bearing in mind the probabilities affecting the case; and the witness's demeanour, meaning the way he or she presents while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was nothing in the testimony of any of the witnesses other than Mr. Lafferty and Ms. Stellinga that gave rise to any credibility concerns. All of them testified in a reasonable and straightforward manner. They did not exaggerate. Their evidence was not shown to be either internally or externally inconsistent. I accept their testimony without reservation.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However, I have serious concerns about the credibility of Mr. Lafferty and Ms. Stellinga. There were several aspects of the testimony of each of them that have caused me to conclude that they were not truthful about the central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When Mr. Lafferty was confronted with the phone records showing that he was moving around in the downtown area between about 12:40 a.m. and shortly after 1:00 a.m., in the vicinity of the scene of the accident, Mr. Lafferty changed his evidence about what he did after leaving the Delta. Initially, he testified that he left the Delta and walked to the house party, travelling south on Water Street and later cutting over to Pandosy Street. This route would have taken him right through the intersection of Water Street and Bernard Avenue, but he insisted that he did not see the accident or its aftermath. When confronted with the phone records, he said that perhaps he forgot something such as his lighter or cigarettes, and perhaps he checked out some nightclubs before going to the house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Lafferty's testimony about the phone charger was implausible. Initially, he said that he looked for a phone charger at the house party but then he said he thought he bought a phone charger at a 24-hour gas station and then plugged his phone into the outside of a building. The records establish that his phone was functioning by about 4:10 a.m. Even if he managed to find an electrical outlet on the outside of a building, it is implausible that, in the middle of a snowy winter night, he would walk to a gas station to buy a phone charger and charge his phone outside rather than simply walking home and charging it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Lafferty's testimony reflected a selective memory of the night as a whole. He remembered that he and Ms. Stellinga fought at the Delta, and he left the Delta alone. He remembered the general location of the house party, close to the hospital. He remembered that his phone went dead, he bought a charger, and he charged his phone by plugging it into the outside of a building. He remembered the names of some of the people at the house party. He remembered Ms. Stellinga telling him about the accident when he got home. He remembered that she was very upset. However, he cannot remember anything about any of the conversations or phone calls he made or received from the time he left the Delta until he arrived at the apartment hours later. This is not believable. Ms. Stellinga knew the police were looking for him. She acknowledged that they searched her apartment for that purpose. It is inconceivable that she did not tell him the police were looking for him during their phone calls between 4:22 a.m. and 4:56 a.m. This is something he would have remembered. He did not explain why he had a clear memory of what she told him after he arrived at the apartment but not what she told him during these phone calls, which occurred, at most, about two hours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Lafferty's testimony about not remembering the purpose or content of his phone calls to Mr. Charlton, particularly those that occurred at 6:11 a.m. and 6:15 a.m., was not believable. On his own evidence, Mr. Lafferty had been out partying all night, arriving home sometime between 4:00 a.m. and 6:00 a.m. As noted, the phone records show he was calling Ms. Stellinga, who was at the apartment, just before 5:00 am, so he almost certainly did not get back to the apartment until after 5:00 a.m. He would not have placed phone calls to Mr. Charlton, with whom he was not on good terms, an hour later, so early on a Saturday morning, after partying all night and then learning about the accident from a very upset Ms. Stellinga, unless he had something important to talk to Mr. Charlton about. It is very unlikely that he would not remember what that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turn now to Ms. Stellinga's credibility. She did not deny telling Mr. Gill, when she got into the cab, that her boyfriend had taken her vehicle and gotten into an accident. She did not deny declaring, at the accident scene, that she had received a phone call telling her about the accident. She did not deny telling Constable Ricioppo that she believed her boyfriend was driving. Rather, she simply maintained that she did not recall saying any of those things, insisting that her memory of the evening was fuzzy and that she remembered only bits and pieces.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 the reasons expressed below, I am satisfied, on a balance of probabilities, that Mr. Lafferty was driving the Range Rover at the time of the accident and that, before Ms. Stellinga got into Mr. Gill's cab, she knew that he had taken her vehicle and gotten into an accident. What is key to her third-party claim against ICBC, is whether I accept that she must have forgotten about all that and, by the time she gave her statement to ICBC about six weeks later, she believed (albeit mistakenly) that she had learned about the accident when she coincidentally happened upon the scene while on her way home in a cab. That notion is absurd.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Stellinga's memory of the evening was selective, in a way that clearly suggested she was shaping her evidence to align with her interest. She remembered many innocuous details. For example, she remembered that she drank four tequila shots plus mixed drinks at the Delta, that she and Mr. Lafferty argued, that she left the Delta alone, that she got turned around in the hotel on her way down to the lobby, that the first cab she encountered would not take her because it already had a fare, that Mr. Gill's cab was the second cab she flagged down, and that the girl who helped her at the accident scene had brown hair. In contrast, she could not recall any of the details that might implicate Mr. Lafferty. For example, she could not recall what conversation she had with Mr. Gill in the cab, she could not recall what she told Constable Ricioppo, she could not recall any of the many calls between her phone and Mr. Lafferty's phone. Her explanation is that she was drunk and upset. While I accept she had been drinking, I do not accept that she was very intoxicated. Mr. Gill observed her and spoke to her in the close confines of his cab and he testified that she did not appear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An accident like this one would be a significant event in anyone's life. After having an argument with Mr. Lafferty, her common-law partner, at a party where they were both drinking, he took her vehicle, caused an accident, and fled the scene. It is improbable, if not inconceivable, that having learned of this information and acted on it, by flagging down a cab and telling the driver what happened, she would, within a few hours, forget that she had heard the information and instead come to believe that she just happened upon the scene by coincidence.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Having the RCMP arrive at one's home in the middle of the night would be a significant event for anyone. Ms. Stellinga was questioned by the police, in a manner that she said was aggressive, about the potential involvement of her then common-law partner in a serious criminal matter. She told Constable Ricioppo that she thought Mr. Lafferty had taken her keys and was the driver. Again, this would be a memorable event. She would not forget that she had implicated her partner in a serious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is particularly improbable that Ms. Stellinga did not remember the phone calls she had with Mr. Lafferty after 4:00 a.m. Those calls occurred only a short time after she told Constable Ricioppo that she thought Mr. Lafferty had taken her vehicle. Again, she had just implicated him in a crime. She says she clearly remembers speaking to Mr. Lafferty when he got home a couple of hours later. She said by that time she was sober. However, by the time of the 4:00 a.m. phone calls, four hours had passed since she left the Delta. In the meantime, she had learned that her vehicle had been in an accident that had injured two people, she had spoken to police at the accident scene, she had participated in many phone calls, the police had been at her apartment looking for Mr. Lafferty, and she had implicated him in the crime. Even if she was impaired by alcohol when she left the Delta, given all that subsequently occurred, it is more likely than not that she would have sobered up sufficiently to remember speaking to Mr. Lafferty four hours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following three liability issues arise:</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driver of the Range Rover liable?</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Lafferty the driver?</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Stellinga vicariously liable?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driver of the Range Rover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have no difficulty concluding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Ms. Stellinga's Range Rover caused the accident and is 100%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concede that Ms. Stellinga's Range Rover was involved in the accident and struck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mentioned, there is no reason to doubt the evidence of Mr. Sariyski, Ms. Mitchell, Ms. Savaia, and Mr. Gillespie, all of which was uncontested. I accept their evidence without reservation. Based on their evidence I find that:</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Range Rover was travelling quite fast, southbound on Water Street, in snowy conditions, and it ran a red light at the intersection of Water Street and Bernard Avenue;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Sariyski, who was westbound on Bernard and whose light was green as he entered the intersection, saw the Range Rover coming and took evasive action, but was unable to avoid hitting the Range Rover on the driver's side;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of the collision pushed the Range Rover onto the sidewalk on southwest corner of the intersection, where it hit the plaintiffs, who were walking on the sidewalk and had no time to react before being hit;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Range Rover got out of the vehicle and ran away from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driving quite fast, in snowy conditions, and then running the red light, the driver of the Range Rover was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that injured the plaintiffs. That driver is 100% 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Mr. Lafferty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also have no difficulty concluding that Mr. Lafferty was driving the Range Rover when it struck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is helpful to start by determining, with more specificity, when the accident occurred. Ms. Savaia's evidence about the timing was the most precise. She testified that she and Mr. Gillespie left the Cactus Club at about 12:30 a.m.. She estimated the accident happened about 12:45 a.m.. The evidence of the other witnesses about the timing is consistent but less precise. For example, Mr. Gillespie placed the time of the accident at between 12:30 a.m. and 1:00 a.m., and Ms. Mitchell said she left Sergeant O'Flannigan's pub sometime around midnight.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Constable Ricioppo testified she arrived at the accident scene between 1:05 a.m. and 1:10 a.m. She said she was one of the first to arrive, she does not believe the paramedics were there yet, and the scene was chaotic with emotional people. I took her evidence in this respect to mean that she was one of the first emergency personnel to arrive.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Constable Ricioppo testified that the police received a call from the paramedics reporting the accident, she was then dispatched to the scene, and she drove there in a marked police car. She did not say how long it took her to get there. However, her estimate of her arrival between 1:05 a.m. and 1:10 a.m., after someone reported the accident to the paramedics, the paramedics reported it to the police, the police dispatcher dispatched her to the scene, and she drove there, supports the conclusion that the accident most likely occurred closer to 12:30 a.m. than to 1:00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dispute about the location of the Cactus Club. It is a couple of blocks north of the scene of the accident, and just south of the Delta. It would have taken Ms. Savaia and Mr. Gillespie less than ten minutes to walk from the Cactus Club to 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Based on the evidence summarized above, I find that the accident occurred between 12:30 a.m. and 12:45 a.m.; that Constable Ricioppo arrived at the scene between 1:05 a.m. and 1:10 a.m.; and that she arrived before the paramedics.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Gill testified that before Ms. Stellinga got into his cab, he had already passed by the scene of the accident and he had seen ambulances and police in the intersection. Given the findings I have just made, it follows that Mr. Gill must have driven past the accident scene after 1:05 a.m., because that is the earliest Constable Ricioppo arrived and there were no paramedics there when she arrived. Mr. Gill drove a little more than a block north on Water Street and picked up Ms. Stellinga somewhere around the north side of the Queensway roundabout.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phone records show that no calls were placed to Ms. Stellinga's phone between about 8:32 p.m. on February 3 and about 12:40 a.m. on February 4, that there was then a flurry of calls between Ms. Stellinga's phone and Mr. Lafferty's phone between about 12:40 a.m. and about 1:13 a.m., and that the first person she called during the material time, other than Mr. Lafferty, was Mr. Charlton. The first call she placed to Mr. Charlton was shortly after 1:13 a.m. That call had a duration of 55 seconds. The phone records show there were no calls to or from her phone for about the next 24 minutes. Then, between about 1:37 a.m. and shortly after 1:38 a.m. she placed four calls to Mr. Charlton's phone. In a portion of her examination for discovery evidence that was read in to the record by the plaintiffs, she testified that she recalled speaking briefly to Mr. Charlton and she thought that happened right before she spoke to the police. At trial, she somewhat reluctantly agreed that she probably spoke to the police after the 1:13 a.m. call to Mr. Charlton and before the next call she placed to him at about 1:37 a.m. That timing is consistent with her not taking or receiving any phone calls in the intervening period. It is reasonable to infer that she turned off her phone while speaking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find that Ms. Stellinga arrived at the accident scene before she placed the first call to Mr. Charlton at 1:13 a.m., because that call likely occurred right before she spoke to the police. She was in Mr. Gill's cab for only a couple of minutes. Given my conclusion that Mr. Gill must have driven past the scene after 1:05 a.m., before picking up Ms. Stellinga, it follows that Ms. Stellinga must have gotten into Mr. Gill's cab sometime between about 1:07 a.m. and 1:10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Gill testified that Ms. Stellinga told him that her boyfriend had taken her car and gotten into an accident. Mr. Sariyski testified that he heard Ms. Stellinga say that she had received a phone call advising her that her vehicle had been in an accident. Neither of them would have any reason to make up that evidence. Again, Ms. Stellinga did not deny making these statements. She said only that she did not remember making them. I accept the testimony of Mr. Gill and Mr. Sariyski and find that Ms. Stellinga did tell Mr. Gill, when she got into his cab, that her boyfriend had taken her car and gotten into an accident and, at the scene of the accident, she did declare that she had received a phone call advising her that her vehicle had been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Ms. Stellinga is a party, her out of court statement that she received a phone call advising her that her vehicle had been in an accident is admissible for the truth of its contents; in other words, it is admissible to establish that she did, in fact, receive such a phone call. She knew about the accident before getting into Mr. Gill's cab. The only calls she received before arriving at the scene of the accident were from Mr. Lafferty's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phone records establish that the first five calls Mr. Lafferty placed to Ms. Stellinga after about 12:40 a.m. went to her voicemail. One of those, at about 12:48 a.m., was for a duration of 43 seconds, while the others were much shorter (4 or 9 seconds). It is likely that he left a message during the 43-second call. The phone records establish that her phone answered the next seven calls he made to her, and that she then placed three calls to his phone, the second of which was answered with the other two being forwarded to voicemail. The records indicate that the duration of the answered calls between Ms. Stellinga and Mr. Lafferty during the period between about 12:40 a.m. and about 1:13 a.m. varied between 55 seconds and 9 seconds, and totalled about four minutes. Again, she received calls from no one else during this time. The only reasonable inference is that Mr. Lafferty was the person who told her, over the phone, that her car had been in an accident, that she became upset, and that they then engaged in a series of calls back and forth to and from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After participating in some of these calls, Ms. Stellinga got into Mr. Gill's cab, crying, and told him her boyfriend had taken her car and gotten into an accident. The only reasonable inference is that Mr. Lafferty told her that he had taken her car and was driving it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Lafferty had the opportunity to take the Range Rover when he left the party. There is nothing to suggest the Range Rover was broken into or hotwired. To the contrary, the key was found inside the vehicle after the accident. It is reasonable to infer that Mr. Lafferty, as Ms. Stellinga's common law partner, would have known where she normally kept her car key. He knew where the Range Rover was parked. With reference to Constable Ricioppo's evidence that Ms. Stellinga said she believed Mr. Lafferty had taken her car because, after an argument, she looked for her keys and they were missing, Ms. Stellinga was asked why her first thought after arguing with Mr. Lafferty would have been to check for her car key. She responded: "well, he has stolen things from me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phone records place Mr. Lafferty in the area where the accident occurred at the material time. Again, it was Mr. Funk's evidence that when a wireless phone makes or receives a call, it draws upon the cell site that provides the strongest signal and, in most cases, this is the site closest to the phone. The accident scene is located in between the Delta Site and the Kelowna Centre Site. The Hospital Site is further south on Pandosy, close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phone records establish that when Mr. Lafferty was leaving voicemail messages for Ms. Stellinga between about 12:40 a.m. and about 12:51 a.m., he was utilizing the Delta Site. By 1:00 a.m., he was utilizing the Kelowna Centre Site. Shortly after 1:02 a.m., one of his calls switched back from the Kelowna Centre Site to the Delta Site. At about 1:03 a.m., he was again utilizing the Kelowna Centre site. Shortly after 1:09 a.m., one of his calls switched from the Kelowna Centre Site to the Hospital Site. The next call, at 1:12 a.m., utilized the Kelowna Centre Site. The call after that utilized the Hospital Site. From this evidence, I conclude that until about 1:09 a.m., Mr. Lafferty was moving around in the area between the Delta Site and the Kelowna Centre site. This is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Mitchell's description of the driver as having dark skin and dark hair is consistent with Mr. Lafferty being the driver. She was within three or four feet of the driver, in a well-lit area, and she saw his face. She confirmed that a photograph of Mr. Lafferty, taken about two months after the accident, looked similar to the driver. She identified Mr. Lafferty in the courtroom as someone who could have been the driver. To be clear, given the lack of certainty in her identification evidence it would not have been sufficient, on its own, for me to conclude, even on a balance of probabilities, that Mr. Lafferty was the driver. However, her identification evidence contributes to that conclusion, along with all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already discussed, I did not find Mr. Lafferty's evidence credible. I reject his evidence that he was not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Savaia's evidence that she heard Ms. Stellinga say her vehicle had been stolen is not inconsistent with my finding that Ms. Stellinga also told Mr. Gill that her boyfriend had taken her vehicle. Given that Mr. Lafferty did not have a driver's licence, that he took her vehicle without her knowledge after they had argued, that he had stolen things from her before, and that she was understandably very upset, it is not surprising that, at the accident scene, one of things she said was that her vehicle had been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For these reasons, the totality of the evidence I accept establishes, on a balance of probabilities, that Mr. Lafferty was the driver of the Range Rover at the time of the accident. He is 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Ms. Stellinga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Section 86(1)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86(1) In the case of a motor vehicle that is in the possession of its owner, in an action to recover for loss or damage to persons or property arising out of the use or operation of the motor vehicle on a highway, a person driving or operating the motor vehicle who</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living with, and as a member of the family of, the owners, or</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acquired possession of the motor vehicle with the consent, express or implied,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be the agent or servant of, and employed as such by, that owner and to be driving or operating the motor vehicle in the course of his or her employment with that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effect of this provision is to make Ms. Stellinga liable to the plaintiffs for damages arising from the accident if Mr. Lafferty was driving the Range Rover and if he was living with her as a member of her family at the time or he was driving the Range Rover with her express or implied consent. I have found that Mr. Lafferty was driving the Range Rover when it struck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is no dispute that Mr. Lafferty and Ms. Stellinga were living together, in a romantic relationship, at the material time. Mr. Lafferty agreed that he was a member of her family. Ms. Stellinga agreed that they were living together as a couple and he was a member of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conditions expressed in ss. 86(1)(a) and (b) are disjunctive. In the circumstances, it is not necessary to consider whether Mr. Lafferty had Ms. Stellinga's consent, either express or implied, because he was living with her, as a member of her family, at the time. In the result, she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ICBC admits that Ms. Stellinga purchased third party liability insurance for the Range Rover and that insurance was in place at the time of the accident, but says Ms. Stellinga forfeited coverage under s. 75(c)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by giving a wilfully false statement with respect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Section 75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provides in material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claims by or in respect of the ... insured are invalid and the right of ... the insured ... to insurance money under the plan or an optional insurance contract, is forfeited if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insured makes a wilfully false statement with respect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order to establish that Ms. Stellinga's coverage has been forfeited under this provision, ICBC must prove three things: (1) Ms. Stellinga made a false statement with respect to the claim; (2) that false statement was made wilfully; and (3) the wilfully false statement was material. The first two aspects arise from the language of s. 75(c) itself; the third arises from the Court of Appeal's decision in </w:t>
      </w:r>
      <w:r>
        <w:rPr>
          <w:rFonts w:ascii="arial" w:eastAsia="arial" w:hAnsi="arial" w:cs="arial"/>
          <w:i/>
          <w:color w:val="000000"/>
          <w:sz w:val="20"/>
          <w:lang w:val="en-US" w:eastAsia="en-US" w:bidi="ar-SA"/>
        </w:rPr>
        <w:t>Inland Kenworth Ltd. v. Commonwealth Insurance Company</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(1990), 48 B.C.L.R. (2d) 305</w:t>
        </w:r>
      </w:hyperlink>
      <w:r>
        <w:rPr>
          <w:rFonts w:ascii="arial" w:eastAsia="arial" w:hAnsi="arial" w:cs="arial"/>
          <w:color w:val="000000"/>
          <w:sz w:val="20"/>
          <w:lang w:val="en-US" w:eastAsia="en-US" w:bidi="ar-SA"/>
        </w:rPr>
        <w:t>. In that case, the Court of Appeal also provided a definition of "material" (at 310):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sufficient, ... if the fraud or wilfully false statement is capable of affecting the mind of the insurer either in the management of the claim or in deciding to pay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As to the definition of "wilful", ICBC relies on the following passage from </w:t>
      </w:r>
      <w:r>
        <w:rPr>
          <w:rFonts w:ascii="arial" w:eastAsia="arial" w:hAnsi="arial" w:cs="arial"/>
          <w:i/>
          <w:color w:val="000000"/>
          <w:sz w:val="20"/>
          <w:lang w:val="en-US" w:eastAsia="en-US" w:bidi="ar-SA"/>
        </w:rPr>
        <w:t>Gill v. Insurance Corporation of British Columbia</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[1989] B.C.J. No. 1417</w:t>
        </w:r>
      </w:hyperlink>
      <w:r>
        <w:rPr>
          <w:rFonts w:ascii="arial" w:eastAsia="arial" w:hAnsi="arial" w:cs="arial"/>
          <w:color w:val="000000"/>
          <w:sz w:val="20"/>
          <w:lang w:val="en-US" w:eastAsia="en-US" w:bidi="ar-SA"/>
        </w:rPr>
        <w:t xml:space="preserve">, which was quoted with approval by the Court of Appeal in </w:t>
      </w:r>
      <w:r>
        <w:rPr>
          <w:rFonts w:ascii="arial" w:eastAsia="arial" w:hAnsi="arial" w:cs="arial"/>
          <w:i/>
          <w:color w:val="000000"/>
          <w:sz w:val="20"/>
          <w:lang w:val="en-US" w:eastAsia="en-US" w:bidi="ar-SA"/>
        </w:rPr>
        <w:t>Petersen v. Bannon</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(1993), 84 B.C.L.R. (2d) 350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wilful act may be described as one done intentionally, knowingly, and purposely, without justifiable excuse, as distinguished from an act done carelessly, thoughtlessly, heedlessly or inadvertently. A wilful act differs essentially from a negligent act. The one is positive and the other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ICBC says that Ms. Stellinga's March 21, 2017 statement was wilfully false in the following three respects: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designed to give the impression that she first became aware of the accident when she coincidentally came upon the scene while in a cab on the way home when, in fact, she knew Mr. Lafferty had taken the Range Rover and gotten into the accident before she got into the cab. ICBC relies, in particular, on the following passage in the statement: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hailed a taxi in front of the Cactus Club and asked the male driver to drive me home. We proceeded south on Water Street and after only two or three blocks I saw what I thought were tow truck lights and then spotted what I believed to be my vehicle pointed southbound on Water Street and crashed into a fence at Blenz Coffee. This is at the intersection of Water Street and Bernard Avenue. I yelled at the taxi driver to stop and I got out of the taxi and ran toward the vehicle.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designed to give the impression that Ms. Stellinga told the RCMP that she had no information or knowledge as to who had likely taken her vehicle when, in fact, she told Constable Ricioppo that she believed Mr. Lafferty had taken her keys and was in possession of the Range Rover. ICBC relies, in particular, on the following passage in the statement: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Then I went back outside with the police. I told the police that I was not the driver and that I had arrived by taxi. I explained that I did not know who had taken my vehicle. Nor did I know who had my keys.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designed to give the impression that Ms. Stellinga had no knowledge of who had taken her vehicle, even as of March 21, 2017, when the statement was made. ICBC relies, in particular, on the sentence "I explained that I did not know who had taken my vehicle" which forms part of the passage quoted in (b)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am satisfied that Ms. Stellinga's March 21, 2007 statement was wilfully false in two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agree that the passage quoted in para.116 (a) above was clearly designed to give the impression that Ms. Stellinga first became aware of the accident when she coincidentally came upon the scene while in the cab on the way home. This was false. For reasons already expressed, I have concluded that Ms. Stellinga knew that Mr. Lafferty had taken her car and gotten into an accident before she got into Mr. Gill's cab.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am also satisfied that this false statement was wilfully made. Again, I reject Ms. Stellinga's assertion that she must have forgotten about knowing about the accident before getting into the cab. If she had told ICBC that someone phoned her and told her about the accident, she almost certainly would have been asked follow-up questions such as who contacted her, what did they tell her, how did they know it was her vehicle, and were they involved in the accident. By asserting that she coincidentally happened upon the accident, she avoided having to answer questions that would implicate Mr. Lafferty as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am not satisfied that the specific passage in the March 21, 2017 statement about Ms. Stellinga "going back outside with the police" and explaining she did not know who had taken her vehicle can, strictly speaking, be said to be false. When read in the context of the March 21, 2017 statement as a whole that particular passage pertains to what she told the police when they questioned her at the scene of the accident. There is no evidence in the record about what she told the police at that time that is inconsistent with this passage.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Of course, the March 21, 2017 statement is incomplete in the sense that it does not refer to the fact that Ms. Stellinga was also questioned later by Constable Ricioppo, at her apartment, at which time she said she believed her boyfriend had taken her key and was in possession of the Range Rover. However, I have not been provided with any submissions or authority concerning the implications of providing a deliberately incomplete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Having said that, I am satisfied that the statement as a whole was intended to convey that, as of March 21, 2017, Ms. Stellinga did not know who had been driving the Range Rover at the time of the accident. This is inescapable given the wilfully false representation that she coincidentally happened upon the scene of the accident, the express statement that she told the police at the scene that she did not know who had taken her vehicle, the omission of any information about the police questioning her at her apartment later that evening and her response at that time to the effect that she believed Mr. Lafferty had been driving, and the assertion, near the end of the statement, that her vehicle "was definitely stolen". This overarching or predominant message was false. For the reasons already expressed, Ms. Stellinga knew that Mr. Lafferty was driving the Range Rover at the time of the accident. She knew this before getting into Mr. Gill's cab, and she did not forget it. She knew it when she signed the March 21, 2017 statement. There is no other reasonable conclusion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have no difficulty concluding that the wilfully false aspects of the March 21, 2017 statement were material in the sense that they are capable of affecting the mind of the insurer either in the management of the claim or in deciding to pay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Taken together, the wilfully false aspects pertain to the identity of a driver who fled the scene of an accident in which two people were injured. Because of Ms. Stellinga's wilfully false statement, ICBC took further steps to investigate the identity of the driver of the Range Rover, such as retaining Mr. Funk to analyse the phone records, that would have been unnecessary had she been truthful in her statement. Further, if a driver's identity is not ascertainable, then the plaintiffs' claims would be subject to the procedure outlined in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which applies to hit and run accidents, and the associated coverage limits. Accordingly, Ms. Stellinga's willfully false statement was capable of and did affect the mind of the insurer in the management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For these reasons, I find that Ms. Stellinga forfeited her coverage pursuant to s. 75(c)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driver of the Range Rover, who fled the scene of the accident, is 100% liable for the damage the accident caused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Lafferty was the driver of the Range Rover when it struck the plaintiffs and, therefore, he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Ms. Stellinga is vicariously liable pursuant to s. 86(1)(a)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Ms. Stellinga forfeited her coverage pursuant to s. 75(c)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Her third-party claim against ICBC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If the parties wish to speak to costs they may do so if, within 60 days of the release of these reasons for judgment, they contact the Registry to secure a date for a costs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Schlesiger v. Wright, [2014] B.C.J. No. 514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and 13,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S134701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499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Gerald Werner Schlesiger as himself, and as Executor of the Estate of the late Luzie Schlesiger, Plaintiffs, and Krista Edith Wright also known as Krista Burnham also known as Krista Edith Schlesiger-Wright also known as Krista Schlesiger also known as Krista Wright, Public Guardian and Trustee of British Columbia (PGT), Corporation of the City of Surrey, Clark Wilson LLP, represented by, Mark S. Weintraub, Amy A. Mortimore and Seva Batkin,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jc w:val="both"/>
        <w:rPr>
          <w:rFonts w:ascii="arial" w:eastAsia="arial" w:hAnsi="arial" w:cs="arial"/>
          <w:sz w:val="20"/>
          <w:lang w:val="en-US" w:eastAsia="en-US" w:bidi="ar-SA"/>
        </w:rPr>
      </w:pPr>
      <w:bookmarkStart w:id="46" w:name="Counsel_11"/>
      <w:bookmarkEnd w:id="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G.W. Schlesiger.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 Wright: D.H. Unterman.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Public Guardian and Trustee: R.E. McLarty, S. Li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Corporation of the City of Surrey: J.M. Poole, R. Schechter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7" w:name="Judgment_11"/>
      <w:bookmarkEnd w:id="47"/>
      <w:r>
        <w:pict>
          <v:line id="_x0000_s1071" style="position:absolute;z-index:251725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8" w:name="D.M. MASUHARA J."/>
            <w:bookmarkEnd w:id="48"/>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Various applications have been brought before me. The plaintiff, Mr. Schlesiger, is self-represented. He holds an Urban Planning degree and is Land Manager for a local First Nations band. The other parties are represented by counsel. This action arises from litigation in respect to the estate of the mother of Mr. Schlesiger and Ms. Wright. Their mother, Luzie Schlesiger, died in 1990. There were two properties which were in dispute. One property was at the civic address of 10612 - 139th Street in Surrey, B.C. (The "10612 Property"). The second was at the address of 10604 - 139th Street in Surrey, B.C. (the "10604 Property"). Whether this latter property was in the estate or not has been an issue. A separate proceeding dealt with the sale of those properties as well as the settlement and distribution of proceeds from their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present action, Mr. Schlesiger is suing his former solicitors at Clark Wilson in relation to their representation of his interests in relation to the said properties and in the other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He is also suing the City of Surrey generally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he asserts led to financial loss in relation to the sale of the said lands. As the City of Surrey summarizes in its Notice of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Surrey as set out in the Amended Notice of Civil Claim appears to consist of the following allegations: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Surrey breached a duty of care by: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identify any errors in the Appraisals concerning land use designations and land planning elements, including roads and proposed roads;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prospective purchasers that Property B may have been required for road purposes if it was rezoned;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speculating on road locations.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Surrey had on previous occasions issued Development Variance Permits affecting downstream infrastructure servicing of the Properties in violation of the Local Government Act and denied that land use and density provisions in the Official Community Plan were applicable to the Properties.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Surrey breached a fiduciary duty owed to the Plaintiff as an owner that the Local Area Plan and land uses were properly represented and communicated.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Surrey breached a duty in failing to remove public use encumbrances on the Properties.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Surrey breached a duty to the Plaintiff or interfered in his economic affairs by disseminating false information, failing to update city databases, issuing a Development Variance Permit which did not comply with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and denying that alternate land use designations were applicable to the properties for valuation purposes.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Surrey caused financial losses by: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exercise a standard and duty of care;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trust;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duties and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Schlesiger is also suing the Public Guardian and Trustee ("PGT"), who represented the interests of his sister, Luzie Bouwman, who had an interest in the said lands. Mr. Schlesiger pleads that the PGT's conduct in dealings with him were wrongful and caused him damage. As set out in the PGT's Notice of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the PGT pertaining to the PGT's conduct of sale of the Properties appears to consist of the following allegations: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Updated Appraisal was of a limited scope, improperly carried out and not a requirement to conduct the sale (paragraph 1, Part 1 of the Amended Notice of Civil Claim);</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PGT delivered the Appraisal Report to the City of Surrey without the consent of the owners and the appraisal contained privileged and confidential information as to the 2nd Property (paragraph 2, Part 1 of the Amended Notice of Civil Claim);</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appraiser opined a higher value for the 2nd Property than contained in the report if the land was sold separately and the PGT did not disclose this information (paragraph 3, Part 1 of the Amended Notice of Civil Claim);</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PGT received information from the Realtor that the City's representations of a road on the 2nd Property was adversely affecting the lands and that the 2nd Property would be appraised higher if the City purchased the 1st Property for parkland; (paragraph 9, Part 1 of the Amended Notice of Civil Claim) and did not provide that information to the Court;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PGT owed him a duty to verify land uses and detrimental encumbrances after receiving the information from the Realtor (paragraph 1, Part 3 of the Amended Notice of Civil Claim);</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PGT did not have right to deliver appraisal report to the City of Surrey (paragraph 1, Part 3 of the Amended Notice of Civil Claim);</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PGT "owed him a duty to inform him of the time limitation" which pertains to proceedings against the municipality (paragraph 3, Part 3 of the Amended Notice of Civil Claim), and;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incurred legal fees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conducting the sale, failure to disclose information and breaching the standard and duty of care they owed" (paragraph 6, of Part 2 of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Schlesiger is also suing all the defendants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applications before me are as follows: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PGT seeks the dismissal of the action against it pursuant to Rule 9-7;</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Surrey seeks the dismissal of the action against it pursuant to Rule 9-7; or alternatively, that portions of the action be struck;</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Schlesiger seeks an adjournment of the summary dismissal applications until the City of Surrey produces its list of documents. He also seeks four weeks to review the documents provided by the solicitors of Clark Wilson. He also seeks leave to amend his pleadings. He did not provide a draft amendments in his materials, but during the hearing upon my request provided a version of the amendments which he wished to include. These amendments would have the effect of adding Ms. Wright as a defendant. Mr. Schlesiger asks the court to determine the rightful ownership and state of title of the 10604 Property to determine the allocations of liabilities including associated income taxes; that Luzie Bouwman be permitted by the court to provide testimony; to permit Ms. Bouwman to recover the income tax records as she filed on behalf of her son, S. Antony Bouwman from Canada Revenue Agency; that Ms. Wright, and the PGT be required to provide evidence and proof of payment with respect to their tax obligations regarding the 10604 Property;</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Krista Wright seeks an order that the plaintiff's application against her be dismissed as vexatious; that the plaintiff be prohibited from instituting legal proceedings in this court against her without leave of the court; and special costs of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relation to the application of Ms. Wright to have the application against her dismissed, her application is granted. After a contested hearing on December 3, 2013, Mr. Justice Davies dismissed the claims of Mr. Schlesiger against his sister in this action. The order was entered December 9, 2013. I am told that the basis of the order was that the events that were the basis of the claim against Ms. Wright took place in the 1990s and that the matters were now outside of the limitation period. Any further attempts for relief against Ms. Wright in this proceeding are barred by the said order. The principle of cause of action estoppel and the doctrine against collateral attack apply here to bar Mr. Schlesiger from any attempt to re-commence litigation against Ms. Wright in this action. See: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Erschbamer v. Wallster</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2013 BCCA 76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Moreover, it is apparent that any complaint that Mr. Schlesiger has against Ms. Wright with respect to the land was settled in the earlier proceeding regarding their mother's estate, which has the Registry File No. S080112 (the "S080112 proceeding"). The settlement and distribution of the proceeds from the sale of the said properties were approved by Davies J. on January 13, 2012. The order was entered on January 23, 2012. The amount of proceeds from the sale of the properties was $830,680.99. Ms. Bouwman, via the PGT, was to be paid out her share of approximately $255,000 with $40,000 held back to pay for obtaining a clearance certificate. The balance of the sale proceeds, $587,400.67, was held in trust pending a final determination as to disbursements as between Ms. Wright and Mr. Schlesiger. Also, there was to be no pay out pending resolution of the issues concerning a tax clearance certificate between the parties. If resolution cannot be achieved on those issues, then the matter will need to be resolved by the court in that proceeding, not this one. I add, as well, that on October 30, 2009, Madam Justice Ballance, in ordering the sale of the 10604 Property added a term that she was seized of issues regarding the payment of taxes arising from the sale of the said property. Her order obviously reinforces the conclusion that the question of ownership, and more specifically, the tax implications arising therefrom, rest in that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was also advised during the hearing that Mr. Schlesiger has appealed to the Tax Court of Canada his challenge of an assessment of Revenue Canada in respect to the 10612 Property. Mr. Schlesiger has not disclosed the information regarding this appeal to the parties in either this action or the earlier referred to action and is directed to provide such information to Ms. Wright and the PGT.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result, the complaints which Mr. Schlesiger pointed out in this proceeding were addressed or are to be addressed in the S080112 proceeding. Mr. Schlesiger having been actively involved in that action with representation cannot be said to have been unaware of the orders that resulted out of that proceeding. Accordingly, Mr. Schlesiger is barred from any attempt to litigate those matters in this action, against Ms. Wright or any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the hearing before me, Mr. Schlesinger made reference to Ms. Bouwman's son having an interest in one of the properties and that this warranted the granting of the order regarding ownership. Ms. Bouwman also spoke in support of Mr. Schlesinger's application. Her son who is in his thirties addressed the court and advised that he was only present to be a support for his mother and that he was not seeking any relief in relation to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Wright is awarded costs on Scale B as a result. I decline to order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do not see the need at this point to find Mr. Schlesiger a vexatious litigant and to make orders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now turn to the applications of the PGT and the City of Surrey to dismiss the claims against them. Mr. Schlesiger argues that these applications ought to be heard once he has had a chance to examine the list of documents of the City as well as those from Clark Wilson. Mr. Schlesiger, I am told, has had the Clark Wilson documents for about one month. He has yet to receive the documents of the City. The list of documents of the PGT was provided to Mr. Schlesiger some time ago in early January 2014. It is the position of the PGT and the City that their applications should go forward as the reasons for a delay by Mr. Schlesiger are unnecessary for the applications to go forward and the proposed amendments of Mr. Schlesiger are already reflected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key arguments in the PGT application are that the claims are barred by issue estoppel and cause of action estoppel and, alternatively, that the pleadings disclose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key arguments in the City of Surrey application are similar to that of the PGT in that the City argues the doctrine of abuse of process is a bar to action, as Mr. Schlesiger seeks to revisit matters that have already been before this court or could have been brought to the court for consideration in the previous action. The City also argues that it owed no fiduciary duty to the plaintiff and that it owed no duty of care to the plaintiff. The City also submits that as far as the pleadings discloses the tort of misfeasance in public office that there the facts do not support the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it would be appropriate for Mr. Schlesiger to have the four weeks he seeks to review the documents from Clark Wilson. I also am of the view that the City and the PGT's applications for summary trial should be heard together as they cover similar ground. However, Mr. Schlesiger should have the benefit of the City's list of documents in advance and the ability to review the disclosure. A date for hearing should be set to accommodate this period of review. While the arguments of both the PGT and the City are persuasive in regard to moving the matter forward now, the summary trial rules permit the court to order further steps to be taken, if it is found necessary for the making of a proper determination on the merits. To avoid unnecessary delay at that stage, it is my view that prudence dictates the approach I have set out. Accordingly, the summary trial applications of the PGT and the City of Surrey are adjourned, and a date for the hearing of those applications should be set within a time period that accords with this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Simpson v. Koenigsberg, [2018] B.C.J. No. 551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Crossin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S1711574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551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499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Kari Simpson, Plaintiff, and Mary Marvyn Koenigsberg, The Right Honourable Chief Justice Beverly McLachlin The Office of the Chief Justice of the Supreme Court of Canada, the Office of the Chief Administrator for the Courts and the Office of the Chairperson for the Canadian Judicial Council, The Office of the Chief Justice of the British Columbia Supreme Court, The Attorney General of Canada and Minister of Justice, Attorney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jc w:val="both"/>
        <w:rPr>
          <w:rFonts w:ascii="arial" w:eastAsia="arial" w:hAnsi="arial" w:cs="arial"/>
          <w:sz w:val="20"/>
          <w:lang w:val="en-US" w:eastAsia="en-US" w:bidi="ar-SA"/>
        </w:rPr>
      </w:pPr>
      <w:bookmarkStart w:id="49" w:name="Counsel_12"/>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Kari Simpson: Appearing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Attorney General of Canada: S. Rezapour, D. Nygard.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Attorney General of British Columbia: R.G. Payne.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0" w:name="Judgment_12"/>
      <w:bookmarkEnd w:id="50"/>
      <w:r>
        <w:pict>
          <v:line id="_x0000_s1074" style="position:absolute;z-index:251726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1" w:name="CROSSIN J. (orally)"/>
            <w:bookmarkEnd w:id="51"/>
            <w:r>
              <w:rPr>
                <w:rFonts w:ascii="arial" w:eastAsia="arial" w:hAnsi="arial" w:cs="arial"/>
                <w:b/>
                <w:color w:val="000000"/>
                <w:sz w:val="30"/>
                <w:lang w:val="en-US" w:eastAsia="en-US" w:bidi="ar-SA"/>
              </w:rPr>
              <w:t>CROSSIN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There are two applications before the court, both brought pursuant to Rule 9-5(1)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Attorney General of British Columbia ("AGBC") seeks an order that the claim be struck as against Mary Marvyn Koenigsberg, "The Office of the Chief Justice of the British Columbia Supreme Court", and the AGBC.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Attorney General of Canada ("AGC") brings an identical application seeking an order that the claim be struck as against all parties not the subject matter of the application of the AGBC.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Rule 9-5(1) reads as follows: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primary, but not exclusive position of both applicants is the notice of civil claim should be struck, and dismissed, as disclosing no reasonable claim, and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content of the claim recites a series of complaints by Ms. Simpson concerning the results of a lawsuit heard and resolved by the courts many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Very briefly, in or around 2003, the plaintiff came to the view she had been defamed by a radio talk show host in Vancouver, British Columbia. The plaintiff sued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or around 2004, the trial judge, Madam Justice Koenigsberg, dismissed the action. The reasons of the learned trial judge rested on the application of the defence of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or about 2006, the British Columbia Court of Appeal unanimously allowed the plaintiff's appeal. The court found the trial judge had erred in the application of that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June 27, 2008, the Supreme Court of Canada allowed the appeal, essentially reinstating the result at trial. In allowing the appeal, the Supreme Court of Canada revisited the nature of the defence of fair comment. It appears to be common ground in the landscape of defamation law that the court modified the Canadian approach to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notice of civil claim now before the court raises a litany of accusations of wrongdoing in relation to the proceedings connected to that defamation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 claim primarily aimed at Madam Justice Koenigsberg, the late Chief Justice Brenner (captured under the nomenclature of "the Office of the Chief Justice of the Supreme Court of British Columbia"); and the Right Honourable Chief Justice Beverly McLachlin.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will not recite the allegations in the particular. The notice of civil claim consists of 101 paragraphs unfolding over 26 pages. The allegations however, can be distilled against these primary targets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alleged Madam Justice Koenigsberg was unfit to sit as the trial judge in the plaintiff's defamation action and, in addition, issued reasons that contained false and defamatory statements concerning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claim against the Office of the Chief Justice of the Supreme Court of British Columbia alleges various acts of misfeasance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failure of the late Chief Justice Brenner to recognize and remedy what the plaintiff alleges to be the shortcomings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allegations against the former Chief Justice of Canada are multipronged, and sound in misfeasance, abuse of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Firstly, the plaintiff complains that the former Chief Justice, in her statutory role as Chair of the Canadian Judicial Council, failed to cause the trial judge to be investigated and sanctioned.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the plaintiff alleges that the Supreme Court of Canada deprived the plaintiff of a fair hearing when the court rendered a decision modifying the test for the defence of fair comment; and in so doing violated her constitutional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an adjunct to this allegation, the plaintiff says that costs were awarded against her in the Supreme Court of Canada. The plaintiff alleges that the former Chief Justice allowed the imposition of costs in that matter in order to silence the plaintiff because of the plaintiff's political and philosophical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Finally, the plaintiff alleges the former Chief Justice improperly allowed an unqualified justice to sit on the hearing of the appeal in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to be immediately recognized that the allegations are directed at judges performing their duties and obligations as judges within the context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these allegations trigger the principle of judicial immunity. Judicial immunity is a fundamental principle that anchors one of our great pillars of the rule of law; namely that of judicial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principle was succinctly stated by the court in </w:t>
      </w:r>
      <w:r>
        <w:rPr>
          <w:rFonts w:ascii="arial" w:eastAsia="arial" w:hAnsi="arial" w:cs="arial"/>
          <w:i/>
          <w:color w:val="000000"/>
          <w:sz w:val="20"/>
          <w:lang w:val="en-US" w:eastAsia="en-US" w:bidi="ar-SA"/>
        </w:rPr>
        <w:t>Prefontaine v. Gosman</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(2000), 270 AR 97</w:t>
        </w:r>
      </w:hyperlink>
      <w:r>
        <w:rPr>
          <w:rFonts w:ascii="arial" w:eastAsia="arial" w:hAnsi="arial" w:cs="arial"/>
          <w:color w:val="000000"/>
          <w:sz w:val="20"/>
          <w:lang w:val="en-US" w:eastAsia="en-US" w:bidi="ar-SA"/>
        </w:rPr>
        <w:t>,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principle of the independence of the judiciary is enshrined in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very foundation for ensuring that those who sit in judgment will be able to do so impartially and objectively. Society itself demands it. Independence of the judiciary is most often thought of in terms of the judiciary not being subject to being swayed by the state, in modern times being the executive branch of the government. However the principle is wider than that, and ensures that the hand of justice will not be swayed by anyone, be it state or citizen. The inability to impeach a judge's decision by attacking the judges in an action against him for that decision falls under the umbrella of the independence of the judiciary. Even if it did not, the principle of there being no cause of action against a judge for what he does in the course of his judicial duties is a necessary handmaiden to the principle of the independence of the judiciary.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my conclusion, based upon this principle, the claims as pled against the named judges could not possibly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and in any event, on the face of the pleadings the allegations are completely baseless. There are no material facts pled that remotely support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also claims against the Attorney General of Canada and the Minister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Minister of Justice is not named as an individual in the claim and indeed there are no allegations against the present Minister of Justice, or any Minister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law is quite clear that a claim of this sort cannot survive unless a Crown servant is named in their personal capacity (see: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R.S.C. 1985, c. C-50, s. 23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Charkaoui v. Canada</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2012 QCCS 3526</w:t>
        </w:r>
      </w:hyperlink>
      <w:r>
        <w:rPr>
          <w:rFonts w:ascii="arial" w:eastAsia="arial" w:hAnsi="arial" w:cs="arial"/>
          <w:color w:val="000000"/>
          <w:sz w:val="20"/>
          <w:lang w:val="en-US" w:eastAsia="en-US" w:bidi="ar-SA"/>
        </w:rPr>
        <w:t xml:space="preserve"> at paras. 40-44). In addition there is no reasonable claim raised on the face of the pleadings against the Minister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claim is struck as against the Minister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are a bundle of allegations asserted against the AGC. The gravamen of the claims against the AGC rests on the alleged failure of duty to remedy the very complaints made by the plaintiff about the conduct of the trial judge, the conduct of the Office of the Chief Justice of British Columbia, and the conduct of the former Chief Justice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These claims against the AGC cannot succeed. The law recognizes no such duty; nor should it. To suggest in this context the State has a supervisory role in relation to the judicial branch is without legal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claim against the Attorney General of British Columbia appears to be founded upon the allegation that liability should be imposed on the Attorney General of the day, or perhaps the government of the day, for failing to cause an inquiry to be struck into the alleged conduct of the trial judge. This allegation does not give rise to a cause of action known to law. It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Finally, in addition to the Office of the Chief Justice of the British Columbia Supreme Court, the plaintiff names the Office of the Chief Justice of the Supreme Court of Canada, the Office of the Chief Administrator for the Courts, and the Office of the Chairperson for the Canadian Judicial Council. These are not legal entities. These claims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pleadings disclose no reasonable claim against any named defendant, whether such claim attempts to rest on the common law or alleged breaches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seeks certain relief listed in para. 91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requests a panoply of remedies itemized in paras. 91(a) through (e). The relief sought in these paragraphs are not available as a matter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addition, paragraphs 91(f) to (l) seeks an array of damages arising from the allegations. Given my findings that there is no reasonable claim to be discerned from the pleadings, it is obvious the claim cannot give rise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also conclude the proceeding at bar amounts to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claim as a whole, in essence, seeks to either re-litigate matters decided in the defamation action and/or attack the integrity of the decision makers in relation to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Abuse of process is not limited to cases where a claim or an issue has already been decided in other litigation, but it is a flexible doctrine applied by the court to values fundamental to the court system. Canadian courts have applied the doctrine of abuse of process to preclude re-litigation in circumstances where the strict requirements of issue estoppel are not met, but where allowing the litigation to proceed would nonetheless violate such principles as judicial economy, consistency, finality and integrity of the administration of justice. See </w:t>
      </w:r>
      <w:r>
        <w:rPr>
          <w:rFonts w:ascii="arial" w:eastAsia="arial" w:hAnsi="arial" w:cs="arial"/>
          <w:i/>
          <w:color w:val="000000"/>
          <w:sz w:val="20"/>
          <w:lang w:val="en-US" w:eastAsia="en-US" w:bidi="ar-SA"/>
        </w:rPr>
        <w:t>The Owners, Strata Plan LMS3259 v. Sze Hang Holding Inc.</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2009 BCSC 473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the circumstances at bar fit squarely within this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Access to our courts is a fundamental right of the people of British Columbia. That right is all the more acute in circumstances where our citizens require access without the assistance of counsel. The doors of this building must never be closed to the self-represented. Judges must do everything possible to assist and facilitate access to justice; no matter how vague or uncertain a just cause may initially appear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all due respect, however, this is not one of those cases. To suggest otherwise does a disservice to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For all of the above reasons, the claim is struck in its entirety, and is dismissed, with costs to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Simpson has expressed that she is readily accessible to communicate with counsel in this matter, and as such she should have the opportunity to approve the order as drafted by counsel. In the event no approval by Ms. Simpson is forthcoming by 4:00 p.m., February 28, 2018, the applicants have leave to submit the order for endorsement without the necessity of Ms. Simpson's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Those are my reasons. Is there anything arising from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KARI SIMPSON: Will you be providing written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No, but you can order the reasons if you wish.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KARI SIMPSON: Well, I intend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NYGARD: My Lord, I just -- clarification on the costs. You said costs were awarded to the applicants. We had requested a lump sum value. Is that -- was that your intention or just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COURT: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NYGARD: -- regular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COURT: Just Scale B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NYGARD: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CROSSIN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Singh v. Bains, [2008] B.C.J. No. 1196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 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 April 11 and May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S050256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1196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823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Karamjeet Kour Singh also known as Karamjeet Kour Waters, Plaintiff, and Joginder Singh Bains also known as Giani Joginder Singh Bains, and Darshan Kaur Bains,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spacing w:line="260" w:lineRule="atLeast"/>
        <w:jc w:val="both"/>
        <w:rPr>
          <w:rFonts w:ascii="arial" w:eastAsia="arial" w:hAnsi="arial" w:cs="arial"/>
          <w:sz w:val="20"/>
          <w:lang w:val="en-US" w:eastAsia="en-US" w:bidi="ar-SA"/>
        </w:rPr>
      </w:pPr>
      <w:bookmarkStart w:id="52" w:name="Cases Cited"/>
      <w:bookmarkEnd w:id="52"/>
      <w:r>
        <w:rPr>
          <w:rFonts w:ascii="arial" w:eastAsia="arial" w:hAnsi="arial" w:cs="arial"/>
          <w:sz w:val="20"/>
          <w:lang w:val="en-US" w:eastAsia="en-US" w:bidi="ar-SA"/>
        </w:rPr>
        <w:br/>
      </w:r>
      <w:r>
        <w:rPr>
          <w:rFonts w:ascii="arial" w:eastAsia="arial" w:hAnsi="arial" w:cs="arial"/>
          <w:color w:val="000000"/>
          <w:sz w:val="20"/>
          <w:lang w:val="en-US" w:eastAsia="en-US" w:bidi="ar-SA"/>
        </w:rPr>
        <w:t>Authorities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Yeo v. Carver</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Hill v. Church of Scientology of Toronto</w:t>
      </w:r>
      <w:r>
        <w:rPr>
          <w:rFonts w:ascii="arial" w:eastAsia="arial" w:hAnsi="arial" w:cs="arial"/>
          <w:color w:val="000000"/>
          <w:sz w:val="20"/>
          <w:lang w:val="en-US" w:eastAsia="en-US" w:bidi="ar-SA"/>
        </w:rPr>
        <w:t>, [1995] 2 S.C.R. 1130.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C.H. v. British Columbia</w:t>
      </w:r>
      <w:r>
        <w:rPr>
          <w:rFonts w:ascii="arial" w:eastAsia="arial" w:hAnsi="arial" w:cs="arial"/>
          <w:color w:val="000000"/>
          <w:sz w:val="20"/>
          <w:lang w:val="en-US" w:eastAsia="en-US" w:bidi="ar-SA"/>
        </w:rPr>
        <w:t xml:space="preserve"> (2003), 16 B.C.L.R. (4th) 113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 v. Critchley</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L.T. v. R.W.T.</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(1997), 36 B.C.L.R. (3d) 165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M.M. v. R.F.</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(1997), 52 B.C.L.R. (3d) 127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L.B. v. W.M.</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2003 BCSC 261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Young v. Bella</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[2006] 1 S.C.R. 108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T.O. v. J.H.O.</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(2006), 266 D.L.R. (4th) 209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Jacobi v. Griffiths</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[1999] 2 S.C.R. 570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P.D. v. Allen</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[2004] O.J. No. 3042</w:t>
        </w:r>
      </w:hyperlink>
      <w:r>
        <w:rPr>
          <w:rFonts w:ascii="arial" w:eastAsia="arial" w:hAnsi="arial" w:cs="arial"/>
          <w:color w:val="000000"/>
          <w:sz w:val="20"/>
          <w:lang w:val="en-US" w:eastAsia="en-US" w:bidi="ar-SA"/>
        </w:rPr>
        <w:t xml:space="preserve"> (QL) (Ont.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Whiten v. Pilot Insurance Co.</w:t>
      </w:r>
      <w:r>
        <w:rPr>
          <w:rFonts w:ascii="arial" w:eastAsia="arial" w:hAnsi="arial" w:cs="arial"/>
          <w:color w:val="000000"/>
          <w:sz w:val="20"/>
          <w:lang w:val="en-US" w:eastAsia="en-US" w:bidi="ar-SA"/>
        </w:rPr>
        <w:t>, [2002] 1 S.C.R. 595.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Vorvis v. Insurance Corp. of British Columbia</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K.S. v. J.P.H.</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2004 BCSC 769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Brooks v. British Columbia</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2000 BCSC 735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xml:space="preserve"> (1998), 51 B.C.L.R. (3d) 1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K.K. v. K.W.G.</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(2006), 40 C.C.L.T. (3d) 139</w:t>
        </w:r>
      </w:hyperlink>
      <w:r>
        <w:rPr>
          <w:rFonts w:ascii="arial" w:eastAsia="arial" w:hAnsi="arial" w:cs="arial"/>
          <w:color w:val="000000"/>
          <w:sz w:val="20"/>
          <w:lang w:val="en-US" w:eastAsia="en-US" w:bidi="ar-SA"/>
        </w:rPr>
        <w:t xml:space="preserve"> (Ont.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D.H. v. L.J.H.</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[1997] B.C.J. No. 2724</w:t>
        </w:r>
      </w:hyperlink>
      <w:r>
        <w:rPr>
          <w:rFonts w:ascii="arial" w:eastAsia="arial" w:hAnsi="arial" w:cs="arial"/>
          <w:color w:val="000000"/>
          <w:sz w:val="20"/>
          <w:lang w:val="en-US" w:eastAsia="en-US" w:bidi="ar-SA"/>
        </w:rPr>
        <w:t>, (17 November 1997), Victoria 93-0759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Beaudry v. Hackett</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[1991] B.C.J. No. 3940</w:t>
        </w:r>
      </w:hyperlink>
      <w:r>
        <w:rPr>
          <w:rFonts w:ascii="arial" w:eastAsia="arial" w:hAnsi="arial" w:cs="arial"/>
          <w:color w:val="000000"/>
          <w:sz w:val="20"/>
          <w:lang w:val="en-US" w:eastAsia="en-US" w:bidi="ar-SA"/>
        </w:rPr>
        <w:t xml:space="preserve"> (28 June 1991), Vancouver C903202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Mustaji v. Tjin</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[1996] B.C.J. No. 1376</w:t>
        </w:r>
      </w:hyperlink>
      <w:r>
        <w:rPr>
          <w:rFonts w:ascii="arial" w:eastAsia="arial" w:hAnsi="arial" w:cs="arial"/>
          <w:color w:val="000000"/>
          <w:sz w:val="20"/>
          <w:lang w:val="en-US" w:eastAsia="en-US" w:bidi="ar-SA"/>
        </w:rPr>
        <w:t xml:space="preserve"> (June 21, 1996), Vancouver CA019954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Osborne v. Harper</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2005 BCSC 1202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P.B. v. R.V.E.</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2007 BCSC 1568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M.R. v. British Columbia</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2002 BCSC 1557</w:t>
        </w:r>
      </w:hyperlink>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(2005), 41 B.C.L.R. (4th) 91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(2001), 93 B.C.L.R. (3d) 228</w:t>
        </w:r>
      </w:hyperlink>
      <w:r>
        <w:rPr>
          <w:rFonts w:ascii="arial" w:eastAsia="arial" w:hAnsi="arial" w:cs="arial"/>
          <w:color w:val="000000"/>
          <w:sz w:val="20"/>
          <w:lang w:val="en-US" w:eastAsia="en-US" w:bidi="ar-SA"/>
        </w:rPr>
        <w:t xml:space="preserve"> (S.C.), </w:t>
      </w:r>
      <w:hyperlink r:id="rId302" w:history="1">
        <w:r>
          <w:rPr>
            <w:rFonts w:ascii="arial" w:eastAsia="arial" w:hAnsi="arial" w:cs="arial"/>
            <w:i/>
            <w:color w:val="0077CC"/>
            <w:sz w:val="20"/>
            <w:u w:val="single"/>
            <w:shd w:val="clear" w:color="auto" w:fill="FFFFFF"/>
            <w:lang w:val="en-US" w:eastAsia="en-US" w:bidi="ar-SA"/>
          </w:rPr>
          <w:t>(2003) 21 B.C.L.R. (4th) 1</w:t>
        </w:r>
      </w:hyperlink>
      <w:r>
        <w:rPr>
          <w:rFonts w:ascii="arial" w:eastAsia="arial" w:hAnsi="arial" w:cs="arial"/>
          <w:color w:val="000000"/>
          <w:sz w:val="20"/>
          <w:lang w:val="en-US" w:eastAsia="en-US" w:bidi="ar-SA"/>
        </w:rPr>
        <w:t xml:space="preserve"> (C.A.), </w:t>
      </w:r>
      <w:hyperlink r:id="rId303"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xml:space="preserve"> (2001), 87 B.C.L.R. (3d) 52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B.M.G. v. Nova Scotia (Attorney General)</w:t>
      </w:r>
      <w:r>
        <w:rPr>
          <w:rFonts w:ascii="arial" w:eastAsia="arial" w:hAnsi="arial" w:cs="arial"/>
          <w:color w:val="000000"/>
          <w:sz w:val="20"/>
          <w:lang w:val="en-US" w:eastAsia="en-US" w:bidi="ar-SA"/>
        </w:rPr>
        <w:t>, 2007 NSCA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D.H. (Guardian ad litem of) v. British Columbia</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2008 BCCA 222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Doe v. Metropolitan Toronto (Municipality) Commissioners of Police</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(1998), 39 O.R. (3d) 487</w:t>
        </w:r>
      </w:hyperlink>
      <w:r>
        <w:rPr>
          <w:rFonts w:ascii="arial" w:eastAsia="arial" w:hAnsi="arial" w:cs="arial"/>
          <w:color w:val="000000"/>
          <w:sz w:val="20"/>
          <w:lang w:val="en-US" w:eastAsia="en-US" w:bidi="ar-SA"/>
        </w:rPr>
        <w:t xml:space="preserve"> (Ont. Ct. J.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J.S. v. Clement</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22 O.R. (3d) 495</w:t>
        </w:r>
      </w:hyperlink>
      <w:r>
        <w:rPr>
          <w:rFonts w:ascii="arial" w:eastAsia="arial" w:hAnsi="arial" w:cs="arial"/>
          <w:color w:val="000000"/>
          <w:sz w:val="20"/>
          <w:lang w:val="en-US" w:eastAsia="en-US" w:bidi="ar-SA"/>
        </w:rPr>
        <w:t xml:space="preserve"> (Ont. Ct. J. (Gen. Div.)).</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3" w:name="Counsel_13"/>
      <w:bookmarkEnd w:id="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Frederick Easton, Faith E. Hayman.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 Jack Harris, Q.C., Bernie S. Buettner.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4" w:name="Judgment_13"/>
      <w:bookmarkEnd w:id="54"/>
      <w:r>
        <w:pict>
          <v:line id="_x0000_s1077" style="position:absolute;z-index:251727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5" w:name="N.E. MORRISON J."/>
            <w:bookmarkEnd w:id="55"/>
            <w:r>
              <w:rPr>
                <w:rFonts w:ascii="arial" w:eastAsia="arial" w:hAnsi="arial" w:cs="arial"/>
                <w:b/>
                <w:color w:val="000000"/>
                <w:sz w:val="30"/>
                <w:lang w:val="en-US" w:eastAsia="en-US" w:bidi="ar-SA"/>
              </w:rPr>
              <w:t>N.E. 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case involving allegations of sexual assaults on the plaintiff, Karamjeet Kour Singh, now known as Vicki Waters, against the defendants, her aunt and uncle, Giani Joginder Singh Bains and Darshan Kaur Bains. In a judgment of October 5, 2007, following a nine day trial ending September 27, 2007, the defendants were found liable. (</w:t>
      </w:r>
      <w:r>
        <w:rPr>
          <w:rFonts w:ascii="arial" w:eastAsia="arial" w:hAnsi="arial" w:cs="arial"/>
          <w:b/>
          <w:i/>
          <w:color w:val="000000"/>
          <w:sz w:val="20"/>
          <w:lang w:val="en-US" w:eastAsia="en-US" w:bidi="ar-SA"/>
        </w:rPr>
        <w:t>Waters v. Bains</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2007 BCSC 1500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now 50, alleged years of sexual assaults by Joginder Singh Bains, commencing in 1966, when the plaintiff was eight years of age, continuing until she was 18 years old. The judgment found that the actions of sexual and other abuse over a period of ten years by Joginder Singh Bains caused grievous harm to the plaintiff; he is liable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was also a finding of liability against the plaintiff's aunt, Darshan Kaur Bains, as she took no reasonable steps to prevent or stop the sexual abuse. The plaintiff had told her at an early stage on two occasions of her husband's abuse. Further, the female defendant collaborated with the plaintiff's grandmother to have an IUD inserted into the plaintiff as a 12 or 13 year old child at the onset of her puberty. The inference was drawn that the female defendant knew of the sexual abuse, and she wanted to ensure there would be no pregnancy or discovery of ongoing abuse. Both defendants breached their duty of care to the infant plaintiff, their niece.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end of the trial, counsel for the plaintiff asked to make submissions on damages following any finding on liability. Those submissions have now been made by counsel. An application by counsel for the plaintiff to introduce further evidence with regard to damages was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Against Joginder Singh Bains, the plaintiff seeks general damages for sexual assault, including an aggregated portion in aggravated damages with a component for breach of fiduciary duty. In addition, punitive damages are sought. Against Darshan Kaur Bains, the plaintiff seeks equitable compensation for breach of fiduciary duty, general and aggravated damages as well as punitive damages. By way of special damages, the plaintiff also seeks compensation for loss of income, cost of future care and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Relying on the B.C. Court of Appeal decision in </w:t>
      </w:r>
      <w:r>
        <w:rPr>
          <w:rFonts w:ascii="arial" w:eastAsia="arial" w:hAnsi="arial" w:cs="arial"/>
          <w:b/>
          <w:i/>
          <w:color w:val="000000"/>
          <w:sz w:val="20"/>
          <w:lang w:val="en-US" w:eastAsia="en-US" w:bidi="ar-SA"/>
        </w:rPr>
        <w:t>Yeo v. Carver</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counsel for the plaintiff suggests that non-pecuniary damages of $250,000 awarded in 1996 would be the equivalent in today's dollar of an award closer to $350,000. Placed in evidence from the Bank of Canada website was the calculation of what a "basket" of goods of $250,000 in 1996 would amount to in 2008. That figure was $318,079.10. The percent change was 27.23.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Yeo</w:t>
      </w:r>
      <w:r>
        <w:rPr>
          <w:rFonts w:ascii="arial" w:eastAsia="arial" w:hAnsi="arial" w:cs="arial"/>
          <w:color w:val="000000"/>
          <w:sz w:val="20"/>
          <w:lang w:val="en-US" w:eastAsia="en-US" w:bidi="ar-SA"/>
        </w:rPr>
        <w:t>, a young girl had been sexually assaulted by her stepfather when she was between the ages of 7 and 14. There had been no sexual intercourse, but there had been digital penetration, and continuous other humiliating sexual abuses. The psychological effects of the sexual abuse were part of the claim. In the trial judge's charge to the jury, he suggested that the defendant had "stripped the plaintiff of her sexual innocence."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that 1996 case, the jury awarded $350,000 non-pecuniary general and aggravated damages and $250,000 in punitive damages. The Court of Appeal reduced the non-pecuniary damages to $250,000 and the punitive damages to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Court of Appeal in </w:t>
      </w:r>
      <w:r>
        <w:rPr>
          <w:rFonts w:ascii="arial" w:eastAsia="arial" w:hAnsi="arial" w:cs="arial"/>
          <w:b/>
          <w:i/>
          <w:color w:val="000000"/>
          <w:sz w:val="20"/>
          <w:lang w:val="en-US" w:eastAsia="en-US" w:bidi="ar-SA"/>
        </w:rPr>
        <w:t>Yeo</w:t>
      </w:r>
      <w:r>
        <w:rPr>
          <w:rFonts w:ascii="arial" w:eastAsia="arial" w:hAnsi="arial" w:cs="arial"/>
          <w:color w:val="000000"/>
          <w:sz w:val="20"/>
          <w:lang w:val="en-US" w:eastAsia="en-US" w:bidi="ar-SA"/>
        </w:rPr>
        <w:t xml:space="preserve"> stated that the policy reasons which gave rise to the cap in the trilogy cases involving motor vehicle accident claims would not be applicable in this case of sexual assault. Sexual assault cases are intentional towards an individual, involving criminal behaviour; the public purse is not involved, as it is in catastrophic motor vehicle injury cases, where large insurance premiums and serious social burdens are implicated.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At paragraph 31 of the </w:t>
      </w:r>
      <w:r>
        <w:rPr>
          <w:rFonts w:ascii="arial" w:eastAsia="arial" w:hAnsi="arial" w:cs="arial"/>
          <w:b/>
          <w:i/>
          <w:color w:val="000000"/>
          <w:sz w:val="20"/>
          <w:lang w:val="en-US" w:eastAsia="en-US" w:bidi="ar-SA"/>
        </w:rPr>
        <w:t>Yeo</w:t>
      </w:r>
      <w:r>
        <w:rPr>
          <w:rFonts w:ascii="arial" w:eastAsia="arial" w:hAnsi="arial" w:cs="arial"/>
          <w:color w:val="000000"/>
          <w:sz w:val="20"/>
          <w:lang w:val="en-US" w:eastAsia="en-US" w:bidi="ar-SA"/>
        </w:rPr>
        <w:t xml:space="preserve"> decision, the court stated, "Judges, juries and appellate courts are in a position to decide what is fair and reasonable to both parties according to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court found that the defendant had deprived the plaintiff of her childhood, and had inflicted pain and fear "in a most callous, disgusting and reprehensible way." (Paragraph 34(c))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paragraph 35 of the decision, the court ruled that general damages should take into account any aggravating features. That aggravated damages would not be a separate head of damages, but rather, part of general, non-pecuniary damages. The court found in that case there were significant aggravating circumstances, including breach of duty, the number of assaults, the age of the young plaintiff, the duration of the assaults, the coercion and threats, and the lack of remorse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court had this to say in </w:t>
      </w:r>
      <w:r>
        <w:rPr>
          <w:rFonts w:ascii="arial" w:eastAsia="arial" w:hAnsi="arial" w:cs="arial"/>
          <w:b/>
          <w:i/>
          <w:color w:val="000000"/>
          <w:sz w:val="20"/>
          <w:lang w:val="en-US" w:eastAsia="en-US" w:bidi="ar-SA"/>
        </w:rPr>
        <w:t>Yeo</w:t>
      </w:r>
      <w:r>
        <w:rPr>
          <w:rFonts w:ascii="arial" w:eastAsia="arial" w:hAnsi="arial" w:cs="arial"/>
          <w:color w:val="000000"/>
          <w:sz w:val="20"/>
          <w:lang w:val="en-US" w:eastAsia="en-US" w:bidi="ar-SA"/>
        </w:rPr>
        <w:t xml:space="preserve"> at paragraph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fair and reasonable compensation for general damages, including aggravated damages, in this case is not easy to say. </w:t>
      </w:r>
      <w:r>
        <w:rPr>
          <w:rFonts w:ascii="arial" w:eastAsia="arial" w:hAnsi="arial" w:cs="arial"/>
          <w:color w:val="000000"/>
          <w:sz w:val="20"/>
          <w:u w:val="single"/>
          <w:lang w:val="en-US" w:eastAsia="en-US" w:bidi="ar-SA"/>
        </w:rPr>
        <w:t>This is an evolving area of the law. We are just beginning to understand the horrendous impact of sexual abuse</w:t>
      </w:r>
      <w:r>
        <w:rPr>
          <w:rFonts w:ascii="arial" w:eastAsia="arial" w:hAnsi="arial" w:cs="arial"/>
          <w:color w:val="000000"/>
          <w:sz w:val="20"/>
          <w:lang w:val="en-US" w:eastAsia="en-US" w:bidi="ar-SA"/>
        </w:rPr>
        <w:t>. To assess damages for the psychological impact of sexual abuse on a particular person is like trying to estimate the depth of the ocean by looking at the surface of the water. The possible consequences of such abuse presently are not capable of critical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support of the claim for punitive damages, the plaintiff suggests the reduced award of $50,000 in the </w:t>
      </w:r>
      <w:r>
        <w:rPr>
          <w:rFonts w:ascii="arial" w:eastAsia="arial" w:hAnsi="arial" w:cs="arial"/>
          <w:b/>
          <w:i/>
          <w:color w:val="000000"/>
          <w:sz w:val="20"/>
          <w:lang w:val="en-US" w:eastAsia="en-US" w:bidi="ar-SA"/>
        </w:rPr>
        <w:t>Yeo</w:t>
      </w:r>
      <w:r>
        <w:rPr>
          <w:rFonts w:ascii="arial" w:eastAsia="arial" w:hAnsi="arial" w:cs="arial"/>
          <w:color w:val="000000"/>
          <w:sz w:val="20"/>
          <w:lang w:val="en-US" w:eastAsia="en-US" w:bidi="ar-SA"/>
        </w:rPr>
        <w:t xml:space="preserve"> case would be approximately $80,000 today. Counsel for the plaintiff suggests $100,000 as an appropriate amount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further argues that the fact situation in this case details more egregious behaviour by both defendants than in the </w:t>
      </w:r>
      <w:r>
        <w:rPr>
          <w:rFonts w:ascii="arial" w:eastAsia="arial" w:hAnsi="arial" w:cs="arial"/>
          <w:b/>
          <w:i/>
          <w:color w:val="000000"/>
          <w:sz w:val="20"/>
          <w:lang w:val="en-US" w:eastAsia="en-US" w:bidi="ar-SA"/>
        </w:rPr>
        <w:t>Yeo</w:t>
      </w:r>
      <w:r>
        <w:rPr>
          <w:rFonts w:ascii="arial" w:eastAsia="arial" w:hAnsi="arial" w:cs="arial"/>
          <w:color w:val="000000"/>
          <w:sz w:val="20"/>
          <w:lang w:val="en-US" w:eastAsia="en-US" w:bidi="ar-SA"/>
        </w:rPr>
        <w:t xml:space="preserve"> case. This plaintiff was an eight or nine year old child living in a new and hostile home, that of her paternal grandmother, after the plaintiff's mother died suddenly in a motor vehicle accident. Joginder Singh Bains instilled fear in Vicki Waters from the beginning of her contact with him. Fondling, physical assaults and domination quickly progressed to sexual assaults, including vaginal and anal rape, beginning when she was still a prepubescent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These assaults, physical and sexual, continued until the plaintiff was 18. She was also forced into oral sex repeatedly, at different locations on her grandmother's farm or the defendants' farm, four miles away. She was threatened by each defendant separately not to say anything; that she could lose contact with her father and younger brother if she did not maintain her silence.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she tried to tell her aunt, the female defendant, that she needed protection from her uncle, and did not want to be left alone with him, her aunt not only refused to help, but cautioned her not to speak of it. Later, the aunt and the grandmother took Vicki to their doctor to have an IUD inserted in the plaintiff when she was 12 or 13 years of age. The young plaintiff had no idea what was being done to her in the family physician's office. She found out only after her marriage that she had an IUD, when the dated and defective IUD was discovered and had to be surgically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Since the </w:t>
      </w:r>
      <w:r>
        <w:rPr>
          <w:rFonts w:ascii="arial" w:eastAsia="arial" w:hAnsi="arial" w:cs="arial"/>
          <w:b/>
          <w:i/>
          <w:color w:val="000000"/>
          <w:sz w:val="20"/>
          <w:lang w:val="en-US" w:eastAsia="en-US" w:bidi="ar-SA"/>
        </w:rPr>
        <w:t>Yeo</w:t>
      </w:r>
      <w:r>
        <w:rPr>
          <w:rFonts w:ascii="arial" w:eastAsia="arial" w:hAnsi="arial" w:cs="arial"/>
          <w:color w:val="000000"/>
          <w:sz w:val="20"/>
          <w:lang w:val="en-US" w:eastAsia="en-US" w:bidi="ar-SA"/>
        </w:rPr>
        <w:t xml:space="preserve"> case in 1996, damages for sexual assault cases such as this have remained low, according to the plaintiff. There seems to have been a range of $100,000 to $175,000 for combined general and aggravated damages. A number of cases were cited by counsel, including </w:t>
      </w:r>
      <w:r>
        <w:rPr>
          <w:rFonts w:ascii="arial" w:eastAsia="arial" w:hAnsi="arial" w:cs="arial"/>
          <w:b/>
          <w:i/>
          <w:color w:val="000000"/>
          <w:sz w:val="20"/>
          <w:lang w:val="en-US" w:eastAsia="en-US" w:bidi="ar-SA"/>
        </w:rPr>
        <w:t>C.H. v. British Columbia</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 2003 decision of Mr. Justice Owen-Flood. In </w:t>
      </w:r>
      <w:r>
        <w:rPr>
          <w:rFonts w:ascii="arial" w:eastAsia="arial" w:hAnsi="arial" w:cs="arial"/>
          <w:b/>
          <w:i/>
          <w:color w:val="000000"/>
          <w:sz w:val="20"/>
          <w:lang w:val="en-US" w:eastAsia="en-US" w:bidi="ar-SA"/>
        </w:rPr>
        <w:t>C.H.</w:t>
      </w:r>
      <w:r>
        <w:rPr>
          <w:rFonts w:ascii="arial" w:eastAsia="arial" w:hAnsi="arial" w:cs="arial"/>
          <w:color w:val="000000"/>
          <w:sz w:val="20"/>
          <w:lang w:val="en-US" w:eastAsia="en-US" w:bidi="ar-SA"/>
        </w:rPr>
        <w:t>, the plaintiff was sexually and physically assaulted by her father when she was 15 and 16 years of age. General damages were assessed at $135,000, which included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Other cases cited included </w:t>
      </w:r>
      <w:r>
        <w:rPr>
          <w:rFonts w:ascii="arial" w:eastAsia="arial" w:hAnsi="arial" w:cs="arial"/>
          <w:b/>
          <w:i/>
          <w:color w:val="000000"/>
          <w:sz w:val="20"/>
          <w:lang w:val="en-US" w:eastAsia="en-US" w:bidi="ar-SA"/>
        </w:rPr>
        <w:t>C.A. v. Critchley</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 1997 case where our Court of Appeal in 1998 confirmed general damages in the range of $50,000 to $75,000. The plaintiff's physical and sexual abuse was by a defendant who ran a group home for troubled youths for the Ministry of Human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L.T. v. R.W.T.</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 1997 case, the defendant father sexually fondled a prepubescent daughter, and the court found "devastating emotional effects", awarding $85,000 in general damages and $10,000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M.M. v. R.F.</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decided by our Court of Appeal, the sexual abuse of a foster child by a foster brother began when the little girl was four years old, until the age of 13. The defendant was 21 to 29 years old during that period. The trial judge had found that the plaintiff's life "was in total disarray". She suffered not only depression, but dropped out of school, began illicit drug use, alcohol abuse, self-mutilation and other devastating behaviour. Non-pecuniary and aggravated damages were assessed at $100,000, the trial judge having determined that the appropriate range was between $85,000 and $150,000. This was before the </w:t>
      </w:r>
      <w:r>
        <w:rPr>
          <w:rFonts w:ascii="arial" w:eastAsia="arial" w:hAnsi="arial" w:cs="arial"/>
          <w:b/>
          <w:i/>
          <w:color w:val="000000"/>
          <w:sz w:val="20"/>
          <w:lang w:val="en-US" w:eastAsia="en-US" w:bidi="ar-SA"/>
        </w:rPr>
        <w:t>Yeo</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Justice Donald, writing a minority decision, would have increased general damages to $200,000. However, in the majority award, Esson J.A. at paragraph 154 found that the award of $100,000 for general damages "was well within the range for similar cases." He stated it could be regarded as at the lower end, "but not as outside the range." He stated that the </w:t>
      </w:r>
      <w:r>
        <w:rPr>
          <w:rFonts w:ascii="arial" w:eastAsia="arial" w:hAnsi="arial" w:cs="arial"/>
          <w:b/>
          <w:i/>
          <w:color w:val="000000"/>
          <w:sz w:val="20"/>
          <w:lang w:val="en-US" w:eastAsia="en-US" w:bidi="ar-SA"/>
        </w:rPr>
        <w:t>Yeo</w:t>
      </w:r>
      <w:r>
        <w:rPr>
          <w:rFonts w:ascii="arial" w:eastAsia="arial" w:hAnsi="arial" w:cs="arial"/>
          <w:color w:val="000000"/>
          <w:sz w:val="20"/>
          <w:lang w:val="en-US" w:eastAsia="en-US" w:bidi="ar-SA"/>
        </w:rPr>
        <w:t xml:space="preserve"> case involved significant aggravating features which were not present in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Having regard for the </w:t>
      </w:r>
      <w:r>
        <w:rPr>
          <w:rFonts w:ascii="arial" w:eastAsia="arial" w:hAnsi="arial" w:cs="arial"/>
          <w:b/>
          <w:i/>
          <w:color w:val="000000"/>
          <w:sz w:val="20"/>
          <w:lang w:val="en-US" w:eastAsia="en-US" w:bidi="ar-SA"/>
        </w:rPr>
        <w:t>Yeo</w:t>
      </w:r>
      <w:r>
        <w:rPr>
          <w:rFonts w:ascii="arial" w:eastAsia="arial" w:hAnsi="arial" w:cs="arial"/>
          <w:color w:val="000000"/>
          <w:sz w:val="20"/>
          <w:lang w:val="en-US" w:eastAsia="en-US" w:bidi="ar-SA"/>
        </w:rPr>
        <w:t xml:space="preserve"> decision, in arguing that an award closer to $350,000 for general damages would be appropriate today, counsel for the plaintiff cites the </w:t>
      </w:r>
      <w:r>
        <w:rPr>
          <w:rFonts w:ascii="arial" w:eastAsia="arial" w:hAnsi="arial" w:cs="arial"/>
          <w:b/>
          <w:i/>
          <w:color w:val="000000"/>
          <w:sz w:val="20"/>
          <w:lang w:val="en-US" w:eastAsia="en-US" w:bidi="ar-SA"/>
        </w:rPr>
        <w:t>ter Neuzen v. Korn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case. That case recognized that it was appropriate to take into account the effect of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Of interest is counsel's reliance upon the </w:t>
      </w:r>
      <w:r>
        <w:rPr>
          <w:rFonts w:ascii="arial" w:eastAsia="arial" w:hAnsi="arial" w:cs="arial"/>
          <w:b/>
          <w:i/>
          <w:color w:val="000000"/>
          <w:sz w:val="20"/>
          <w:lang w:val="en-US" w:eastAsia="en-US" w:bidi="ar-SA"/>
        </w:rPr>
        <w:t>Hill v. Church of Scientology of Toronto</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decision in 1995 by the Supreme Court of Canada. That case dealt with defamation, not sexual assault. However, the issue of damages, general, aggravated and punitive, dominated. Hill was a Crown attorney who brought an action for damages for libel. The case drew much attention, and the interveners included the Attorney General for Ontario, the Canadian Civil Liberties Association, the Writers' Union of Canada, the Canadian Association of Journalists, the Canadian Daily Newspaper Association, the Canadian Association of Broadcasters, the Canadian Book Publishers' Council, and a number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General damages were awarded in the amount of $300,000, for aggravated, $500,000 and punitive, $800,000, for a total of $1,600,000. The Ontario Court of Appeal ruled that the awards for damages to Mr. Hill's reputation were justified. The Supreme Court of Canada did not interfere with the jury findings, even though the plaintiff had received several promotions and an appointment to the bench by the time of the final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the court first found that no cap should be placed on general damages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punitive damages, the court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196 </w:t>
      </w:r>
      <w:r>
        <w:rPr>
          <w:rFonts w:ascii="arial" w:eastAsia="arial" w:hAnsi="arial" w:cs="arial"/>
          <w:color w:val="000000"/>
          <w:sz w:val="20"/>
          <w:u w:val="single"/>
          <w:lang w:val="en-US" w:eastAsia="en-US" w:bidi="ar-SA"/>
        </w:rPr>
        <w:t>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w:t>
      </w:r>
      <w:r>
        <w:rPr>
          <w:rFonts w:ascii="arial" w:eastAsia="arial" w:hAnsi="arial" w:cs="arial"/>
          <w:color w:val="000000"/>
          <w:sz w:val="20"/>
          <w:lang w:val="en-US" w:eastAsia="en-US" w:bidi="ar-SA"/>
        </w:rPr>
        <w: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point made on behalf of the plaintiff in the present case is that the conduct of the defendants is egregious. The harmful and long term effects on the plaintiff have been devastating, and continue to be. The argument is that significant general damages should be awarded in a case of this type of sexual assault, as they were in a case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the plaintiff also referred to the </w:t>
      </w:r>
      <w:r>
        <w:rPr>
          <w:rFonts w:ascii="arial" w:eastAsia="arial" w:hAnsi="arial" w:cs="arial"/>
          <w:b/>
          <w:i/>
          <w:color w:val="000000"/>
          <w:sz w:val="20"/>
          <w:lang w:val="en-US" w:eastAsia="en-US" w:bidi="ar-SA"/>
        </w:rPr>
        <w:t>Young v. Bella</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case, where a student in the School of Social Work in Newfoundland was labelled as a suspected child sex abuser. The damage to her reputation was in issue. The Supreme Court of Canada, citing the medical and psychological evidence heard by the jury, agreed that in cases such as that, the court should begin to substantially increase the combined awards for general and punitive damages. The jury awarded $430,000 for general non-pecuniary damages, plus $314,000 for future loss of income, and other damages for a total of $839,400. The Supreme Court of Canada upheld the damages awarded by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Citing other authorities, counsel for the plaintiff argues that some of the factors that must be taken into consideration in assessing damages include the number and frequency of assaults, the nature of the sexual assaults, the age of the complainant, the age of the defendant, the vulnerability of the complainant, the relationship between the parties, whether force or violence were involved, the effect and consequences on the victim, the duration of the abuse, whether actual sexual penetration occurred, whether aggression, force and threats were used during the assaults, before or after, and whether the abuser was in a position of power, or had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argues that Joginder Singh Bains deserves a substantial penalty in the form of punitive damages. At the beginning of the sexual assaults on the plaintiff, he was 35 years old, married, with two small male children. He portrayed himself, and has been portrayed as an educated man, esteemed by his community and within his religion. He has the status of a "Giani", a position of privilege within the Sikh faith. He has never been held to account publicly for his actions. He has denied the assaults and shown no remorse.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Brownstein's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to the evidence of herself and other witnesses, as to proof of injury, the plaintiff points to the evidence of Dr. Brownstein, who gave his professional opinion on psychological damage. Dr. Brownstein's evidence went in by way of a five page report. His evidence was not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Brownstein is a psychiatrist who has been practising since 1984. He has a private practice and is also a consultant at the Mental Centre in Nelson, where the plaintiff resides. He received his training in psychoanalytic psychotherapy in 1983 from Toronto, and further specialty training in psychoanalytic psychotherapy in Seattle from 1984 until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His report states: "I have had extensive experience counselling women who have been victims of sexual abuse and also considerable experience counselling men who have been victims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Brownstein had a series of interviews with the plaintiff beginning May 4, 2007, May 30, June 4 and June 11, 2007. He also reviewed documents with regard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related to Dr. Brownstein her problems with anxiety, that she feels anxious and tense much of the time. That she is fidgety, jumpy and hyper vigilant. That she is depressed, her mood is low, and she has low self-esteem. In addition, she feels ashamed and humiliated. She has difficulty trusting people, and this includes any authority figures, including her husband and even friends. She has trouble sleeping, and is plagued by nightmares of sexual abuse. She related impaired sexual functioning, stated that she does not enjoy sex, that she is afraid of it, it hurts, and she has never had an orgasm. She has had flashbacks of her uncle raping her when she had intercourse with her husband. That made her cry, and lash out at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have been no sexual relations in the plaintiff's marriage for the past 12 years or more. The plaintiff told Dr. Brownstein of marital difficulties, and difficulties with rearing her children. She is overprotective and fears her daughter will get into trouble. She also feels that the abuse she was subjected to impaired her ability to do well at school and prevented her from obtaining further education and consequently getting a better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Many of these problems were supported by evidence at trial, evidence from the plaintiff herself, her husband and from her friend Marilyn Dwornik.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interviews, Dr. Brownstein noted that the plaintiff cried frequently and apologized for crying. That she was restless, seemed sad, and said she felt ashamed and humiliated. He considered her intelligence at least average, possibly considerably above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His opinion was stated in the original judgment, but I will repeat it here, as it bears considerably on the issue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w:t>
      </w:r>
      <w:r>
        <w:rPr>
          <w:rFonts w:ascii="arial" w:eastAsia="arial" w:hAnsi="arial" w:cs="arial"/>
          <w:color w:val="000000"/>
          <w:sz w:val="20"/>
          <w:u w:val="single"/>
          <w:lang w:val="en-US" w:eastAsia="en-US" w:bidi="ar-SA"/>
        </w:rPr>
        <w:t>symptoms that Ms. Waters reports are entirely consistent with a history of sexual abuse such as she claims. Sexual abuse survivors regularly have difficulties with self-esteem, mood, and anxiety</w:t>
      </w:r>
      <w:r>
        <w:rPr>
          <w:rFonts w:ascii="arial" w:eastAsia="arial" w:hAnsi="arial" w:cs="arial"/>
          <w:color w:val="000000"/>
          <w:sz w:val="20"/>
          <w:lang w:val="en-US" w:eastAsia="en-US" w:bidi="ar-SA"/>
        </w:rPr>
        <w:t xml:space="preserve">. They frequently go through periods of, particularly in their adolescence, drug abuse, alcohol abuse, sexual promiscuity, and poor judgement in choosing sexual partners. </w:t>
      </w:r>
      <w:r>
        <w:rPr>
          <w:rFonts w:ascii="arial" w:eastAsia="arial" w:hAnsi="arial" w:cs="arial"/>
          <w:color w:val="000000"/>
          <w:sz w:val="20"/>
          <w:u w:val="single"/>
          <w:lang w:val="en-US" w:eastAsia="en-US" w:bidi="ar-SA"/>
        </w:rPr>
        <w:t>Frequently their sexual functioning later on as adults is impaired</w:t>
      </w:r>
      <w:r>
        <w:rPr>
          <w:rFonts w:ascii="arial" w:eastAsia="arial" w:hAnsi="arial" w:cs="arial"/>
          <w:color w:val="000000"/>
          <w:sz w:val="20"/>
          <w:lang w:val="en-US" w:eastAsia="en-US" w:bidi="ar-SA"/>
        </w:rPr>
        <w:t xml:space="preserve">. They have difficulty enjoying sex, find it painful, have difficulty having orgasms. Another feature that is consistent with a history of sexual abuse is the phenomena known as </w:t>
      </w:r>
      <w:r>
        <w:rPr>
          <w:rFonts w:ascii="arial" w:eastAsia="arial" w:hAnsi="arial" w:cs="arial"/>
          <w:color w:val="000000"/>
          <w:sz w:val="20"/>
          <w:u w:val="single"/>
          <w:lang w:val="en-US" w:eastAsia="en-US" w:bidi="ar-SA"/>
        </w:rPr>
        <w:t>flashbacks</w:t>
      </w:r>
      <w:r>
        <w:rPr>
          <w:rFonts w:ascii="arial" w:eastAsia="arial" w:hAnsi="arial" w:cs="arial"/>
          <w:color w:val="000000"/>
          <w:sz w:val="20"/>
          <w:lang w:val="en-US" w:eastAsia="en-US" w:bidi="ar-SA"/>
        </w:rPr>
        <w:t xml:space="preserve"> in which the individual re-experiences an original event when triggered by things that remind them of this. An example from Ms. Waters story would be the flashbacks of her uncle's sexual abuse when she is having sexual intercourse with her husband. Understandably, this would pose some difficulties in their sexual and marital relationship. </w:t>
      </w:r>
      <w:r>
        <w:rPr>
          <w:rFonts w:ascii="arial" w:eastAsia="arial" w:hAnsi="arial" w:cs="arial"/>
          <w:color w:val="000000"/>
          <w:sz w:val="20"/>
          <w:u w:val="single"/>
          <w:lang w:val="en-US" w:eastAsia="en-US" w:bidi="ar-SA"/>
        </w:rPr>
        <w:t>Other features of Ms. Waters' story that are certainly consistent with a history of sexual abuse are her feelings of shame, humiliation, self-blame, and doubt</w:t>
      </w:r>
      <w:r>
        <w:rPr>
          <w:rFonts w:ascii="arial" w:eastAsia="arial" w:hAnsi="arial" w:cs="arial"/>
          <w:color w:val="000000"/>
          <w:sz w:val="20"/>
          <w:lang w:val="en-US" w:eastAsia="en-US" w:bidi="ar-SA"/>
        </w:rPr>
        <w:t xml:space="preserve">. These features often keep the victim from speaking about the abuse that they have suffered or from standing up for themselves in the hopes of gaining some sort of justice. </w:t>
      </w:r>
      <w:r>
        <w:rPr>
          <w:rFonts w:ascii="arial" w:eastAsia="arial" w:hAnsi="arial" w:cs="arial"/>
          <w:color w:val="000000"/>
          <w:sz w:val="20"/>
          <w:u w:val="single"/>
          <w:lang w:val="en-US" w:eastAsia="en-US" w:bidi="ar-SA"/>
        </w:rPr>
        <w:t>Prolonged and repeated sexual abuse impairs the individual's sense of identity, sense of being a powerful agent in the world</w:t>
      </w:r>
      <w:r>
        <w:rPr>
          <w:rFonts w:ascii="arial" w:eastAsia="arial" w:hAnsi="arial" w:cs="arial"/>
          <w:color w:val="000000"/>
          <w:sz w:val="20"/>
          <w:lang w:val="en-US" w:eastAsia="en-US" w:bidi="ar-SA"/>
        </w:rPr>
        <w:t xml:space="preserve"> and being able to trust things to run their natural course. This frequently impairs the individual's academic and occupational functioning and these claims are consistent with those of Ms. Waters. Ms. Waters' </w:t>
      </w:r>
      <w:r>
        <w:rPr>
          <w:rFonts w:ascii="arial" w:eastAsia="arial" w:hAnsi="arial" w:cs="arial"/>
          <w:color w:val="000000"/>
          <w:sz w:val="20"/>
          <w:u w:val="single"/>
          <w:lang w:val="en-US" w:eastAsia="en-US" w:bidi="ar-SA"/>
        </w:rPr>
        <w:t>quality of life has been severely affected and her day to day functioning is impaired by anxiety, depression, hypervigilance, nightmares, marital difficulties, relationship difficulties, and academic and occupational achievements</w:t>
      </w:r>
      <w:r>
        <w:rPr>
          <w:rFonts w:ascii="arial" w:eastAsia="arial" w:hAnsi="arial" w:cs="arial"/>
          <w:color w:val="000000"/>
          <w:sz w:val="20"/>
          <w:lang w:val="en-US" w:eastAsia="en-US" w:bidi="ar-SA"/>
        </w:rPr>
        <w:t xml:space="preserve"> that could be less than would be expected had these events not occurred. Ms. Waters has been able to raise two children and is very proud of them. She has maintained her marriage, though with great conflict and a lot of unhappiness. Occupationally, she has not achieved very much and I understand is currently on a disability. She has certainly had some pleasure in her life, specifically raising her children, but other pleasures have largely escaped her and </w:t>
      </w:r>
      <w:r>
        <w:rPr>
          <w:rFonts w:ascii="arial" w:eastAsia="arial" w:hAnsi="arial" w:cs="arial"/>
          <w:color w:val="000000"/>
          <w:sz w:val="20"/>
          <w:u w:val="single"/>
          <w:lang w:val="en-US" w:eastAsia="en-US" w:bidi="ar-SA"/>
        </w:rPr>
        <w:t>she lives with a daily level of distress that I would rate as moderate to severe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defence chose not to cross-examine Dr. Brownstein on his report, and I accept his report without qualification.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with Regard to Injuries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her own evidence at trial, the plaintiff stated that her suffering from depression was as a result "of all this stuff." In talking about her distress, she testified that after telling someone that something was going on, "and no one believing me or helping me, I took everything that somebody said as a threat reality." She further stated that she felt betrayed, and that people had let her down. She does not trust easily. She feels used, and ashamed. She also felt she did not have a family unit that embraced her, so that she always feels alone, without an extended family. The plaintiff suffers from some physical ailments including irritable bowel syndrome, chronic fatigue, and a sense of achiness and tiredness all over. She said "that's stress, and it's traumatizing."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plaintiff points out that the school records indicate the plaintiff missed many days in most school years, that she did fail some courses, and in one report was classified as being capable of being a "domestic".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Further Authorities Cited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support of the argument for damages for breach of fiduciary duty, the plaintiff cited </w:t>
      </w:r>
      <w:r>
        <w:rPr>
          <w:rFonts w:ascii="arial" w:eastAsia="arial" w:hAnsi="arial" w:cs="arial"/>
          <w:b/>
          <w:i/>
          <w:color w:val="000000"/>
          <w:sz w:val="20"/>
          <w:lang w:val="en-US" w:eastAsia="en-US" w:bidi="ar-SA"/>
        </w:rPr>
        <w:t>K.L.B. v. British Columbia</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Norberg v. Wynrib</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Norberg</w:t>
      </w:r>
      <w:r>
        <w:rPr>
          <w:rFonts w:ascii="arial" w:eastAsia="arial" w:hAnsi="arial" w:cs="arial"/>
          <w:color w:val="000000"/>
          <w:sz w:val="20"/>
          <w:lang w:val="en-US" w:eastAsia="en-US" w:bidi="ar-SA"/>
        </w:rPr>
        <w:t xml:space="preserve"> was a Supreme Court of Canada case in 1992. A doctor had propositioned sex for drug treatment, knowing that the plaintiff was addicted to prescription drugs. There were several instances of fondling and simulated intercourse over a period of one year. Confirming this was a tort of battery, the Supreme Court of Canada found that a fiduciary duty had been breached. There was inequality between the two persons, and the plaintiff was vulnerable, addicted as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Norberg</w:t>
      </w:r>
      <w:r>
        <w:rPr>
          <w:rFonts w:ascii="arial" w:eastAsia="arial" w:hAnsi="arial" w:cs="arial"/>
          <w:color w:val="000000"/>
          <w:sz w:val="20"/>
          <w:lang w:val="en-US" w:eastAsia="en-US" w:bidi="ar-SA"/>
        </w:rPr>
        <w:t>, finding that battery is actionable without proof of damage, the court stated liability should not be confined to foreseeable consequences. Aggravated damages could be awarded if the battery occurred in humiliating or undignified circumstances. General and aggravated damages would be awarded as one, with general damages being assessed after taking into account any aggravating features of the case. In which event, general damages would be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On the issue of damages for loss of income and loss of opportunity, the plaintiff concedes there was no direct evidence led at trial with regard to loss of earning capacity. However, counsel cited the case of </w:t>
      </w:r>
      <w:r>
        <w:rPr>
          <w:rFonts w:ascii="arial" w:eastAsia="arial" w:hAnsi="arial" w:cs="arial"/>
          <w:b/>
          <w:i/>
          <w:color w:val="000000"/>
          <w:sz w:val="20"/>
          <w:lang w:val="en-US" w:eastAsia="en-US" w:bidi="ar-SA"/>
        </w:rPr>
        <w:t>K.K. v. K.W.G.</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where the court concluded that the claim for lost income "defies calculation" (paragraph 83). In that case, from age 10 to 17, the father abused his daughter. The abuse consisted of everything except actual sexual intercourse, and occurred nightly. The daughter was suing her mother, who it was contended must have known. There was evidence with regard to economic loss, and also evidence with regard to what future earning capacity might be, both with and without a high school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spite of concerns about the sufficiency of evidence relating to the economic loss of the plaintiff, the court in </w:t>
      </w:r>
      <w:r>
        <w:rPr>
          <w:rFonts w:ascii="arial" w:eastAsia="arial" w:hAnsi="arial" w:cs="arial"/>
          <w:b/>
          <w:i/>
          <w:color w:val="000000"/>
          <w:sz w:val="20"/>
          <w:lang w:val="en-US" w:eastAsia="en-US" w:bidi="ar-SA"/>
        </w:rPr>
        <w:t>K.K.</w:t>
      </w:r>
      <w:r>
        <w:rPr>
          <w:rFonts w:ascii="arial" w:eastAsia="arial" w:hAnsi="arial" w:cs="arial"/>
          <w:color w:val="000000"/>
          <w:sz w:val="20"/>
          <w:lang w:val="en-US" w:eastAsia="en-US" w:bidi="ar-SA"/>
        </w:rPr>
        <w:t xml:space="preserve"> found that the abuse diminished the plaintiff's effectiveness at school and in the workplace, and "impeded her ability to achieve her full potential" (paragraph 84). In stating that the claim defied precision in quantification, the court said the loss was significant and awarded $100,000 for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D.H. v. L.J.H.</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 decision of Mr. Justice Leggatt in 1997, the court awarded general damages in the amount of $150,000 and damages for past and future economic loss at $100,000. The plaintiff, between the ages of 4 and 10, was subjected to beatings by her mother, brothers and stepfather that amounted to torture. There was also sexual abuse by the stepfather. There was no medical evidence, and no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Punitive damages were not awarded because the defendants had been convicted and jailed for the crimes.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at paragraph 20, Mr. Justice Leggatt found, "... it is not difficult to find that this abuse has had a dramatic and damaging effect on the plaintiff and will likely continue to have an effect on the plaintiff for the rest of her life." He continued at paragraph 25, "I also find the plaintiff has suffered, and likely will in the future suffer, some interference with her ability (to) earn an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Counsel for this plaintiff argues there is sufficient evidence here to make an award for income loss in the circumstances of this case. That even in those cases where expert evidence has been tendered, the finding of such loss can only be made approximately.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to the cost of future care, future counselling should be provided for, according to the plaintiff. The plaintiff requests an award of $10,000 for costs of future care, for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submits there should be a separate award of damages for the female defendant, Darshan Kaur Bains, for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assault. The breach of duty occurred when Darshan Kaur Bains did nothing when the abuse was reported to her by the young plaintiff. She was a party to the continuing assaults then by her husband; and a separate assault was made by her on the person of the child when the IUD was inserted. Damages for both aggravated and punitive should be awarded as well, according to 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Citing the cases of </w:t>
      </w:r>
      <w:r>
        <w:rPr>
          <w:rFonts w:ascii="arial" w:eastAsia="arial" w:hAnsi="arial" w:cs="arial"/>
          <w:b/>
          <w:i/>
          <w:color w:val="000000"/>
          <w:sz w:val="20"/>
          <w:lang w:val="en-US" w:eastAsia="en-US" w:bidi="ar-SA"/>
        </w:rPr>
        <w:t>Mustaji v. Tjin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Osborne v. Harper</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counsel for the plaintiff points to punitive damages in the amount of $175,000 awarded in </w:t>
      </w:r>
      <w:r>
        <w:rPr>
          <w:rFonts w:ascii="arial" w:eastAsia="arial" w:hAnsi="arial" w:cs="arial"/>
          <w:b/>
          <w:i/>
          <w:color w:val="000000"/>
          <w:sz w:val="20"/>
          <w:lang w:val="en-US" w:eastAsia="en-US" w:bidi="ar-SA"/>
        </w:rPr>
        <w:t>Mustaji</w:t>
      </w:r>
      <w:r>
        <w:rPr>
          <w:rFonts w:ascii="arial" w:eastAsia="arial" w:hAnsi="arial" w:cs="arial"/>
          <w:color w:val="000000"/>
          <w:sz w:val="20"/>
          <w:lang w:val="en-US" w:eastAsia="en-US" w:bidi="ar-SA"/>
        </w:rPr>
        <w:t xml:space="preserve">. In the 1996 </w:t>
      </w:r>
      <w:r>
        <w:rPr>
          <w:rFonts w:ascii="arial" w:eastAsia="arial" w:hAnsi="arial" w:cs="arial"/>
          <w:b/>
          <w:i/>
          <w:color w:val="000000"/>
          <w:sz w:val="20"/>
          <w:lang w:val="en-US" w:eastAsia="en-US" w:bidi="ar-SA"/>
        </w:rPr>
        <w:t>Mustaji</w:t>
      </w:r>
      <w:r>
        <w:rPr>
          <w:rFonts w:ascii="arial" w:eastAsia="arial" w:hAnsi="arial" w:cs="arial"/>
          <w:color w:val="000000"/>
          <w:sz w:val="20"/>
          <w:lang w:val="en-US" w:eastAsia="en-US" w:bidi="ar-SA"/>
        </w:rPr>
        <w:t xml:space="preserve"> case, an immigrant nanny was held isolated by her employers, and subjected to working conditions close to slave labour. The jury awarded $175,000 in punitive damages. The Court of Appeal was not persuaded that the jury made perverse findings of fact in awarding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Osborne v. Harper</w:t>
      </w:r>
      <w:r>
        <w:rPr>
          <w:rFonts w:ascii="arial" w:eastAsia="arial" w:hAnsi="arial" w:cs="arial"/>
          <w:color w:val="000000"/>
          <w:sz w:val="20"/>
          <w:lang w:val="en-US" w:eastAsia="en-US" w:bidi="ar-SA"/>
        </w:rPr>
        <w:t xml:space="preserve"> case dealt with the issue of prejudgment interest on punitive damages. Interest was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Finally, the plaintiff seeks special costs; in the alternative, costs on a higher scale as set out in the Rules of Court. Because the allegations were over 40 years old, the plaintiff argues that witnesses were difficult to contact, the search for medical records caused problems, and extensive travel was required by the plaintiff and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defence concedes that an award for general damages should include an award for aggravated damages in the circumstances of the case. But an award of $50,000 is appropriate for the plaintiff's non-pecuniary damages, and a further award of $20,000 in aggravated damages. There should be no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insufficient proof that the plaintiff has suffered any chronic psychological or physical injuries which can be causally related to the abuse committed by the male defendant, according to the defence. It is contended that Dr. Brownstein's report does not diagnose the plaintiff as suffering from any psychological condition, nor does he causally relate the plaintiff's subjective complainants of psychological problems to the abuse committed by the defendant. The plaintiff has had other traumatic events and illnesses in her life, and unless there is expert opinion evidence on the issue of causation, counsel for the defence contends the plaintiff has not proven that her subjective complaints of psychological problems are causally related to the abuse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the defence points to the evidence that the plaintiff did well at school, was steadily employed, had normal relationships, and has had a stable family life while raising two "excellent" children. Any damages should compensate her for the acute trauma of the actual assaults, but not for any subsequent chronic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defence contends at no time did Dr. Brownstein diagnose the plaintiff as suffering from any chronic psychological condition. His report does not give an expert opinion that the plaintiff could properly be diagnosed with psychological problems as claimed, including depression. His report recites hearsay evidence given to him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Does the plaintiff suffer from alcohol abuse? Dr. Brownstein's report states that the plaintiff had blackouts and missed work, due to her use of alcohol. The plaintiff denied blackouts at the trial, and did not testify that her use of alcohol ever caused her to miss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defence denies that there was evidence at trial that the plaintiff suffered from anxiety, depression, sleep difficulties, impaired sexual functioning, marital difficulties, difficulty with childrearing, or impairment in academic and occupational functioning. While there may have been some evidence, the defence contends that the evidence falls short of demonstrating problems in any of these areas. The defence points to the fact that immediately after leaving high school the plaintiff was able to secure employment. She moved to another job to obtain better pay, with no period of unemployment. She has been off work and in receipt of disability benefits since 1989 as a result of her chronic fibromyalgia. She has other physical and chronic problems. But the evidence does not support a causal connection between psychological and physical injuries or conditions and the abuse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Dr. Brownstein does state that the plaintiff's symptoms are consistent with a history of sexual abuse, the defence says that it cannot be said that such a correlation implies causation. There is no such opinion by Dr. Brownstein.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defence also notes that there was abuse of the plaintiff by three other men, two common law relationships which were emotionally and physically abusive, and beginning at the age of 14, sexual abuse by the plaintiff's young uncle. The plaintiff recently sued that uncle for sexual abuse, and reached a settlement in a separate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recent Supreme Court of Canada case of </w:t>
      </w:r>
      <w:r>
        <w:rPr>
          <w:rFonts w:ascii="arial" w:eastAsia="arial" w:hAnsi="arial" w:cs="arial"/>
          <w:b/>
          <w:i/>
          <w:color w:val="000000"/>
          <w:sz w:val="20"/>
          <w:lang w:val="en-US" w:eastAsia="en-US" w:bidi="ar-SA"/>
        </w:rPr>
        <w:t>Resurfice Corp. v. Hanke</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was cited. The defence contends that the basic test for causation remains the "but for" test, even in cases where there are multiple potential causes for the alleged harm. The plaintiff has failed to discharge the onus on her to establish that "but for" the abuse of the defendants, and more particularly the male defendant, she would not have suffered the psychological disorders or injuries of which she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Further, the defence argues many of the plaintiff's symptoms could reasonably be related to the other problems and experiences that she has had in her life after the sexual abuse by the defendant, or could be related to her physical ailments, which have not been caused by the defendant. The plaintiff's chronic fatigue or fibromyalgia could well factor into these, rather than the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short, the plaintiff has failed to prove that she has any chronic psychological injuries. Alternatively, if the court finds that there are these psychological problems, the evidence falls short of demonstrating that the conduct of the defendants caused such problems. Thus the plaintiff's non-pecuniary general damages would be limited to reflect only the trauma of the assaults that occurred prior to her leaving the farm at the age of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M.R. v. British Columbia</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 foster child was sexually assaulted by her foster father when she was between the ages of 9 and 16. The abuse included fondling, oral sex and intercourse. She was also raped on several occasions by another foster child. Mr. Justice Lander awarded $50,000 in non-pecuniary damages and denied a claim for aggravated damages. He also said there was insufficient evidence that she would require counselling, so there were no future care costs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defendants' point is that unlike the plaintiff in the </w:t>
      </w:r>
      <w:r>
        <w:rPr>
          <w:rFonts w:ascii="arial" w:eastAsia="arial" w:hAnsi="arial" w:cs="arial"/>
          <w:b/>
          <w:i/>
          <w:color w:val="000000"/>
          <w:sz w:val="20"/>
          <w:lang w:val="en-US" w:eastAsia="en-US" w:bidi="ar-SA"/>
        </w:rPr>
        <w:t>M.R.</w:t>
      </w:r>
      <w:r>
        <w:rPr>
          <w:rFonts w:ascii="arial" w:eastAsia="arial" w:hAnsi="arial" w:cs="arial"/>
          <w:color w:val="000000"/>
          <w:sz w:val="20"/>
          <w:lang w:val="en-US" w:eastAsia="en-US" w:bidi="ar-SA"/>
        </w:rPr>
        <w:t xml:space="preserve"> case, this plaintiff has not been able to offer proof that there is personality dysfunction of the kind referred to by the psychiatrist in </w:t>
      </w:r>
      <w:r>
        <w:rPr>
          <w:rFonts w:ascii="arial" w:eastAsia="arial" w:hAnsi="arial" w:cs="arial"/>
          <w:b/>
          <w:i/>
          <w:color w:val="000000"/>
          <w:sz w:val="20"/>
          <w:lang w:val="en-US" w:eastAsia="en-US" w:bidi="ar-SA"/>
        </w:rPr>
        <w:t>M.R.</w:t>
      </w:r>
      <w:r>
        <w:rPr>
          <w:rFonts w:ascii="arial" w:eastAsia="arial" w:hAnsi="arial" w:cs="arial"/>
          <w:color w:val="000000"/>
          <w:sz w:val="20"/>
          <w:lang w:val="en-US" w:eastAsia="en-US" w:bidi="ar-SA"/>
        </w:rPr>
        <w:t xml:space="preserve"> In that case, the court found that the plaintiff had dealt with her past extremely well. The defence claims that the plaintiff in this case has also done well, considering what she went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Addressing aggravated and punitive damages, the defence argues that there was a relative remoteness to the relationship between Joginder Singh Bains and the plaintiff. It was not a parent/child relationship, and according to the defence, this would mitigate against a larger award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Counsel cites the decision in </w:t>
      </w:r>
      <w:r>
        <w:rPr>
          <w:rFonts w:ascii="arial" w:eastAsia="arial" w:hAnsi="arial" w:cs="arial"/>
          <w:b/>
          <w:i/>
          <w:color w:val="000000"/>
          <w:sz w:val="20"/>
          <w:lang w:val="en-US" w:eastAsia="en-US" w:bidi="ar-SA"/>
        </w:rPr>
        <w:t>Blackwater v. Plint</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 B.C. case in 2001 that was affirmed by the Supreme Court of Canada in 2005. This was a residential school case where sexual abuse had occurred. The plaintiffs were terrified of the defendant Plint. Coming from a dysfunctional home, the plaintiff in question arrived at the residential school shortly before he was seven years of age. Beginning the following year, the plaintiff was physically and sexually abused repeatedly by the defendant. A lifetime pattern of violence followed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court found it was questionable as to whether that lifetime pattern of violence was directly connected to the experience of being sexually assaulted. This young boy was anally raped by the defendant over a period of three years, two or three times a week. At paragraph 505 of the judgment,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Dr. O'Shaughnessy's opinion that the frequency and severity of sexual abuse are relevant to the degree of psychological damage that would be expected to develop therefrom: the more frequent and severe the assaults, and the longer the duration of the assaults, the greater the psychiatric damage that would be indicated. Conversely the less frequent and less severe the assaults, the lesser the extent of psychological damage one would expect to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However, the court found there were inconsistencies between what Dr. O'Shaughnessy understood to be the facts and what was given in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 was awarded $125,000 in non-pecuniary damages plus $20,000 in aggravated damages. Punitive damages in the amount of $40,000 were awarded as well, plus $5,000 for future counselling. The defence contends that the plaintiff in this case was not in a true child/parent relationship with the defendants, similar to the situation in </w:t>
      </w:r>
      <w:r>
        <w:rPr>
          <w:rFonts w:ascii="arial" w:eastAsia="arial" w:hAnsi="arial" w:cs="arial"/>
          <w:b/>
          <w:i/>
          <w:color w:val="000000"/>
          <w:sz w:val="20"/>
          <w:lang w:val="en-US" w:eastAsia="en-US" w:bidi="ar-SA"/>
        </w:rPr>
        <w:t>Blackwater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Finally, in arguing against an award of punitive damages, the defence submits that the effect of a general damages award in the range of $70,000 against "individuals of modest means", such as the defendants, together with the condemnation of the community, is sufficient to achieve the goal of punishment and deterrence. No additional award of punitive damages should be granted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Other cases have been read and considered. A number of cases within the past several years have seen the courts comment on the devastating effects on a plaintiff who has been sexually assaulted. Regardless of whether the complainant is a child or an adult, male or female.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B.M.G. v. Nova Scotia (Attorney General)</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is a decision of the Nova Scotia Court of Appeal in 2007. A 13 year old boy was sexually assaulted four times by his probation officer. The assaults involved touching, anal and oral sex. General damages of $125,000 were awarded. The court found there was no basis for awarding punitive damages because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had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considering the amount of general and aggravated damages of $125,000, the court said the range would be $125,000 to $250,000. At paragraph 139 of that case,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court must identify the important characteristics of the case in order to define the types of cases that should be considered in establishing the range. The judge here looked to cases of severe and continuing abuse, often of a child by an adult in a position of trust and which caused or contributed to extended, ongoing negative effects on the victim. That, in my view, was the appropriate sort of case with which to compare this one. </w:t>
      </w:r>
      <w:r>
        <w:rPr>
          <w:rFonts w:ascii="arial" w:eastAsia="arial" w:hAnsi="arial" w:cs="arial"/>
          <w:color w:val="000000"/>
          <w:sz w:val="20"/>
          <w:u w:val="single"/>
          <w:lang w:val="en-US" w:eastAsia="en-US" w:bidi="ar-SA"/>
        </w:rPr>
        <w:t>The abuse here extended over a period of weeks, included anal rape, was committed by a probation officer on a child under his supervision and was found to have resulted in and to continue to contribute to a marked disturbance in B.M.G.'s life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B.M.G.</w:t>
      </w:r>
      <w:r>
        <w:rPr>
          <w:rFonts w:ascii="arial" w:eastAsia="arial" w:hAnsi="arial" w:cs="arial"/>
          <w:color w:val="000000"/>
          <w:sz w:val="20"/>
          <w:lang w:val="en-US" w:eastAsia="en-US" w:bidi="ar-SA"/>
        </w:rPr>
        <w:t>, dealing with non-pecuniary damages, the trial judge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impact of the ... assaults on BMG is impossible to measure with precision. In particular, the impact on a 14 year old child of being anally raped by a fully grown man defies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further aggravating factor would be the age difference, that is, a mature adult male versus a 14 year old child victim. The assaults in question were of relatively short duration but the nature of the assaults (especially the anal rape) is an obvious aggravating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paragraph 120 of the judgment, the court was of the view that they should take a functional approach to the assessment of non-pecuniary damages in cases of sexual battery. That would take into account the capacity of the award to provide solace to the victim, to vindicate the victim's physical autonomy and dignity, and to take account of the humiliating and degrading nature of the defendant's conduct. At paragraph 122 of the judgment, the court said that non-pecuniary damages were meant to provide some substitute for what has been lost, even though what has been lost "cannot be valued meaningfully in financial terms." Further, "In this lies the inherent difficulty of assessing non-pecuniary damages. Money is no meaningful substitute for the loss of such things as dignity, personal autonomy, self-esteem and self-confidence."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court stated that one function of non-pecuniary damages "is to demonstrate that those rights are deeply valued and have been vindicated." (paragraph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four assaults in </w:t>
      </w:r>
      <w:r>
        <w:rPr>
          <w:rFonts w:ascii="arial" w:eastAsia="arial" w:hAnsi="arial" w:cs="arial"/>
          <w:b/>
          <w:i/>
          <w:color w:val="000000"/>
          <w:sz w:val="20"/>
          <w:lang w:val="en-US" w:eastAsia="en-US" w:bidi="ar-SA"/>
        </w:rPr>
        <w:t>B.M.G.</w:t>
      </w:r>
      <w:r>
        <w:rPr>
          <w:rFonts w:ascii="arial" w:eastAsia="arial" w:hAnsi="arial" w:cs="arial"/>
          <w:color w:val="000000"/>
          <w:sz w:val="20"/>
          <w:lang w:val="en-US" w:eastAsia="en-US" w:bidi="ar-SA"/>
        </w:rPr>
        <w:t>, serious as they were, took place over a period of weeks; the young male plaintiff was 13; the defendant was his probation officer. The facts of this present case are obviously different. Here the plaintiff began suffering the abuse at a much younger age, for a period of ten years. Plus all the other relevant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There has also been a recent case from our Court of Appeal, decided after the Nova Scotia case was heard. </w:t>
      </w:r>
      <w:r>
        <w:rPr>
          <w:rFonts w:ascii="arial" w:eastAsia="arial" w:hAnsi="arial" w:cs="arial"/>
          <w:b/>
          <w:i/>
          <w:color w:val="000000"/>
          <w:sz w:val="20"/>
          <w:lang w:val="en-US" w:eastAsia="en-US" w:bidi="ar-SA"/>
        </w:rPr>
        <w:t>D.H. (Guardian ad litem of) v. British Columbia</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is a decision by Madam Justice Saunders. Here, sexual assault was ongoing for eight or nine months. The plaintiff was a young boy who was touched about ten times. At trial, general damages had been awarded in the amount of $100,000, plus cost of future care, $240,000 and loss of future income, $175,000. The court found no basis upon which to interfere with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Another case dealing with general damages in sexual assault circumstances is </w:t>
      </w:r>
      <w:r>
        <w:rPr>
          <w:rFonts w:ascii="arial" w:eastAsia="arial" w:hAnsi="arial" w:cs="arial"/>
          <w:b/>
          <w:i/>
          <w:color w:val="000000"/>
          <w:sz w:val="20"/>
          <w:lang w:val="en-US" w:eastAsia="en-US" w:bidi="ar-SA"/>
        </w:rPr>
        <w:t>Doe v. Metropolitan Toronto (Municipality) Commissioners of Police</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 decision of the Ontario Court, General Division, by Mr. Justice MacFarland in 1998. Jane Doe was raped by the notorious balcony rapist in Toronto. She subsequently sued the police for failure to warn women of the risk of a likely serial rapist in the area. She was awarded general damages of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pages 532 and 533, the court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Rape is unlike any other sort of injury incurred by accident or neglect. Survivors of rape must bear social stigmatization which accident victims do not. Rape is not about sex; it is about anger, it is about power and it is about control. It is, in the words of Dr. Peter Jaffe, "an overwhelming life event". It is a form of violence intended to create terror, to dominate, to control and to humiliate. It is an act of hostility and aggression. Forced sexual intercourse is inherently violent and profoundly degrading.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damage awards in the $40,000-50,000 range are reflective of neither the horrific nature of the violation nor of the overwhelming and all-encompassing consequences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an appropriate general damage award for Ms. Doe in all the circumstances of this case is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Prior to that, in 1995, Madam Justice Lang of the Ontario Court, General Division had this to say in a sexual assault case: </w:t>
      </w:r>
      <w:r>
        <w:rPr>
          <w:rFonts w:ascii="arial" w:eastAsia="arial" w:hAnsi="arial" w:cs="arial"/>
          <w:b/>
          <w:i/>
          <w:color w:val="000000"/>
          <w:sz w:val="20"/>
          <w:lang w:val="en-US" w:eastAsia="en-US" w:bidi="ar-SA"/>
        </w:rPr>
        <w:t>J.S. v. Clement</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page 520: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deliberate, hateful imposition of power and force by one human being against another in violation of one's being is something that cannot be rationalized by the victim, nor by society. A sexual assault, then, is no mere accident with physical and psychological consequences. By definition, a sexual assault deprives the victim of her dignity, her self-respect, her sense of self-confidence and leaves her fearful of places where she had previously found safety and solace. When that sexual assault is aggravated by acts of degradation, such as those inflicted upon Mrs. S., and where they are accompanied by a brutal beating inflicted in the sanctuary of one's home, the effect is devastating.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that case, an escaped prisoner had broken into the plaintiff's home, and brutally beaten and sexually assaulted her. General damages of $90,000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My view of the evidence differs from that of the defence. Dr. Brownstein's opinion is that the plaintiff's symptoms are "entirely consistent with a history of sexual abuse such as she claims." Also, her feelings of shame, humiliation, self-blame and doubt, plus her quality of life - all are consistent with her history of sexual abuse. That does imply causation. The decision on causation is for the court to make, not Dr. Brownstein. Causation is determined by considering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was suggested by the defence that Vicki Waters has been able to be a good mother, raising two children successfully. However, in testifying, Rodney Waters, the husband, stated, "but that's probably 90% thanks to me." He was a quiet witness who understated, not given to hyperbole or bragging. I found his evidence compelling and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Rodney Waters testified that his wife has many mood swings. She would not pay attention to what the kids have to say and had irrational fears about leaving their daughter with him. She seemed preoccupied, she was drinking, there were crying bouts; she would not want to go outside. He related a fairly recent occasion when she became "unglued". They were driving into Vancouver with the children and she saw her uncle, the male defendant, in a car. It took some time to get her calmed down. He said he just wanted his wife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accept the evidence of the plaintiff, her husband, Dr. Brownstein and Marilyn Dwornik on the continuing problems the plaintiff has had. They are chronic and serious. They fit the pattern of a victim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view, the plaintiff has suffered serious losses, and these are as a direct result of the ten years of sexual abuse that she suffered at the hands of the defendants. There have been no significant intervening factors such as rapes by other persons, or serious motor vehicle accidents, as we have seen in some of the other cases cited. But for the sexual assaults of the male defendant and the complicity and actions of the female defendant, this plaintiff would not be in the position where she now finds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problems are many. First and foremost, she has suffered a loss of innocence and the loss of a normal childhood and adolescence. She suffers from low self-esteem, is unusually tearful and apologetic, suffers serious mood swings, and feelings of anxiety and depression. She has a distrust of people, difficulties with sexual relations, and suffers from flashbacks to the male defendant's abuse when she has had sexual relations with her husband in the past. She has had problems with her marriage and childrearing, and has suffered the shame and humiliation that victims of sexual abuse are known to suffer. She feels the loss of an extended family. And, as Dr. Brownstein stated, "she lives with a daily level of distress that I would rate as moderate to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can also be inferred from all the evidence that she became, as a result of those sexual assaults, vulnerable to further victimization, with sexual assaults occurring with another uncle when she was age 14, an uncle who was aware of the abuse by Joginder Singh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Both defendants played a significant part in her losses. Both contributed to her injuries, and both are liable for damages. The young plaintiff was present in their home, slept in their bedroom and at times, in their bed with them, when sexual assaults took place. The insertion of the IUD into an unknowing 12 or 13 year old is, as I have stated before, appalling. She was denied aid by her aunt, her father's younger sister, to whom she turned for help on two occasions. This child was vulnerable as she had recently lost her mother in a tragic accident. Their breach of their fiduciary duty to her is an aggravating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view, the plaintiff's injuries are not divisible between the defendants. Her injuries and losses can be traced to acts and/or omissions by both defendants. There is no need, nor is it appropriate to apportion damages between the defendants. Once bad conduct has been found, as it has here, moral blameworthiness, then aggravated damages are naturally part of the compensatory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inability to control her emotions, her loss of enjoyment of life, the interference in her development of interpersonal and sexual relationships and her ongoing mood swings and depression are amply proven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General damages are those that the law presumes follow from the tort for the wrong complained of. In this case, the sexual assaults and complicity with those assaults. Such damages do not need to be specifically claimed or proved to have been sustained. As stated in </w:t>
      </w:r>
      <w:r>
        <w:rPr>
          <w:rFonts w:ascii="arial" w:eastAsia="arial" w:hAnsi="arial" w:cs="arial"/>
          <w:b/>
          <w:i/>
          <w:color w:val="000000"/>
          <w:sz w:val="20"/>
          <w:lang w:val="en-US" w:eastAsia="en-US" w:bidi="ar-SA"/>
        </w:rPr>
        <w:t>Yeo v. Carver</w:t>
      </w:r>
      <w:r>
        <w:rPr>
          <w:rFonts w:ascii="arial" w:eastAsia="arial" w:hAnsi="arial" w:cs="arial"/>
          <w:color w:val="000000"/>
          <w:sz w:val="20"/>
          <w:lang w:val="en-US" w:eastAsia="en-US" w:bidi="ar-SA"/>
        </w:rPr>
        <w:t xml:space="preserve"> in 1996, "We are just beginning to understand the horrendous impact of sexual abuse." The learning process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Aggravated damages are awarded when there is a need to compensate the plaintiff for outrageous behaviour by the defendants, as in this case. They are damages awarded for reprehensible conduct by the defendants. They are designed to try and make the plaintiff whole, not to punish the defendants. They are compensatory, as are non-pecuniary general damages. Aggravated damages take into account the intangible injuries, including distress, humiliation, anxiety, lack of trust, lack of self-respect, distrust of others, all of which have been suffered by the plaintiff, and all of which were caused by the defendants' behaviour. The mental and emotional stress as a result of the defendants' behaviour and denial of help are compensated under the heading of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general damages, including aggravated damages are appropriate in the amount of $325,000. I have taken into consideration the value of recent awards, as well as those that were given in 1995 to 1998, and taken into consideration the calculation of what those awards might be in today's dollar.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Punitive damages are those damages that are awarded when the defendants have acted with recklessness, malice, or deceit. They are intended to punish and to deter blameworthy conduct. Factors to be considered in whether to award punitive damages would include the reprehendsibility of the conduct being punished. Also, the reasonableness of the relationship between the harm and the award of damages, and the difference between the award and the civil penalties authorized in comparable cases. Another important factor is the absence of remorse, and the fact that both these defendants threatened the plaintiff as a child if she were to report the abuse to others. In my view, that is conduct deserving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Further, the defendant, Joginder Singh Bains, continued what can only be regarded as arrogant and callous conduct toward the plaintiff. Over the years, as stated in the </w:t>
      </w:r>
      <w:r>
        <w:rPr>
          <w:rFonts w:ascii="arial" w:eastAsia="arial" w:hAnsi="arial" w:cs="arial"/>
          <w:b/>
          <w:i/>
          <w:color w:val="000000"/>
          <w:sz w:val="20"/>
          <w:lang w:val="en-US" w:eastAsia="en-US" w:bidi="ar-SA"/>
        </w:rPr>
        <w:t>Norberg</w:t>
      </w:r>
      <w:r>
        <w:rPr>
          <w:rFonts w:ascii="arial" w:eastAsia="arial" w:hAnsi="arial" w:cs="arial"/>
          <w:color w:val="000000"/>
          <w:sz w:val="20"/>
          <w:lang w:val="en-US" w:eastAsia="en-US" w:bidi="ar-SA"/>
        </w:rPr>
        <w:t xml:space="preserve"> case, he "offended the ordinary standards of morality and decency in a cold and calculating way." There, the court found that that conduct needed deterrence. That case referred to the predominance of sexual assaults, primarily by adults upon females in our society as real and unabating. It is equally appalling when the victim is a young male, as some of the cases cited have demonstrated. In the </w:t>
      </w:r>
      <w:r>
        <w:rPr>
          <w:rFonts w:ascii="arial" w:eastAsia="arial" w:hAnsi="arial" w:cs="arial"/>
          <w:b/>
          <w:i/>
          <w:color w:val="000000"/>
          <w:sz w:val="20"/>
          <w:lang w:val="en-US" w:eastAsia="en-US" w:bidi="ar-SA"/>
        </w:rPr>
        <w:t>Norberg</w:t>
      </w:r>
      <w:r>
        <w:rPr>
          <w:rFonts w:ascii="arial" w:eastAsia="arial" w:hAnsi="arial" w:cs="arial"/>
          <w:color w:val="000000"/>
          <w:sz w:val="20"/>
          <w:lang w:val="en-US" w:eastAsia="en-US" w:bidi="ar-SA"/>
        </w:rPr>
        <w:t xml:space="preserve"> decision, the court was of the opinion that an award of punitive damages was important "to make it clear that this trend of underestimation cannot continue." The reference was to underestimating the harm and risk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not a sufficient argument with regard to punitive damages to suggest that either defendant has, in effect, lost face or had to deal with condemnation within their community now, as a result of this civil action. Nor do I accept the submission that the defendants are "of modest means". There is little evidence to that effect. There is evidence the defendants have operated a dairy farm for many years. There is property jointly owned by the defendants that is assessed in excess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will be punitive damages awarded against the defendants in the amount of $80,000. The defendants are jointly and severally liable for both general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On the claim for costs of future care, $10,000 is awarded. As Mr. Justice Leggatt stated in </w:t>
      </w:r>
      <w:r>
        <w:rPr>
          <w:rFonts w:ascii="arial" w:eastAsia="arial" w:hAnsi="arial" w:cs="arial"/>
          <w:b/>
          <w:i/>
          <w:color w:val="000000"/>
          <w:sz w:val="20"/>
          <w:lang w:val="en-US" w:eastAsia="en-US" w:bidi="ar-SA"/>
        </w:rPr>
        <w:t>D.H. v. L.J.H.</w:t>
      </w:r>
      <w:r>
        <w:rPr>
          <w:rFonts w:ascii="arial" w:eastAsia="arial" w:hAnsi="arial" w:cs="arial"/>
          <w:color w:val="000000"/>
          <w:sz w:val="20"/>
          <w:lang w:val="en-US" w:eastAsia="en-US" w:bidi="ar-SA"/>
        </w:rPr>
        <w:t>, "It is not difficult to find that this abuse has had a dramatic and damaging effect on the plaintiff and will likely continue to have an effect on the plaintiff for the rest of her life." (paragraph 20). Here, the plaintiff's friend, Marilyn Dwornik, a registered psychiatric nurse, has encouraged the plaintiff to get counselling, and she has done so from time to time. Dr. Brownstein's report notes that the plaintiff has frequently tried to get help for her difficulties, but has had trouble trusting counsellors, and will usually only go a few times at most, and then quit. He writes that currently, "she feels emboldened to continue with therapy with me, and I have also recommended that she inquire about a group of women who are survivors of sexual abuse." It almost goes without saying that counselling will be required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the issue of the claim for loss of income and future earning capacity, I am in agreement with the defence, that there has been insufficient evidence to establish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This case has been heard in two stages. Liability was determined previously, and now argument on damages. I want to thank counsel throughout for their courteous and skilful advocacy, their thoughtful and thorough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the issue of costs, costs are awarded to the plaintiff, Scale B. Special costs are not warranted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costs of the appearance of April 11, 2008 are awarded to the defendants. However, all other costs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summary, the following damages and costs are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869"/>
        <w:gridCol w:w="1673"/>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 including</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aggravated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$325,000</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4"/>
        <w:gridCol w:w="3346"/>
        <w:gridCol w:w="219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Punitive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4"/>
        <w:gridCol w:w="3450"/>
        <w:gridCol w:w="2091"/>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to the plaintiff,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 MORRISON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Authorities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Yeo v. Carver</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C.H. v. British Columbia</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(2003), 16 B.C.L.R. (4th) 113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 v. Critchley</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L.T. v. R.W.T.</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(1997), 36 B.C.L.R. (3d) 165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M.M. v. R.F.</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(1997), 52 B.C.L.R. (3d) 127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L.B. v. W.M.</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2003 BCSC 261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Young v. Bella</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[2006] 1 S.C.R. 108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T.O. v. J.H.O.</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(2006), 266 D.L.R. (4th) 209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Jacobi v. Griffiths</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[1999] 2 S.C.R. 570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P.D. v. Allen</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[2004] O.J. No. 3042</w:t>
        </w:r>
      </w:hyperlink>
      <w:r>
        <w:rPr>
          <w:rFonts w:ascii="arial" w:eastAsia="arial" w:hAnsi="arial" w:cs="arial"/>
          <w:color w:val="000000"/>
          <w:sz w:val="20"/>
          <w:lang w:val="en-US" w:eastAsia="en-US" w:bidi="ar-SA"/>
        </w:rPr>
        <w:t xml:space="preserve"> (QL) (Ont.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Vorvis v. Insurance Corp. of British Columbia</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K.S. v. J.P.H.</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2004 BCSC 769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Brooks v. British Columbia</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2000 BCSC 735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(1998), 51 B.C.L.R. (3d) 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K.K. v. K.W.G.</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(2006), 40 C.C.L.T. (3d) 139</w:t>
        </w:r>
      </w:hyperlink>
      <w:r>
        <w:rPr>
          <w:rFonts w:ascii="arial" w:eastAsia="arial" w:hAnsi="arial" w:cs="arial"/>
          <w:color w:val="000000"/>
          <w:sz w:val="20"/>
          <w:lang w:val="en-US" w:eastAsia="en-US" w:bidi="ar-SA"/>
        </w:rPr>
        <w:t xml:space="preserve"> (Ont.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D.H. v. L.J.H.</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[1997] B.C.J. No. 2724</w:t>
        </w:r>
      </w:hyperlink>
      <w:r>
        <w:rPr>
          <w:rFonts w:ascii="arial" w:eastAsia="arial" w:hAnsi="arial" w:cs="arial"/>
          <w:color w:val="000000"/>
          <w:sz w:val="20"/>
          <w:lang w:val="en-US" w:eastAsia="en-US" w:bidi="ar-SA"/>
        </w:rPr>
        <w:t>, (17 November 1997), Victoria 93-0759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Beaudry v. Hackett</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[1991] B.C.J. No. 3940</w:t>
        </w:r>
      </w:hyperlink>
      <w:r>
        <w:rPr>
          <w:rFonts w:ascii="arial" w:eastAsia="arial" w:hAnsi="arial" w:cs="arial"/>
          <w:color w:val="000000"/>
          <w:sz w:val="20"/>
          <w:lang w:val="en-US" w:eastAsia="en-US" w:bidi="ar-SA"/>
        </w:rPr>
        <w:t xml:space="preserve"> (28 June 1991), Vancouver C903202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Mustaji v. Tjin</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[1996] B.C.J. No. 1376</w:t>
        </w:r>
      </w:hyperlink>
      <w:r>
        <w:rPr>
          <w:rFonts w:ascii="arial" w:eastAsia="arial" w:hAnsi="arial" w:cs="arial"/>
          <w:color w:val="000000"/>
          <w:sz w:val="20"/>
          <w:lang w:val="en-US" w:eastAsia="en-US" w:bidi="ar-SA"/>
        </w:rPr>
        <w:t xml:space="preserve"> (June 21, 1996), Vancouver CA019954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Osborne v. Harper</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2005 BCSC 1202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P.B. v. R.V.E.</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2007 BCSC 1568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M.R. v. British Columbia</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2002 BCSC 1557</w:t>
        </w:r>
      </w:hyperlink>
      <w:r>
        <w:rPr>
          <w:rFonts w:ascii="arial" w:eastAsia="arial" w:hAnsi="arial" w:cs="arial"/>
          <w:color w:val="000000"/>
          <w:sz w:val="20"/>
          <w:lang w:val="en-US" w:eastAsia="en-US" w:bidi="ar-SA"/>
        </w:rPr>
        <w:t xml:space="preserve"> (BCSC), </w:t>
      </w:r>
      <w:hyperlink r:id="rId300" w:history="1">
        <w:r>
          <w:rPr>
            <w:rFonts w:ascii="arial" w:eastAsia="arial" w:hAnsi="arial" w:cs="arial"/>
            <w:i/>
            <w:color w:val="0077CC"/>
            <w:sz w:val="20"/>
            <w:u w:val="single"/>
            <w:shd w:val="clear" w:color="auto" w:fill="FFFFFF"/>
            <w:lang w:val="en-US" w:eastAsia="en-US" w:bidi="ar-SA"/>
          </w:rPr>
          <w:t>(2005), 41 B.C.L.R. (4th) 91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(2001), 93 B.C.L.R. (3d) 228</w:t>
        </w:r>
      </w:hyperlink>
      <w:r>
        <w:rPr>
          <w:rFonts w:ascii="arial" w:eastAsia="arial" w:hAnsi="arial" w:cs="arial"/>
          <w:color w:val="000000"/>
          <w:sz w:val="20"/>
          <w:lang w:val="en-US" w:eastAsia="en-US" w:bidi="ar-SA"/>
        </w:rPr>
        <w:t xml:space="preserve"> (S.C.), </w:t>
      </w:r>
      <w:hyperlink r:id="rId302" w:history="1">
        <w:r>
          <w:rPr>
            <w:rFonts w:ascii="arial" w:eastAsia="arial" w:hAnsi="arial" w:cs="arial"/>
            <w:i/>
            <w:color w:val="0077CC"/>
            <w:sz w:val="20"/>
            <w:u w:val="single"/>
            <w:shd w:val="clear" w:color="auto" w:fill="FFFFFF"/>
            <w:lang w:val="en-US" w:eastAsia="en-US" w:bidi="ar-SA"/>
          </w:rPr>
          <w:t>(2003) 21 B.C.L.R. (4th) 1</w:t>
        </w:r>
      </w:hyperlink>
      <w:r>
        <w:rPr>
          <w:rFonts w:ascii="arial" w:eastAsia="arial" w:hAnsi="arial" w:cs="arial"/>
          <w:color w:val="000000"/>
          <w:sz w:val="20"/>
          <w:lang w:val="en-US" w:eastAsia="en-US" w:bidi="ar-SA"/>
        </w:rPr>
        <w:t xml:space="preserve"> (C.A.), </w:t>
      </w:r>
      <w:hyperlink r:id="rId303"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(2001), 87 B.C.L.R. (3d) 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B.M.G. v. Nova Scotia (Attorney General)</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2007 NSCA 120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D.H. (Guardian ad litem of) v. British Columbia</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2008 BCCA 222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Doe v. Metropolitan Toronto (Municipality) Commissioners of Police</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(1998), 39 O.R. (3d) 487</w:t>
        </w:r>
      </w:hyperlink>
      <w:r>
        <w:rPr>
          <w:rFonts w:ascii="arial" w:eastAsia="arial" w:hAnsi="arial" w:cs="arial"/>
          <w:color w:val="000000"/>
          <w:sz w:val="20"/>
          <w:lang w:val="en-US" w:eastAsia="en-US" w:bidi="ar-SA"/>
        </w:rPr>
        <w:t xml:space="preserve"> (Ont. Ct. J.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J.S. v. Clement</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22 O.R. (3d) 495</w:t>
        </w:r>
      </w:hyperlink>
      <w:r>
        <w:rPr>
          <w:rFonts w:ascii="arial" w:eastAsia="arial" w:hAnsi="arial" w:cs="arial"/>
          <w:color w:val="000000"/>
          <w:sz w:val="20"/>
          <w:lang w:val="en-US" w:eastAsia="en-US" w:bidi="ar-SA"/>
        </w:rPr>
        <w:t xml:space="preserve"> (Ont. Ct. J. (Gen. Div.)).</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Slater Vecchio LLP v. Arvanitis, [2019] B.C.J. No. 2630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S195495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2369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Slater Vecchio LLP, Plaintiff, and Vicky Arvanitis,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jc w:val="both"/>
        <w:rPr>
          <w:rFonts w:ascii="arial" w:eastAsia="arial" w:hAnsi="arial" w:cs="arial"/>
          <w:sz w:val="20"/>
          <w:lang w:val="en-US" w:eastAsia="en-US" w:bidi="ar-SA"/>
        </w:rPr>
      </w:pPr>
      <w:bookmarkStart w:id="56" w:name="Counsel_14"/>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D.K. Georgetti.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appearing in person: V. Arvanitis.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14"/>
      <w:bookmarkEnd w:id="57"/>
      <w:r>
        <w:pict>
          <v:line id="_x0000_s1080" style="position:absolute;z-index:251728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N. SHARMA J. (orally)_0"/>
            <w:bookmarkEnd w:id="58"/>
            <w:r>
              <w:rPr>
                <w:rFonts w:ascii="arial" w:eastAsia="arial" w:hAnsi="arial" w:cs="arial"/>
                <w:b/>
                <w:color w:val="000000"/>
                <w:sz w:val="30"/>
                <w:lang w:val="en-US" w:eastAsia="en-US" w:bidi="ar-SA"/>
              </w:rPr>
              <w:t>N. SHARMA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If these are ever reduced to writing, you should know that I have the ability to edit them for grammar and style and add references that I may not read out now. I am not saying it will be reduced to writing, but if it is, and you see it and you say, "I do not remember her reading all of that out," it is just because I am doing this so that you can both get a decision now, because if I go away write it, it will take a lot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brings two applications in this action for defamation. Before turning to those, I will describe a bit of the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in this action is a former client of the plaintiff law firm. They had a parting of the ways, and she was and remains very unhappy with the result of that representation. She sued the law firm and had a trial before Mr. Justice Sigurdson. He issued reasons on August 30, 2016 (indexed at </w:t>
      </w:r>
      <w:hyperlink r:id="rId321" w:history="1">
        <w:r>
          <w:rPr>
            <w:rFonts w:ascii="arial" w:eastAsia="arial" w:hAnsi="arial" w:cs="arial"/>
            <w:i/>
            <w:color w:val="0077CC"/>
            <w:sz w:val="20"/>
            <w:u w:val="single"/>
            <w:shd w:val="clear" w:color="auto" w:fill="FFFFFF"/>
            <w:lang w:val="en-US" w:eastAsia="en-US" w:bidi="ar-SA"/>
          </w:rPr>
          <w:t>2016 BCSC 1612</w:t>
        </w:r>
      </w:hyperlink>
      <w:r>
        <w:rPr>
          <w:rFonts w:ascii="arial" w:eastAsia="arial" w:hAnsi="arial" w:cs="arial"/>
          <w:color w:val="000000"/>
          <w:sz w:val="20"/>
          <w:lang w:val="en-US" w:eastAsia="en-US" w:bidi="ar-SA"/>
        </w:rPr>
        <w:t xml:space="preserve">), dismissing her claims. He also issued a costs decision on January 31, 2017 (indexed at </w:t>
      </w:r>
      <w:hyperlink r:id="rId322" w:history="1">
        <w:r>
          <w:rPr>
            <w:rFonts w:ascii="arial" w:eastAsia="arial" w:hAnsi="arial" w:cs="arial"/>
            <w:i/>
            <w:color w:val="0077CC"/>
            <w:sz w:val="20"/>
            <w:u w:val="single"/>
            <w:shd w:val="clear" w:color="auto" w:fill="FFFFFF"/>
            <w:lang w:val="en-US" w:eastAsia="en-US" w:bidi="ar-SA"/>
          </w:rPr>
          <w:t>2017 BCSC 155</w:t>
        </w:r>
      </w:hyperlink>
      <w:r>
        <w:rPr>
          <w:rFonts w:ascii="arial" w:eastAsia="arial" w:hAnsi="arial" w:cs="arial"/>
          <w:color w:val="000000"/>
          <w:sz w:val="20"/>
          <w:lang w:val="en-US" w:eastAsia="en-US" w:bidi="ar-SA"/>
        </w:rPr>
        <w:t>), in which he ordered her to pay the law firm $8,000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 time later, the law firm noticed things the defendant published about it online. The plaintiff showed restraint before brining legal action. It first noticed postings on its own website that it was uncomfortable with. The defendant also posted things critical of the plaintiff on some of its employees' and partners' personal websites. The defendant contacted two of the law firm's partners' children. That showed bad judgment. She has apologized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Despite those events, the law firm did not start this action at that point. I comment that many people would find it reasonable had the lawsuit started after the defendant's behaviour I just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what happened next is the defendant contacted the law firm's former clients. She denies that contact occurred as a result of her actions. She stated in court that she posted comments on public websites and the former clients came to her. I do not agree. Although I have not read every page of these voluminous binders, I have read most of them, and I find that she was soliciting former clients to come forward. She sought contact from former clients to share grievances about the law firm. The defendant tells me that she believes her actions are in furtherance of a just cause. I accept that she believes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started this action for defamation against her on May 10, 2019. She filed a response on May 21, 2019, and a counterclaim and a response were filed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litigation has been quite active. Unfortunately, it has not been smooth sailing because the plaintiff has had to respond several times to matters being set down in court without proper notice and, at times, when it was very fair to say, it would not have expected anything to happen. As one example, the plaintiff's counsel communicated to the defendant that he was available for court during a time period, except for one day (June 10, 2019). That is the very date that the defendant chose to set something down without notice. She did so to try and get advantage over the plaintiff. She claims her behaviour was not motivated by malice trying to gain unfair advantage, but given the history of the proceedings, I find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 number of orders have already been granted on this matter. On June 10, 2019, Mr. Justice Grauer adjourned the defendant's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seeking to adjourn one of the plaintiff's applications to a later date, and she was ordered to email copies of her application and all materials for the adjournment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parties were before Madam Justice Ker in June 2019 again (this was the application originally before Mr. Justice Grauer). Madam Justice Ker refused to grant the defendant's application for an adjournment, and her judgment is indexed at </w:t>
      </w:r>
      <w:hyperlink r:id="rId323" w:history="1">
        <w:r>
          <w:rPr>
            <w:rFonts w:ascii="arial" w:eastAsia="arial" w:hAnsi="arial" w:cs="arial"/>
            <w:i/>
            <w:color w:val="0077CC"/>
            <w:sz w:val="20"/>
            <w:u w:val="single"/>
            <w:shd w:val="clear" w:color="auto" w:fill="FFFFFF"/>
            <w:lang w:val="en-US" w:eastAsia="en-US" w:bidi="ar-SA"/>
          </w:rPr>
          <w:t>2019 BCSC 1289</w:t>
        </w:r>
      </w:hyperlink>
      <w:r>
        <w:rPr>
          <w:rFonts w:ascii="arial" w:eastAsia="arial" w:hAnsi="arial" w:cs="arial"/>
          <w:color w:val="000000"/>
          <w:sz w:val="20"/>
          <w:lang w:val="en-US" w:eastAsia="en-US" w:bidi="ar-SA"/>
        </w:rPr>
        <w:t>. Those reasons for judgment contain many comments and findings that I rely on and that apply equally to the facts and issues before me,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defendant has provided no evidence as to why she ought to be entitled to an adjournment, apart from telling the court that she needs counsel. While she may experience some prejudice in proceeding, in my view the prejudice to the plaintiff is far greater given that the defendant is unwilling to cease and desist in her posting and broadcast campaign, notwithstanding the plaintiff's offer to adjourn should she stop the conduct for now and remove the offending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Plaintiff's counsel, from his materials filed, has done everything possible to try and avert the injunction application. However, the defendant's relentless campaign has left him with no other options.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am satisfied that the defendant has and continues to deliberately take whatever steps she can muster in order to avoid the hearing of the plaintiff's application. All of them are devoid of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Madam Justice Duncan granted an interim interlocutory injunction against the defendant on June 20, 2019. She issued reasons indexed at </w:t>
      </w:r>
      <w:hyperlink r:id="rId324" w:history="1">
        <w:r>
          <w:rPr>
            <w:rFonts w:ascii="arial" w:eastAsia="arial" w:hAnsi="arial" w:cs="arial"/>
            <w:i/>
            <w:color w:val="0077CC"/>
            <w:sz w:val="20"/>
            <w:u w:val="single"/>
            <w:shd w:val="clear" w:color="auto" w:fill="FFFFFF"/>
            <w:lang w:val="en-US" w:eastAsia="en-US" w:bidi="ar-SA"/>
          </w:rPr>
          <w:t>2019 BCSC 1156</w:t>
        </w:r>
      </w:hyperlink>
      <w:r>
        <w:rPr>
          <w:rFonts w:ascii="arial" w:eastAsia="arial" w:hAnsi="arial" w:cs="arial"/>
          <w:color w:val="000000"/>
          <w:sz w:val="20"/>
          <w:lang w:val="en-US" w:eastAsia="en-US" w:bidi="ar-SA"/>
        </w:rPr>
        <w:t>. I reproduce here paras. 8 to 14 in which Justice Duncan describes the postings contained in the evidence before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Ms. Arvanitis proceeded to post comments about the firm on the internet. Her Google reviews of the firm state that the firm removes all negative reviews to hide their "disgusting unethical behaviour" towards their clients, or that the firm steals money from their disabled clients.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On Yelp, another online review forum, Ms. Arvanitis states that the firm "rips off disabled clients in order to make profits with their partners at ICBC," that it is an ICBC-employed law firm that sells out its clients to profit from its partnership with ICBC, that it engaged in unethical practices, that it is totally dishonest, that it steals from disabled injured clients, and that named individuals at the firm lie and manipulate people into releasing their rights to profit from a partnership with ICBC.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Ms. Arvanitis posted comments on the personal Facebook account of the daughter of one of the partners, stating, "Your father stole $9,000 from me, a disabled woman." She posted similar comments to the son of the same partner, accusing the father of having an unethical legal practice and of stealing $10,080 from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Ms. Arvanitis posted a review of the North Vancouver RCMP on Google, accusing them of doing nothing to investigate the theft of $10,080 by the firm. She posted a review of the Law Society of British Columbia, accusing it of inaction despite the theft by her former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Ms. Arvinitis posted on the Global BC website, offering to share information about the firm, accusing them of unethical practice and overcharging clients. In a subsequent post on that same website she said she would just post everywhere until justice was served in her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Ms. Arvanitis has posted comments on the personal Instagram accounts of current or former employees of the plaintiff to the effect that the firm has stolen $10,080 from her. She has been in contact with current or former clients of the firm to assist them with challenging fee accounts, reporting the firm to various authorities, or assisting with commencing legal proceedings against the firm. She maintains she has correspondence from seven or more dissatisfied former clients which she refuses to produce until the trial of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Ms. Arvanitis also maintains her own website, where she posts information and opinions about the firm, and she has created a YouTube channel apparently directed at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Justice Duncan also described some of the defendant's behaviour after the plaintiff asked the defendant to remove the publications: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Ms. Arvanitis responded to the plaintiff's cease and desist demand by saying she was on disability with no assets and her income was non-garnishable, so, "You can all go and fuck yourselves." She has threatened that litigation will inevitably become out of control and very costly for the plaintiff, and I find that she actively avoided participation in setting a hearing date for this application. She then applied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on June 10 to adjourn the application. Counsel for the plaintiff was in court on another matter and was able to respond to the adjournment application, which was ultimately refused.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For her part, Ms. Arvanitis does not deny posting comments alleging that the firm stole money from her or acted unethically. She expressed some contrition about the Facebook posts but said she was angered by portrayals of the wealthy lifestyle of the individuals. She also offered the excuse that she did not actually seek out the profiles; someone else drew them to her attention. She claims to have removed many of the posts voluntarily, despite many statements in the materials that she will not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Since the injunction was granted, the plaintiff found instances of the defendant breaching Madam Justice Duncan's order and set down an application for contempt. Mr. Justice Groves heard that application on July 22. He concluded that the defendant was in contempt of court and scheduled a sentencing hearing for that contempt to take place in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me, the defendant expressed concern about one of the websites listed in the plaintiff's application material for the contempt application. She says she did not post the statements on the website. Quite properly, Mr. Georgetti was very clear on the record and informed Mr. Justice Groves that he did not have sufficient evidence that the defendant was responsible for that one website. Accordingly, Mr. Justice Groves did not make his decision based on that website. He was able, even ignoring that evidence, to conclude the defendant was in contempt of Madam Justice Duncan's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informed the defendant that some things she raised in front of me are not relevant to the issue I have to decide, but she can consider raising them before Mr. Justice Groves. I refer to her willingness to apologize and her admission that contacting the children of the law firm's partner demonstrated bad judgment. While I appreciate her willingness in front of me to admit to making some bad choices, the admission is irrelevant to the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will go through each order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First, it seeks that the counterclaim be dismissed pursuant to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Rule 9-5(1)(a) permits me to dismiss a claim is if there is no reasonable chance of success. Pursuant to Rule 9-5(2), when considering dismissing an action under 9-5(1)(a), consideration is only given to the pleadings and the court does not look at evidence. Without looking at the affidavits, if it is clear and obvious that the counterclaim raises issues that have no chance of success, it can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find that to be the case here because the counterclaim raises issues that are clearly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The issues were already decided by Mr. Justice Sigurdson. At the beginning of his reasons, Mr. Justice Sigurdson summarized the case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This is an action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Vicky Arvanitis, was injured in a motor vehicle accident in 2001 when the car she was driving was struck from behind. She was a passenger injured in a second motor vehicle accident on August 10, 2004. A person driving an American-insured rental car went through a red light in North Vancouver and struck the vehicle driven by the plaintiff's sister.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Shortly after the 2004 accident, the plaintiff retained the defendant law firm, Slater Vecchio, to pursue her personal injury claims for the two accidents. The defendants took over the 2001 accident file from the plaintiff's previous lawyer and agreed to represent the plaintiff on a contingency basis. Her sister also retained Slater Vecchio in connection with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defendants settled the plaintiff's claims against the Insurance Corporation of British Columbia ("ICBC") for the first and second accident. Slater Vecchio ceased acting for the plaintiff in 2008. She then retained the law firm Murphy Battista, who later settled the claim against the American insurer for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This case does not concern the reasonableness of those settlements for damages. At issue is whether the lawyers discharged their obligation to use reasonable care and diligence to secure from ICBC rehabilitation or treatment benefits, known as Part 7 benefits, for the plaintiff. The heart of the plaintiff's complaint is that the defendants failed in their obligation to secure these benefits. The defendants admit that obligation was part of their retainer in acting for Ms. Arvanitis, but say they fulfilled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When the plaintiff settled her tort claim in the first accident, she also released her sister, the driver, from liability for the second accident and signed a release of all claims against ICBC including Part 7 benefits for both accidents. The second issue is whether she was advised and aware of the effect of the settlement and release.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 third issue concerns the plaintiff's complaint about the fees charged by the defendant law firm which were paid to them when the tort claim in the second accident was settled by Murphy Battista. This issue essentially concerns whether the defendants were authorized to receive the fees as payment from the ultimate settlement, rather than hold them pending a taxation of or agreement on their bill.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Ms. Arvanitis advances her claim against the defendants essentially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also pleaded breach of fiduciary duty. Her amended notice of civil claim indicates she seeks general damages, punitive damages, exemplary damages, aggravated damages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noted earlier, the claim was dismissed. In addressing costs, Mr. Justice Sigurdson acceded to the law firm's submissions and fixed lump sum costs in its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told that there is a hearing set before the registrar in November regarding that fee. The defendant's position is that there was something untoward about how the plaintiff collected that fee. She holds out the belief that if I strike the counterclaim, then she will be prejudiced from pursuing that position. I have explained to her that the issue of costs has already been decided against her. While Mr. Justice Sigurdson originally referred the amount of the fee to the Registrar (</w:t>
      </w:r>
      <w:hyperlink r:id="rId321" w:history="1">
        <w:r>
          <w:rPr>
            <w:rFonts w:ascii="arial" w:eastAsia="arial" w:hAnsi="arial" w:cs="arial"/>
            <w:i/>
            <w:color w:val="0077CC"/>
            <w:sz w:val="20"/>
            <w:u w:val="single"/>
            <w:shd w:val="clear" w:color="auto" w:fill="FFFFFF"/>
            <w:lang w:val="en-US" w:eastAsia="en-US" w:bidi="ar-SA"/>
          </w:rPr>
          <w:t>2016 BCSC 1612</w:t>
        </w:r>
      </w:hyperlink>
      <w:r>
        <w:rPr>
          <w:rFonts w:ascii="arial" w:eastAsia="arial" w:hAnsi="arial" w:cs="arial"/>
          <w:color w:val="000000"/>
          <w:sz w:val="20"/>
          <w:lang w:val="en-US" w:eastAsia="en-US" w:bidi="ar-SA"/>
        </w:rPr>
        <w:t xml:space="preserve"> at para. 43), he later fixed costs at $8,000 (</w:t>
      </w:r>
      <w:hyperlink r:id="rId322" w:history="1">
        <w:r>
          <w:rPr>
            <w:rFonts w:ascii="arial" w:eastAsia="arial" w:hAnsi="arial" w:cs="arial"/>
            <w:i/>
            <w:color w:val="0077CC"/>
            <w:sz w:val="20"/>
            <w:u w:val="single"/>
            <w:shd w:val="clear" w:color="auto" w:fill="FFFFFF"/>
            <w:lang w:val="en-US" w:eastAsia="en-US" w:bidi="ar-SA"/>
          </w:rPr>
          <w:t>2017 BCSC 155</w:t>
        </w:r>
      </w:hyperlink>
      <w:r>
        <w:rPr>
          <w:rFonts w:ascii="arial" w:eastAsia="arial" w:hAnsi="arial" w:cs="arial"/>
          <w:color w:val="000000"/>
          <w:sz w:val="20"/>
          <w:lang w:val="en-US" w:eastAsia="en-US" w:bidi="ar-SA"/>
        </w:rPr>
        <w:t xml:space="preserve"> at para. 13). No appeal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on that basis, that it is clear and obvious that the counterclaim has no chance whatsoever of success based on looking at the pleadings alone, and it is hereby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also seeks judgment in its favour with regard to the defamation action. It relies on Rule 9-6, which allows a court to grant judgment in a summary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Madam Justice Duncan, in issuing her injunction, found the publications at issue "amount to accusations of criminality and unethical behaviour by a law firm", and she held that "[t]hose types of comments are, in my view, manifestly defamatory; that is, defamatory on their face" (para. 24). She also held that the defamatory statements appeared "likely to cause irreparable harm to the plaintiff's reputation by dissuading potential clients, as one example". I completely agree with her assessment and preceding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That finding was necessary before she could grant the injunction because the test in these circumstances is stricter. She was satisfied that there was a serious issue to be tried and that there was a good chance of success because she found that it was more likely than not that the plaintiff could make out the case of malice. Malice is a legal term, and its relevance here is that if it is found to exist on the evidence, it deprives the defendant of the ability to rely on the defence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only defence in the response filed by the defendant is her reliance on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and its protection for freedom of expression in s. 2(b). As I explained to her, the Supreme Court of Canada has decided, in a case called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that the claims for defamation are not precluded by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One of the reasons is that it is very clear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only applies to government action, and it does not apply to private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Having said that, the court is always very concerned and cognizant that defamation is a restraint on speech, but that concern infuses the entire test for defamation, as well as the test applied when an injunction seeks to retrain speech. However, the defendant raises no legal basis to defend against the defamation, and that alone strongly suggests that judgment should be in the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I do not rely on that reasoning alone. As I have said, I have reviewed almost all of the material in front of me. It is voluminous. I cannot say I have read every page, but I have read almost every page. I am satisfied, based on the evidence in front of me, that the plaintiff has established, on the balance of probabilities, that it was defamed. I have heard nothing from the defendant that would constitute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For that reason, I am granting judgment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is also seeking that Madam Justice Duncan's order for an interim injunction be made permanent. To her credit, the defendant, if I understood her correctly, said that she does not intend to publish any more statements in reference to the plaintiff law firm, their current or former partners,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she asked me not to grant the injunction permanently with regard to former or current clients, because she has found a supportive community with some of these people. She feels that it is not right that, as a citizen, her freedom of speech should be restrained from talking to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Georgetti emphasized how important this particular term is to the plaintiff. There are several reasons for that. First, the plaintiff law firm did not take legal action immediately despite the large number of the defendant's publications that came to their attention. Quite frankly, most people would have acted much sooner, but the plaintiff exercised restraint, recognizing that she was a former client. Thus, the main impetus for the law suit was the defamation occasioned by the defenants' communication with former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also point to the defendant's contact with the children of one of the law firm's partner. As I said to her, and think she has accepted, that conduct was completely outrageous. It was uncalled for and unjustified. It concerns me because it shows what she was willing to do and say based on her dissatisfaction and anger at the plaintiff, even after she lost her lawsuit against it. It is very concerning to this Court that she would engage in that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Notwithstanding that, the plaintiff is not seeking damages. They recognize, based on statements made by the defendant, that she probably would not be able to pay. She repeated that assertion in front of me. Although I have not confirmed this, she says that she received indigent status. In order to do so successfully, you have to establish financial difficulty. It is a strict test. If she has, in fact, received that status, then the plaintiff is quite right in not trying to seek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the plaintiff's restraint in not pursuing damages is an important point. Once defamation is established, as I have found it is here, damages follow automatically without the necessity of evidence. Thus, the plaintiff is entitled to damages, and given what I have seen, it could be quite significant damages, based on the law of defamation. It is unlikely that the plaintiff would ever get those damages. Damages are meant to compensate a plaintiff for damage to their reputation that is presumed to have occurred from defamation. Damages to reputation do not have to be proven, and the plaintiff does not have to bring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agree the plaintiff is highly unlikely to get monetary compensation in this case. Accordingly, it needs to rely on the injunctive relief to protect its reputation, something it is entitled to do under the common law. And while it is likely that the plaintiff is entitled to an injunction against any of the defendant's speech related to the prohibited topic, it has only asked for the injunction with regard to the defamation involving former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has not asked that the defendant be restrained from talking about the lawsuit, only publishing about it. That is a reasonable concession. However, the plaintiff seeks further restraint with regard to their current and former clients for very good reasons. Their clients are the source of their reputation. Lawyers perform one of the most important duties in our society. They represent clients zealously and vigorously. They are sometimes the subject of complaint by people who feel wrong done by and disgruntled. There is a process to deal with those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went through that process. She sued the law firm and she lost, but she did not appeal. Despite that, she has engaged in what I find to be a concerted and persistent campaign of stirring up ill feeling and malice, based on her anger toward the plaintiff. She has done so by trying to create a community of former clients. That goes directly to the damage of defamation. Her behaviour directly diminishes, in the most explicit way possible, the reputation of the law firm. Yet, it will not get monetary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Furthermore, it is very likely that there are people who have never had any reason to be upset with their former law firm who, based on the defendant's false statements, may now feel that they have a grudge to raise against the lawyers. Lawyers are popular targets, and they are easy targets because there is always somebody on the unhappy side of a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all those reasons, I find that it is entirely justified to continue Madam Justice Duncan's injunctive relief as a permanent injunction, and I do grant that relief. All of the terms of Madam Justice Duncan's injunctive relief contained at paras. 1(a) and (b) of her order entered June 20, 2019, are now permanent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add one small point. Apparently, the defendant's sister is a former client of the plaintiff. If that is so, Mr. Georgetti quite properly accepted that the permanent injunction would not apply to the defendant's ability to speak with her sister, and I make that an explicit term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last order sought is a declaration under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that the defendant be declared, what is colloquially referred to as, a vexatious litigant. The significance of that is that she would be unable, without prior leave of the court, to start any other actions against the plaintiff, its employees, or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will address that before I turn to the other ground of relief sought. What it is seeking is that, without leave of the court, no proceedings could be instituted, and before the defendant could seek leave, a number of things would have to be done, which are set out in the plaintiff's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Counsel very helpfully referred to me the existing test for making such a declaration, as contained in Madam Justice Iyer's decision in </w:t>
      </w:r>
      <w:r>
        <w:rPr>
          <w:rFonts w:ascii="arial" w:eastAsia="arial" w:hAnsi="arial" w:cs="arial"/>
          <w:i/>
          <w:color w:val="000000"/>
          <w:sz w:val="20"/>
          <w:lang w:val="en-US" w:eastAsia="en-US" w:bidi="ar-SA"/>
        </w:rPr>
        <w:t>Rafique v. AWM-Alliance Real Estate Group Ltd.</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2019 BCSC 247</w:t>
        </w:r>
      </w:hyperlink>
      <w:r>
        <w:rPr>
          <w:rFonts w:ascii="arial" w:eastAsia="arial" w:hAnsi="arial" w:cs="arial"/>
          <w:color w:val="000000"/>
          <w:sz w:val="20"/>
          <w:lang w:val="en-US" w:eastAsia="en-US" w:bidi="ar-SA"/>
        </w:rPr>
        <w:t>. She sets out, at para. 51, a number of the key indicators for granting such relief: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A number of cases have summarized the legal framework governing vexatious litigant orders. Key indicators of a vexatious proceeding include: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bringing one or more actions to determine an issue which has already been determined by a court of competent jurisdiction;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obvious that the action cannot succeed, would lead to no possible good, or no reasonable person can reasonably expect to obtain relief;</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brought for an improper purpose, including the harassment and oppression of other parties by multifarious proceedings brought for purposes other than the assertion of legitimate rights;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grounds and issues in the first proceeding have been rolled forward into subsequent actions and repeated and supplemented, often with actions brought against the lawyers who have acted for or against the litigant in earlier proceedings;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instituted the proceedings has failed to pay the costs of the unsuccessful proceedings;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has persistently taken unsuccessful appeals.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Carten v. Carten</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2015 BCCA 201</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Lindsay v. Canada (Attorney General)</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2005 BCCA 594</w:t>
        </w:r>
      </w:hyperlink>
      <w:r>
        <w:rPr>
          <w:rFonts w:ascii="arial" w:eastAsia="arial" w:hAnsi="arial" w:cs="arial"/>
          <w:color w:val="000000"/>
          <w:sz w:val="20"/>
          <w:lang w:val="en-US" w:eastAsia="en-US" w:bidi="ar-SA"/>
        </w:rPr>
        <w:t>, per Donald J.A.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satisfied that more than one of them have been met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particular, I do find that the defendant has brought one or more actions to determine an issue that has already been determined against her, and that is that she has filed a counterclaim which repeats allegations that Mr. Justice Sigurdson had already dismissed, and she has tried to or threatens to bring even more proceedings. There is very good reason to believe that she may follow through with that, and she has put the plaintiff to a great deal of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Another indication is that it is obvious that her action against the plaintiff cannot succeed and no reasonable person could reasonably expect to obtain relief in these circumstances. For all the reasons I have granted judgment in favour of the plaintiff, that is clearly met here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Another ground is the action is brought for an improper purpose, including the harassment and oppression of other parties by multifarious proceedings brought for purposes other than the assertion of legitimate rights. The defendant did appeal to me to say that she did not understand what she was doing was defamatory, that she believes that she is engaged in a course of action to seek justice for other people. While she says that in front of me, that is not what comes across when one reads the voluminous material and, as I said before, regardless of what is in her true mind and intent, which I have no way of knowing, her actions are clearly harassing and oppressive.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That is illustrated by pointing only to her contact with the children of a partner of the law firm. She can apologize for that, and she has, which is good, but to suggest that that was done for any purpose other than harassment is straining credulity. I also find the grounds and issues decided against her by Mr. Justice Sigurdson have been rolled forward into subsequent actions by the defendant, and that is clearly what is happening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last factor I rely on is the failure to pay costs. That has definitely happened here. The defendant remains in default of paying the costs ordered by Madam Justice Duncan, as well as another order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counsel also seeks an order that he, his law firm, and the partners and employees of his law firm be included in the class of protected people under the injunction that has been issued by Madam Justice Duncan. I understand why that is being brought, because I have seen in front of me very concerning and disturbing indications from the defendant in her emails, that she is going to try and pursue them for their representation of the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very concerned by that, like I said, because of the escalation that I have seen in her campaign against the plaintiff, even before the defamation lawsuit was filed. So I understand the grounds upon which the plaintiff's counsel is seeking that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going to give the defendant one chance to prove everybody wrong. I am not going to grant that order. What I am going to do is adjourn it, and give leave to Mr. Georgetti to come back in front of me on short notice at any time if, in fact, there is a suit brought against him or his law firm or any employees by the defendant. So para.4(b) in the draft order handed up is adjourned. I find seeking that relief is premature. The defendant said to me that she does not foresee why she would bring a suit against Mr. Georgetti or his law firm relating to his conduct in this litigation, and I want to give her a chance to show us that she can stick to her 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However, if something more happens that leads you to believe, Mr. Georgetti, that the time has come for that issue to be decided, you have permission to come before me on no more than two days' notice to the defendant to get a quick hearing before me under a request to appear to seek to get that order. And, I am seized of that because it is part of this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Just to be very clear, I grant the relief sought in 4(a) of the application. I have adjourned the relief sought in 4(b). I have granted the relief sought in 4(c), (d), and (e), and in 5, in 6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last matter is the issue of documents. The plaintiff is seeking that the defendant provide copies of all correspondence that she has exchanged with persons she knows or has reason to believe to be are former or current clients of the plaintiff, including, but not limited to, emails and messages exchanged through social media and other messaging services. This remedy is different than usual, but I find it is justified in this case because the plaintiff is unable to get relief from defamation from damages. It has reasonably asked that with regard to their former or current clients, which is the most direct source of their reputation, that they get these documents in lieu of damages, and I am granting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requirement for the defendant to endorse this order is dispensed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WITH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regard to the order, I am granting adjournment of the relief sought in para. 4(b) relating to extending the declaration of vexatious litigant status to actions started by the defendant against Mr. Georgetti and/or any member of his firm, the grounds upon which he can come back before me is not a high standard. I am saying it has to meet no other standard, except Mr. Georgetti's belief that she may pursue litigation. I do recognize it is a low standard, but, in all the circumstances, I find it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the issue of costs, and the plaintiff seeks $5,000 fixed costs for today for both applications. I have heard what the defendant has said, and I know she has not paid other awards of costs. The plaintiff has admitted candidly that it might never collect costs, but it is an important legal right to which it is entitled. It also points out awarding costs today may have some bearing down the road on the hearing in front of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Please tell me what you want about whether I should grant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COURT: I am ordering costs in the amount of $2,500 for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Paragraphs 5 and 21 were corrected on October 10, 2019.</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776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SmartCentres Inc. v. EBA Engineering Consultants Ltd., [2014] B.C.J. No. 2974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 and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S130321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2974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2271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SmartCentres Inc., 568295 British Columbia Ltd., Salmon Arm Shopping Centres Limited and Calloway REIT (Salmon Arm) Inc., Plaintiffs, and EBA Engineering Consultants Ltd., Christopher Burns, Darryl Arsenault and Jennifer Clarke,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jc w:val="both"/>
        <w:rPr>
          <w:rFonts w:ascii="arial" w:eastAsia="arial" w:hAnsi="arial" w:cs="arial"/>
          <w:sz w:val="20"/>
          <w:lang w:val="en-US" w:eastAsia="en-US" w:bidi="ar-SA"/>
        </w:rPr>
      </w:pPr>
      <w:bookmarkStart w:id="59" w:name="Counsel_15"/>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Nicholas R. Hughes, Aidan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Christopher E. Hirst, M. Thea Hoogstraten.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0" w:name="Judgment_15"/>
      <w:bookmarkEnd w:id="60"/>
      <w:r>
        <w:pict>
          <v:line id="_x0000_s1083" style="position:absolute;z-index:251729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1" w:name="G.B. BUTLER J."/>
            <w:bookmarkEnd w:id="61"/>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EBA Engineering Consultants Ltd. ("EBA"), provides a range of engineering services including environmental assessments. The three named defendants were employees of EBA at the material time. The plaintiffs are related companies involved in land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568295 B.C. Ltd. and SmartCentres Inc. (the "Contracting Plaintiffs") retained EBA to perform environmental assessments of properties (the "Properties") that were under consideration for a proposed commercial land development project in Salmon Arm, British Columbia. EBA delivered two reports to the Contracting Plaintiffs: a preliminary environmental investigation report, delivered February 22, 2007 (the "Desktop Report"); and a preliminary riparian area regulation assessment, delivered July 30, 2007 (the "Preliminary RAR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Properties are in close proximity to Shuswap Lake and fish-bearing streams. Provincial statues and regulations address environmental habitat issues. These include the Riparian Areas Regulations ("RAR") that provide for setbacks from fish-bearing waters. Accordingly, as part of due diligence, the two reports were sought, in part, to determine how much of the land comprised in the Properties could be used for the proposed development. Following receipt of the Desktop Report, the Contracting Plaintiffs entered into a purchase agreement to acquire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Following receipt of the Preliminary RAR Report, the plaintiffs, Salmon Arm Shopping Centres Limited and Callaway REIT (Salmon Arm) Inc. (the "Plaintiff Owners") were incorporated and the rights to purchase the Properties were assigned to them. The sale completed in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two reports provided by EBA suggested that substantial portions of the Properties could be used for development based on the anticipated RAR setbacks contemplated in the reports. However, that information proved to be inaccurate. The high water mark of Shuswap Lake impinges on the Properties such that once the proper RAR setbacks were applied, only a portion of the land could be used for development. The plaintiffs say they relied on the two EBA reports when they purchased the Properties and that the reports were prepared negligently by the defendants. They say they suffered a loss of at least $3.3 million, and perhaps much more, as a result of their reliance on the EBA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raise a number of defences to the plaintiffs' claims. They deny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any contractual duty; they say they owed no duty of care to the Plaintiff Owners and did not enter into a contractual relationship with them. Further, they say the plaintiffs did not rely on the EBA reports, or in the alternative, they say any such reliance was unreasonable. Finally, they deny the plaintiffs suffered any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bring this summary trial application to consider a single issue: can the defendants rely on a limitation of liability set out in a document described as a "confirmation of assignment" ("COA"). In the course of their dealings regarding the two reports, EBA delivered two COA documents to the Contracting Plaintiffs; one for each of the reports. The limitation of liability in the COAs states that EBA cannot be liable in tort or contract to its client for more than the total amount paid by the client for EBA's professional services. In this case, the fee charged for EBA's services was a total of approximately $5,550 (of which $550 was for the Desktop Report). The defendants argue that the limitation of liability contained in the COAs forms part of the contract between EBA and the Contracting Plaintiffs and that EBA can rely on the limitation as against all of the plaintiffs even though it denies contracting with, or owing a duty of care to, the Plaintiff Owners. They frame the issue before me as a matter solely of contractual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oppose the summary trial application. They say the issue in question is not suitable for determination on a summary trial application. Alternatively they argue that the limitation of liability defence raised by the defendants should be dismissed on the merits. They say the COAs do not form part of the contract entered into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have concluded the issues raised by this application are not suitable for disposition under Rule 9-7, and that the application will not assist the efficient resolution of this proceeding. For the reasons that follow, I dismiss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Circumstances Regarding the Retainer of EBA and the COAs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EBA provided an initial proposal to the Contracting Plaintiffs on January 17, 2007 to conduct a riparian area regulation assessment (the "Proposal"). The Proposal set forth the expected scope of work along with a cost estimate, names of the biologists proposed for the project, and a work schedule. The Proposal stated that it was subject to EBA's general terms and conditions, and a copy of those terms and conditions was attached. The general terms and conditions contained a limitation of liability in relation to contaminants and hazardous waste. The general terms and conditions did not contain the limitation EBA relies upon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January 30, 2007, Alan Lee, a representative of the plaintiffs, authorized EBA to proceed with the work outlined in the Proposal. One day later he postponed that authorization but indicated that authorization was likely to be forthcoming later in February. Early on the morning of February 22, 2007, Mr. Lee asked EBA to provide a preliminary environmental investigation on RAR setbacks. An exchange of emails followed, and it was agreed the preliminary assessment would be conducted on a time and materials basis with an estimate of five hours' work. EBA prepared and delivered the Desktop Report to the Contracting Plaintiffs later that same day. The general terms and conditions which were attached to the Proposal were also attached to the Desktop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EBA had worked on a number of projects with SmartCentres Inc. or related companies, but had never utilized the COA document prior to 2007. On February 23, 2007, Christopher Burns, on behalf of EBA, signed a COA referencing the Desktop Report assignment and faxed it to Mr. Lee on February 27, 2007 (the "Desktop COA"). The Desktop COA was never signed by anyone on behalf of the plaintiffs and the document does not contain any space for the client's signature. Relevant terms in the general conditions set out in the Desktop COA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LIMITATION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provision of services the CLIENT agrees that any and all claims which it has or hereafter may have against the CONSULTANT in any way arising out of or related to the CONSULTANT's duties and responsibilities pursuant to this Confirmation of Assignment, whether such claims are in contract or in tort, shall be limited to the total amount paid by the CLIENT for services of CONSULTANT under this Confirmation of Assignment. Increased liability limits may be negotiated upon the CLIENT's request in consideration of an additional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is binding and will enure to the benefit of the CLIENT and the CONSULTANT, including the CONSULTANT's employees, servants and agents and their respective successors and assigns. These General Conditions form a part of the proposal, with the same effect as if set forth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March 8, 2007, following receipt of the Desktop Report, the Contracting Plaintiffs entered into a purchase agreement for the Properties. On the same day, Mr. Lee instructed EBA to proceed with the full RAR assessment contemplated by the Proposal. On March 13, 2007, EBA sent another COA to Mr. Lee (the "RAR COA"). This referenced the Preliminary RAR Report and contained the same terms and conditions as the Desktop COA. No one provided any response to EBA on behalf of the plaintiffs regarding either the Desktop COA or the RAR COA. There was never any discussion about the COAs between representatives of EBA and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Preliminary RAR Report was delivered to the plaintiffs on July 30, 2007 and attached the same general terms and conditions as the Desktop Report and the Proposal. The Plaintiff Owners completed the purchase of the Properties on October 15, 2007 for $14,700,000.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Status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action was commenced on January 16, 2013. The parties have each produced lists of documents, which have been periodically amended. The plaintiffs conducted an examination for discovery of Mr. Arsenault, one of the defendants, on May 21, 2014. The defendants conducted an examination for discovery of Mr. Lee as a representative of the plaintiffs on June 10, 2014. Requests made at these discoveries remain outstanding. Further discoveries are anticipated by counsel for both parties. The action is presently set for a ten-day trial commencing July 13, 2015. The action should be ready to proceed to trial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EBA on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EBA says the issue of the enforceability of the limitation clause is appropriate for determination by way of summary trial because credibility is not a crucial factor in the case and the relevant facts are largely uncontroversial. It notes that courts in British Columbia have frequently determined questions involving interpretation of a contract by way of summary trial. Further, EBA says the question before me is a discrete issue which can be resolved without examination of other questions. It argues that a resolution of this issue will either shorten the trial (if the question is resolved in the plaintiffs' favour) or it will resolve the entire case. Further, they submit that the clarity afforded by such a determination will furnish the parties with a better understanding of their potential liability, which would impact settlement negotiations. They submit that in any event, the action will proceed more efficiently. Accordingly, determination of this issue on a summary trial proceeding will contribute to the just, speedy and inexpensive resolution of the issues on their merits. EBA submits this is in accord with the endorsement of summary trial procedures by the Supreme Court of Canada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Plaintiffs on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argue that the application addresses an issue which is inexorably intertwined with other issues in the proceeding. They say it would be inappropriate to hive off the COA limitation of liability issue from other overlapping issues which are not before the court. If the defendants fail on the application, or succeed only in part, it would save neither time nor expense and would generate unnecessary complexity. This, they say, amounts to litigating in slices. Further, the plaintiffs argue that fairness and proportionality require that a claim of this magnitude and importance to the plaintiffs be determined after the full trial. Finally, the plaintiffs say that efficiency must be examined from the standpoint of the entire litigation. Piecemeal decision-making is inefficient, especially where it raises the possibility of multiple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permits the determination of matters by way of summary trial. Rule 9-7(11)(b) provides that a summary trial application may be dismissed on two grounds:</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Rule 9-7(15) provides further guidance on relevant considerations when deciding if it is appropriate to grant judgment on a summary trial application: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well settled that when considering a summary trial application, the court must be cognizant of the object of the Rules: to secure the just, speedy and inexpensive determination of the case on its merits. In so doing, the court must take the principle of proportionality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seminal decision of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identified a number of factors a court ought to consider while assessing a summary trial application. These factors include: the amount involved, the complexity of the matter, its urgency, any prejudice likely to arise by reason of delay, the cost of taking the case forward to a conventional trial in relation to the amount involved, and the course of the proceedings. As the jurisprudence on this topic developed, additional factors have been identified, including: the extensiveness of the litigation and the time involved to proceed summarily, whether or not credibility is a crucial issue, whether there is a risk of wasting time and effort, and whether or not to proceed summarily would constitute litigation in slices: </w:t>
      </w:r>
      <w:r>
        <w:rPr>
          <w:rFonts w:ascii="arial" w:eastAsia="arial" w:hAnsi="arial" w:cs="arial"/>
          <w:i/>
          <w:color w:val="000000"/>
          <w:sz w:val="20"/>
          <w:lang w:val="en-US" w:eastAsia="en-US" w:bidi="ar-SA"/>
        </w:rPr>
        <w:t>Dahl et al. v. Royal Bank of Canada et al</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benefits of deciding cases through the use of the summary trial proceedings have long been recognized in British Columbia. Recently, the Supreme Court of Canada endorsed the use of summary trial procedures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where Karakatsanis J. noted that summary trials can be fair and just, and are no less legitimate than a conventional trial: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para. 27. Although judges must be mindful of the Court's emphasis on the importance of summary disposition mechanisms,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does not displace the jurisprudence developed in British Columbia on the issue of suitability: </w:t>
      </w:r>
      <w:r>
        <w:rPr>
          <w:rFonts w:ascii="arial" w:eastAsia="arial" w:hAnsi="arial" w:cs="arial"/>
          <w:i/>
          <w:color w:val="000000"/>
          <w:sz w:val="20"/>
          <w:lang w:val="en-US" w:eastAsia="en-US" w:bidi="ar-SA"/>
        </w:rPr>
        <w:t>N.J. v. Aitken Estate</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2014 BCSC 419</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While the court will attempt to resolve the issues placed before it and give judgment where it is appropriate to do so, special considerations apply when a single issue is proposed for resolution by way of summary trial. In </w:t>
      </w:r>
      <w:r>
        <w:rPr>
          <w:rFonts w:ascii="arial" w:eastAsia="arial" w:hAnsi="arial" w:cs="arial"/>
          <w:i/>
          <w:color w:val="000000"/>
          <w:sz w:val="20"/>
          <w:lang w:val="en-US" w:eastAsia="en-US" w:bidi="ar-SA"/>
        </w:rPr>
        <w:t>Coast Foundation v. Currie</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Groberman J. summarized these difficulties with reference to the relevant authorities. He noted that courts should be cautious about deciding cases in a piecemeal fashion. The extent to which issues may be intertwined is not always obvious or immediately evident when a single issue is placed before the court in isolation. He highlighted two concerns which are relevant to the efficient resolution of disputes; the allocation of a court's own resources and the efficiency of a partial determination from the standpoint of the litigation. His comments at paras. 16-18 are particularly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It must be borne in mind that the primary purpose of Rule 18A is the efficient resolution of disputes. Where the court does not consider that the determination of an issue under Rule 18A will assist in the efficient resolution of the dispute, it ought not to make the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There are at least two aspects to be considered in gauging the efficiency of the summary trial process. First, this court must be concerned about the allocation of its own resources: </w:t>
      </w:r>
      <w:r>
        <w:rPr>
          <w:rFonts w:ascii="arial" w:eastAsia="arial" w:hAnsi="arial" w:cs="arial"/>
          <w:i/>
          <w:color w:val="000000"/>
          <w:sz w:val="20"/>
          <w:lang w:val="en-US" w:eastAsia="en-US" w:bidi="ar-SA"/>
        </w:rPr>
        <w:t>North Vancouver (District) v. Lunde</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at 212 (C.A.) (paragraph 33). Summary trial applications that will not, even if successful, reduce the length of trial, should, in general, be discouraged. The court must recognize the reality that judicial time is a scarce resource.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Second, the court must consider the efficiency of a partial determination from the standpoint of the litigation itself. Piecemeal decision-making is rarely an efficient manner in which to resolve a dispute. It raises the possibility of multiple appeals on individual issues, and this will generally impede rather than hasten the orderly determination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North Vancouver (District) v. Lunde</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(C.A.), the Court emphasized, at para. 33, that where the answer to an issue sought to be tried by a summary trial will resolve the whole of the proceeding only if one answer is given, the court must consider whether the orderly use of court time will be enhanced by proceeding in that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satisfied that in all the circumstances, the orderly use of court time will not be enhanced by considering the COA limitation of liability issue in isolation. I will briefly summarize the main reasons I have arrived at this conclusion, and in the paragraphs that follow I will undertake a further discussion of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First, I do not necessarily regard the issue sought to be determined as a discrete issue. There is a likelihood it is intertwined with other issues. In any event, the extent to which the issues are intertwined can only be determined following a full examination of all of the circumstances with the benefit of full argument at trial. Second, in addition to the limitation of liability issue, EBA raises many defences to the substance of the plaintiffs' claims. These defences would require consideration in the event the defendants were unsuccessful in this application or if they were only partially successful. Both scenarios are possible. In the event either scenario came to pass, there would be no benefit in terms of court time or the parties' resources. If the defendants are not completely successful, determination of the single issue would not shorten the length of pretrial proceedings or the trial itself. Finally, any decision on the issue proposed by the defendants will invite an appeal. An appeal will derail the trial and result in an inefficient use of court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COA Limitation of Liability Issue is not Discrete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some appeal to the idea of deciding a discrete limitation of liability issue. However, that appeal is only superficial in the circumstances of this case. To do so, would require the court to embark upon the exercise of determining the precise terms and scope of the contract between EBA and the plaintiffs. The plaintiffs do not agree that the Desktop COA or RAR COA form part of the contract. It is even unclear whether there is a single contract at issue between the parties. The brief recitation of the background facts above demonstrates that this is not a simple case involving a contract negotiated between the parties and reduced to a single document. Rather, EBA made a Proposal with attached general terms and conditions which was accepted by the Contracting Plaintiffs and subsequently put on hold. This was followed by a revised request from the plaintiffs' representative to which EBA responded with the Desktop Report which attached the same general terms and conditions. Following the delivery of the report, EBA sent the Desktop COA with additional terms and conditions which may or may not have formed part of the agreement relating to the Desktop Report. To complicate matters further, the RAR COA was delivered, approximately two months before the Preliminary RAR Assessment was delivered. Of course, the Plaintiff Owners were not yet in existence when the agreement or agreements for preparation of the reports were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these circumstances, a court will have to determine who the contracting parties are and whether the Plaintiff Owners can rely on the EBA reports. Further, the court will have to decide if the agreements respecting the preparation of the two reports are separate agreements and whether the COA terms and conditions apply to the relationship between the parties with respect to either report. These issues bear on both the COA limitation of liability defence, and other defences raised by EBA.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circumstances of this case demand a cautious approach. Attempting to determine any of the contentious contractual issues in isolation could be problematic. There are numerous potential difficulties which may arise, if the court were to proceed summarily. For example, one of the defences raised is that no one other than the "Client" can rely upon EBA's work product. The Client for both reports is the Contracting Plaintiffs. EBA relies on this defence to assert that the Plaintiff Owners, the parties who presumably suffered the loss, have no claim against the defendants. The plaintiffs take the position that the general terms and conditions contained in the Proposal are the only conditions that apply to the contracts between the parties. Further, they say a full examination of the contractual relationship between the parties will enable them to establish that the Plaintiff Owners are entitled to maintain their claim. Consideration of the plaintiffs' argument will require an examination of a more substantial record than what is before the court on this application. Quite clearly, the two defences put forward by EBA are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should also be evident that the positions put forward by EBA on these two defences are potentially inconsistent. EBA says it can rely on the limitation of liability in the COAs as against all of the plaintiffs. However, if that defence is unsuccessful, it asserts that the Plaintiff Owners are not parties to any contract with EBA and cannot rely on the work performed by EBA. To allow the defence based on the COA terms and conditions to proceed separately from the defence based on the assertion that the Plaintiff Owners cannot rely on EBA's work could place the plaintiffs in an unfair situation. The two contractual defences should be determined at the same time, before the same decision-maker, based on a single evidentiary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summary, the many contractual issues raised by the parties in this action are intertwined to an extent that makes determination of the COA limitation of liability issue unsuitable for disposition by way of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Multiple Defences and Judicial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have put forward only one of numerous defences for consideration on this application. The other defences raised in the pleadings include: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not negligent in preparing the reports;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EBA did not breach its contractual obligations;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EBA owed no duty of care to the Plaintiff Owners;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did not rely on EBA's reports;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suffered no loss or damage, or in the alternative any damages suffered by the Plaintiff Owners are in the nature of pure economic loss;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estopped from denying that the limitation of liability provisions limit their claims because they were aware of the provisions and did not object to them or otherwise inform EBA they did not consider themselves bound by those conditions;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Owners have no cause of action because they were not in existence when the reports were prepared and there was no special relationship with EBA;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loss suffered by the plaintiffs was caused by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their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evident from this partial list of the defences that the determination of the proposed issue is not likely to resolve the numerous matters raised in this action. In some cases parties will agree, or it will be evident to the court, that resolution of a single issue will substantially resolve the whole of the case. That is certainly not the situation here. This is not a case where the defendants have put forward one defence of substance, the resolution of which will either completely decide the case or will substantially resolve the issues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are three possible conclusions a court could arrive at when considering the issue put forward by EBA: 1) the claims could be dismissed in their entirety; 2) claims based on one of the two reports, but not both of the reports, could be dismissed; and 3) the defendants' application could be dismissed. If the first result is obtained, the case would be completely resolved. However, if either the second or third result is obtained, the case would continue in full and the court would be required to consider all of the other defences raised. The litigation would not be materially advanced by any preliminary determinations. If the defendants were unsuccessful or partially successful on this application, there would be no savings of expense or time in relation to preparation, conduct of the trial, or the length of trial itself. The number and importance of the other defences is such that there would be no benefit whatsoever from making any preliminary determinations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Similarly, declining to decide the limitation of liability issue on this application will not result in an increase in the required court time at trial. If the case is to continue, the time required at trial to consider all of the defences raised will not be impacted by the decision to leave the COA limitation of liability issue to determination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Inefficient Use of Court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I have noted, there are three possible results if the summary trial application is allowed to proceed. It is likely an appeal would be taken from any of those decisions. The effect of an appeal would be to delay the trial date and cause the parties to incur further expenses without any certainty of providing efficiency with regard to court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case is well on its way to being ready for the trial which is scheduled to commence on July 13, 2015. There is ample time for the parties to conclude all pretrial proceedings. Although the claim advanced by the plaintiffs is for a substantial sum, the trial will not be overly long if the current estimates are accurate. Given the nature, complexity, and magnitude of the claims, there is certainly a possibility of an appeal following the trial. In light of this, it would be far more efficient to have all of the issues considered at one trial, and if necessary on one appeal, rather than to approach the issues on a piecemeal basis. These circumstances are a classic example of the type of action where litigating in slices does not promote the just, speedy and inexpensive resolution of the case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application for summary trial is dismissed.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777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Stalzer v. Nagai, [2014] B.C.J. No. 1929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28-30, May 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M121368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1929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1388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Stalzer, Plaintiff, and Craig B. Nagai,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jc w:val="both"/>
        <w:rPr>
          <w:rFonts w:ascii="arial" w:eastAsia="arial" w:hAnsi="arial" w:cs="arial"/>
          <w:sz w:val="20"/>
          <w:lang w:val="en-US" w:eastAsia="en-US" w:bidi="ar-SA"/>
        </w:rPr>
      </w:pPr>
      <w:bookmarkStart w:id="62" w:name="Counsel_16"/>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Clarkson. Y.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 Eyford.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16"/>
      <w:bookmarkEnd w:id="63"/>
      <w:r>
        <w:pict>
          <v:line id="_x0000_s1086" style="position:absolute;z-index:251730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K.W. BALL J._0"/>
            <w:bookmarkEnd w:id="64"/>
            <w:r>
              <w:rPr>
                <w:rFonts w:ascii="arial" w:eastAsia="arial" w:hAnsi="arial" w:cs="arial"/>
                <w:b/>
                <w:color w:val="000000"/>
                <w:sz w:val="30"/>
                <w:lang w:val="en-US" w:eastAsia="en-US" w:bidi="ar-SA"/>
              </w:rPr>
              <w:t>K.W. BALL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involving a collision between a motor vehicle and a bicycle has one primary issue: whether the plaintiff proved the defendant was actually negligent and therefore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September 21, 2010, around 6:00 a.m., a BMX style bicycle the plaintiff was riding collided with a Dodge Durango vehicle the defendant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the defendant was negligent and the proximate cause of his injuries. But the plaintiff also acknowledges that he contributed to the damages and must share a percentage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submits that the plaintiff was the sole cause of the collision and that the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Because this case's principal issue is the liability of one or both of the parties for the collision, the parties consented to an order to divide the issues in this case so that liability was dealt with first and separately from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short, I find that the plaintiff was the sole cause of the collision. The action is dismissed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September 21, 2010, at a few minutes before 6:00 a.m., the plaintiff left his apartment and rode his BMX style bicycle to the intersection of 227th Street and Dewdney Trunk Road in Maple Ridge, BC. The plaintiff was heading to work at the mill near the Albion ferry.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227th Street runs north and south. Dewdney Trunk Road runs east and west with two lanes of travel in either direction with an additional left turn lane for eastbound vehicles intending to turn north from Dewdney Trunk Road onto 227th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Stalzer testified that he arrived at the northeast corner of the intersection of 227th Street and Dewdney Trunk Road after riding his bicycle on the municipal sidewalk. He stopped and pushed the button for the pedestrian walk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 review of the photographs and diagrams attached to the expert report of Timothy S. Leggett, an accident reconstruction engineer called by the plaintiff (Exhibit 3), the button for the pedestrian walk signal is located on a metal pole at the back edge of the municipal sidewalk, and at the top of the same metal pole is a set of traffic control lights (red, yellow and green) under which is a pedestrian control signal light. The intersection also has sets of traffic control lights suspended above each of the highway's vehicle travel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intersection is not well-lit, and the area where the pedestrian button is located is quite dark. None of the photographs submitted by the plaintiff's expert display a person wearing dark clothing standing adjacent to the metal pole in that dark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giving evidence, Mr. Stalzer was asked where he stopped on the north east corner of 227th Street and Dewdney Trunk Road and to mark the location with his finger. But merely marking a location with a finger did not provide an enduring or a precise record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Stalzer testified that he looked to his left, or east, and he saw two or three vehicles and their headlights approaching from some distance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Stalzer then looked to his right and saw a Dodge Durango SUV approaching the intersection from the West. It had its headlights illuminated and left turning signal illuminated, and he saw it move into the left turning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that point, Mr. Stalzer decided to cross Dewdney Trunk Road against the traffic control signal notwithstanding that it was then illuminated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Upon getting ready to cross and when actually crossing, Mr. Stalzer did not look again to the West - i.e., in the Dodge Durango's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Stalzer testified he travelled from the sidewalk into the marked crosswalk. After pedaling for a few seconds, Mr. Stalzer testified that he began "gliding" - or riding without pedaling - across the intersection inside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riding along the crosswalk, Mr. Stalzer testified he was illuminated by the headlights of a vehicle approaching him. He also testified that he heard the engine of the Durango.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did not look at the oncoming vehicle; rather, he scrunched his body up "into a ball", and the Durango struck the back half of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Stalzer testified he was "knocked into the air" and "slid in circles". He said he went onto the Durango's hood and that his face made contact with the Durango's windshield.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Thereafter, Mr. Stalzer said he could not get up off the ground "because the right leg would not allow me to rise". Following the collision, he was in shock and could not talk or otherwise communicate for a few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Regarding being knocked in the air, Mr. Stalzer testified he landed 20 feet from the crosswalk. Mr. Stalzer confirmed, however, that the 20 feet was an estimate, and in cross-examination, he agreed the distance may have been less than 20 feet. Both of these statements were disputed, and more will be said about them below. No measurements were made at the scene by either of the parties or by anyone in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Stalzer believed the collision took place "past" or south of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time of the collision, Mr. Stalzer was wearing black and blue work boots, black jeans, a black hoodie and a black backpack. His clothing had no reflective elements (not "retro-reflective" clothing); he was not wearing a helmet; and he had no warning lights on his bicycle or helmet.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Stalzer's BMX style bicycle had no gears; it was a single speed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Late in the trial, counsel began to dispute what, if any, reflectors were on the bicycle wheel spokes. After a review of the DARS recording of the trial, it was noted Mr. Stalzer responded to a question during examination-in-chief about this issue. He was asked if he had made any changes to the bicycle. He testified that he had removed the "pegs" and changed the handlebars and brakes, but he said "I do not remember removing the reflectors from the wheels and I did not replace the pedals". He did not confirm the presence of reflectors on the spokes of the wheels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Following the collision, Mr. Stalzer did not recover his bicycle and therefore the exact state of the reflectors - which may or may not have been on the bicycle at the date of the collision - is not entirely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any event, the reflectors on the pedals, shown in the photo marked Exhibit 1, would have been at right angles to any driver on Dewdney Trunk Road, so they would have been of very little assistance in attracting a driver's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Nagai, the defendant, was the owner and driver of the Dodge Durango involved in the collision. Mr. Nagai testified that he was on his way to pick up a colleague to drive to work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Nagai was driving eastbound on Dewdney Trunk Road. He turned on his left signal light before 227th Street, moved his vehicle into the left turn lane, and then moved into the intersection to make a left turn. He stopped and waited in the intersection to allow westbound vehicles to pass. (Mr. Stalzer denied any westbound vehicles were passing the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waiting, Mr. Nagai realized that he should be turning left at 228th Street. He shoulder-checked to his right and behind for other eastbound vehicles. Then, when safe to move, he turned on his right turn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Nagai then moved his vehicle to the right and headed for the inside eastbound lane of Dewdney Trunk Road on the other side of 227th Street. Mr. Nagai testified that he was not aware of nor did he see Mr. Stalzer until just before the Durango hit Mr. Stalzer and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Durango is a full-sized SUV. The dead stop position in the left turn lane, approximately one-half of the way across the intersection, to the site of the collision was not more than 15 m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Mr. Nagai accelerated from a stopped position to the point of impact, I find the maximum speed achieved was significantly less than the 29 to 36 km/hr estimated by Mr. Leggett, the expert called by the plaintiff, and in any event, the speed was well below the posted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Nagai testified that when the front passenger corner of the Durango made contact with the rear of Mr. Stalzer's bicycle, the bicycle and Mr. Stalzer tipped over to the right. Mr. Nagai was clear in his evidence that Mr. Stalzer and his bicycle did not rise into the air, and they did not make contact with the hood or windshield of his vehicle; rather the bicycle simply tipped on to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Nagai immediately stopped his vehicle at impact. He found Mr. Stalzer four or five feet in front of the Durango and four or five feet from the eastern edge of the crosswalk from which Mr. Stalzer had just transited.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Both parties filed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Facts relied on or assumed by an expert for the purpose of giving an opinion must be proven in evidence: </w:t>
      </w:r>
      <w:r>
        <w:rPr>
          <w:rFonts w:ascii="arial" w:eastAsia="arial" w:hAnsi="arial" w:cs="arial"/>
          <w:i/>
          <w:color w:val="000000"/>
          <w:sz w:val="20"/>
          <w:lang w:val="en-US" w:eastAsia="en-US" w:bidi="ar-SA"/>
        </w:rPr>
        <w:t>R. v</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Abbey</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Abbey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LaVallee</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[1990] 1 S.C.R. 852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Lavallee</w:t>
      </w:r>
      <w:r>
        <w:rPr>
          <w:rFonts w:ascii="arial" w:eastAsia="arial" w:hAnsi="arial" w:cs="arial"/>
          <w:color w:val="000000"/>
          <w:sz w:val="20"/>
          <w:lang w:val="en-US" w:eastAsia="en-US" w:bidi="ar-SA"/>
        </w:rPr>
        <w:t xml:space="preserve">], the SCC reviewed and endorsed </w:t>
      </w:r>
      <w:r>
        <w:rPr>
          <w:rFonts w:ascii="arial" w:eastAsia="arial" w:hAnsi="arial" w:cs="arial"/>
          <w:i/>
          <w:color w:val="000000"/>
          <w:sz w:val="20"/>
          <w:lang w:val="en-US" w:eastAsia="en-US" w:bidi="ar-SA"/>
        </w:rPr>
        <w:t>Abbey</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Abbey</w:t>
      </w:r>
      <w:r>
        <w:rPr>
          <w:rFonts w:ascii="arial" w:eastAsia="arial" w:hAnsi="arial" w:cs="arial"/>
          <w:color w:val="000000"/>
          <w:sz w:val="20"/>
          <w:lang w:val="en-US" w:eastAsia="en-US" w:bidi="ar-SA"/>
        </w:rPr>
        <w:t>, the SCC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expert opinion based on second-hand evidence is admissible, if relevant. ...If an expert is permitted to give his opinion, he ought to be permitted to give the circumstances upon which that opinion is based...Testimony as to the circumstances upon which the opinion is based is not introduced, and cannot be introduced, in order to establish the veracity of the second-hand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Before an expert's opinion is of any assistance to the Court, the facts upon which the opinion is based upon must be proven in evidence. In other words, admissible expert evidence cannot be given any weight without a proper factual foundation. The lack of such proof will have a direct effect on the weight to be given to the opinion, and if such proof is lacking, the opinion will be given little, if any,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Further support for the above principles is contained in </w:t>
      </w:r>
      <w:r>
        <w:rPr>
          <w:rFonts w:ascii="arial" w:eastAsia="arial" w:hAnsi="arial" w:cs="arial"/>
          <w:i/>
          <w:color w:val="000000"/>
          <w:sz w:val="20"/>
          <w:lang w:val="en-US" w:eastAsia="en-US" w:bidi="ar-SA"/>
        </w:rPr>
        <w:t>Lavallee</w:t>
      </w:r>
      <w:r>
        <w:rPr>
          <w:rFonts w:ascii="arial" w:eastAsia="arial" w:hAnsi="arial" w:cs="arial"/>
          <w:color w:val="000000"/>
          <w:sz w:val="20"/>
          <w:lang w:val="en-US" w:eastAsia="en-US" w:bidi="ar-SA"/>
        </w:rPr>
        <w:t xml:space="preserve"> at paras. 66 and 84; </w:t>
      </w:r>
      <w:r>
        <w:rPr>
          <w:rFonts w:ascii="arial" w:eastAsia="arial" w:hAnsi="arial" w:cs="arial"/>
          <w:i/>
          <w:color w:val="000000"/>
          <w:sz w:val="20"/>
          <w:lang w:val="en-US" w:eastAsia="en-US" w:bidi="ar-SA"/>
        </w:rPr>
        <w:t>R. v. Gibson</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2008 SCC 16</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R. v. Paszczenko; R. v. Lima</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2010 ONCA 615</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R. v. Davey</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2010 ONCA 818</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Lavallee</w:t>
      </w:r>
      <w:r>
        <w:rPr>
          <w:rFonts w:ascii="arial" w:eastAsia="arial" w:hAnsi="arial" w:cs="arial"/>
          <w:color w:val="000000"/>
          <w:sz w:val="20"/>
          <w:lang w:val="en-US" w:eastAsia="en-US" w:bidi="ar-SA"/>
        </w:rPr>
        <w:t>, the majority held that the mix of proven and unproven evidence should go to weight. But Sopinka J., for the minority, stated a distinction between information known and widely accepted in a field of expert opinion and facts coming from the party's mouth: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Where, however, the information upon which an expert forms his or her opinion comes from the mouth of a party to the litigation, or from any other source that is inherently suspect, a court ought to require independent proof of that information. The lack of such proof will, consistent with Abbey, have a direct effect on the weight to be given to the opinion, perhaps to the vanishing point. But it must be recognized that it will only be very rarely that an expert's opinion is entirely based upon such information, with no independent proof of any of it. Where an expert's opinion is based in part upon suspect information and in part upon either admitted facts or facts sought to be proved, the matter is purely one of weight. In this respect, I agree with the statement of Wilson J. at p. 896, as applied to circumstances such as those in the present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as long as there is some admissible evidence to establish the foundation for the expert's opinion, the trial judge cannot subsequently instruct the jury to completely ignore the testimony. The judge must, of course, warn the jury that the more the expert relies on facts not proved in evidence the less weight the jury may attribute to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foregoing principles of law were adopted by Watt J. in </w:t>
      </w:r>
      <w:r>
        <w:rPr>
          <w:rFonts w:ascii="arial" w:eastAsia="arial" w:hAnsi="arial" w:cs="arial"/>
          <w:i/>
          <w:color w:val="000000"/>
          <w:sz w:val="20"/>
          <w:lang w:val="en-US" w:eastAsia="en-US" w:bidi="ar-SA"/>
        </w:rPr>
        <w:t>R. v. Worrall</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[2004] O.J. No. 3463</w:t>
        </w:r>
      </w:hyperlink>
      <w:r>
        <w:rPr>
          <w:rFonts w:ascii="arial" w:eastAsia="arial" w:hAnsi="arial" w:cs="arial"/>
          <w:color w:val="000000"/>
          <w:sz w:val="20"/>
          <w:lang w:val="en-US" w:eastAsia="en-US" w:bidi="ar-SA"/>
        </w:rPr>
        <w:t xml:space="preserve"> at para. 83 (Ont. Sup.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An expert "Vehicle Incident Report" dated 31 January 2014 was prepared by Timothy Leggett. Apart from some technical issues the defendant raised, one of the facts and assumptions regarding the accident scene that Mr. Leggett relied upon was: "After being struck by the Durango, Mr. Stalzer came to rest approximately 20 feet east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Leggett also assumed that Mr. Stalzer was riding his bicycle in the center of the crosswalk, so he added five feet or half of the crosswalk width to his calculation of Mr. Stalzer's "overall post-impact travel distance of 7.6 m" or 25 feet. Using that distance Mr. Leggett then calculated the speed using an average deceleration rate of 0.66 G's. In sum, he calculated that the Dodge Durango was traveling at 29 to 36 km/h at impact. That speed would have had to have been achieved from a stopped position in the intersection, (Mr. Leggett assumed this stopped position to be one to two car lengths into the intersection) to the assumed position of impact, the middle of the crosswalk or, at a minimum, 11.6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in the case law discussed above, the facts and assumptions used by an expert are of little significance unless those facts and assumptions are proven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For the following reasons I am unable to conclude that:</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Stalzer was struck in the center of the crosswalk;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being struck, Mr. Stalzer came to rest 20 feet east of the crosswalk;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"overall post-impact travel distance" was 7.6 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Stalzer did not testify the collision occurred in the center of the crosswalk, and he testified that his 20 foot estimate could have been less than 20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Nagai's evidence was that Mr. Stalzer's bicycle tipped over and that he found Mr. Stalzer four or five feet from the east side of the crosswalk. He repeated this evidence in cross examination, and that assertion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both his statement to the ICBC, which was put to Mr. Nagai by plaintiff's counsel in cross examination [Exhibit 6], and in the diagram [Exhibit 10] that he marked while giving evidence, Mr. Nagai placed Mr. Stalzer's post-collision location as very near the eastern most edge of the North South crosswalk on Dewdney Trunk Road. While Mr. Nagai acknowledged that location was his estimate and that no formal measurement was taken, the difference between 1.524 meters (5 feet) and 7.6 (25 feet) meters is substantial. Mr. Nagai was not challenged in cross-examination about the location where he found Mr. Stalzer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ambulance crew report (attached to Exhibit 8) was put to Mr. Stalzer during cross-examination. He agreed, very reluctantly, he told the ambulance crew what had happened in the collision. Precisely, he said "I told the ambulance crew what had happened. I told the ambulance crew that I had been knocked over." The ambulance crew report said the plaintiff said he was "knocked over causing right ankle break and lower back abrasions. Patient states front end of vehicle struck his right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 question was then put to him in cross-examination, "Did you not tell them [the ambulance attendants] that you were carried up on to the hood of the car?" His answer was "I did not tell them but it did happen. I </w:t>
      </w:r>
      <w:r>
        <w:rPr>
          <w:rFonts w:ascii="arial" w:eastAsia="arial" w:hAnsi="arial" w:cs="arial"/>
          <w:b/>
          <w:color w:val="000000"/>
          <w:sz w:val="20"/>
          <w:u w:val="single"/>
          <w:lang w:val="en-US" w:eastAsia="en-US" w:bidi="ar-SA"/>
        </w:rPr>
        <w:t>felt</w:t>
      </w:r>
      <w:r>
        <w:rPr>
          <w:rFonts w:ascii="arial" w:eastAsia="arial" w:hAnsi="arial" w:cs="arial"/>
          <w:color w:val="000000"/>
          <w:sz w:val="20"/>
          <w:lang w:val="en-US" w:eastAsia="en-US" w:bidi="ar-SA"/>
        </w:rPr>
        <w:t xml:space="preserve"> I was knocked into the air and landed on the ground. I ended up on the curb lane on Dewdney Trunk Toad"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Notably, Mr. Stalzer did not say he </w:t>
      </w:r>
      <w:r>
        <w:rPr>
          <w:rFonts w:ascii="arial" w:eastAsia="arial" w:hAnsi="arial" w:cs="arial"/>
          <w:color w:val="000000"/>
          <w:sz w:val="20"/>
          <w:u w:val="single"/>
          <w:lang w:val="en-US" w:eastAsia="en-US" w:bidi="ar-SA"/>
        </w:rPr>
        <w:t>was</w:t>
      </w:r>
      <w:r>
        <w:rPr>
          <w:rFonts w:ascii="arial" w:eastAsia="arial" w:hAnsi="arial" w:cs="arial"/>
          <w:color w:val="000000"/>
          <w:sz w:val="20"/>
          <w:lang w:val="en-US" w:eastAsia="en-US" w:bidi="ar-SA"/>
        </w:rPr>
        <w:t xml:space="preserve"> actually knocked in the air. He said he </w:t>
      </w:r>
      <w:r>
        <w:rPr>
          <w:rFonts w:ascii="arial" w:eastAsia="arial" w:hAnsi="arial" w:cs="arial"/>
          <w:color w:val="000000"/>
          <w:sz w:val="20"/>
          <w:u w:val="single"/>
          <w:lang w:val="en-US" w:eastAsia="en-US" w:bidi="ar-SA"/>
        </w:rPr>
        <w:t>felt</w:t>
      </w:r>
      <w:r>
        <w:rPr>
          <w:rFonts w:ascii="arial" w:eastAsia="arial" w:hAnsi="arial" w:cs="arial"/>
          <w:color w:val="000000"/>
          <w:sz w:val="20"/>
          <w:lang w:val="en-US" w:eastAsia="en-US" w:bidi="ar-SA"/>
        </w:rPr>
        <w:t xml:space="preserve"> he was knocked in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Moreover, even if Mr. Stalzer said he </w:t>
      </w:r>
      <w:r>
        <w:rPr>
          <w:rFonts w:ascii="arial" w:eastAsia="arial" w:hAnsi="arial" w:cs="arial"/>
          <w:color w:val="000000"/>
          <w:sz w:val="20"/>
          <w:u w:val="single"/>
          <w:lang w:val="en-US" w:eastAsia="en-US" w:bidi="ar-SA"/>
        </w:rPr>
        <w:t>was</w:t>
      </w:r>
      <w:r>
        <w:rPr>
          <w:rFonts w:ascii="arial" w:eastAsia="arial" w:hAnsi="arial" w:cs="arial"/>
          <w:color w:val="000000"/>
          <w:sz w:val="20"/>
          <w:lang w:val="en-US" w:eastAsia="en-US" w:bidi="ar-SA"/>
        </w:rPr>
        <w:t xml:space="preserve"> actually knocked in the air, given the actual answers given to the ambulance crew, Mr. Stalzer has demonstrated an external inconsistency in his evidence. The statement recorded by the ambulance crew, i.e., that Mr. Stalzer was knocked over, was consistent with Mr. Nagai's evidence and inconsistent with Mr. Stalzer's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these circumstances, I prefer Mr. Nagai's evidence about the mechanism and result of the accident, and I reject the Mr. Stalzer's evidence where the two conflict. Simply put, Mr. Nagai's evidence does not succumb to the same external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Stalzer, based on his own evidence, immediately following the collision was significantly disoriented, in shock, and in significant pain. Mr. Nagai said he was shaken by the experience, but he nonetheless was readily able to communicate with and other first responders. I do not find that Mr. Stalzer's shock or pain explains the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Based on my review of the evidence and finding against the plaintiff's credibility on the mechanism of the accident, the plaintiff has not proved, on the balance of probabilities, the facts and assumptions that Mr. Leggett used in his report, including where the bike was actually struck, the location where Mr. Stalzer's body came to rest after the collision, the speed of Mr. Nagai's vehicle, the time-distance analysis, and the potential for collision avoidance.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Therefore, I am unable to place any weight on the accident reconstruction report offered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acknowledges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included: operating a bicycle in the dark without a light; riding his bicycle in a cross-walk; and wearing dark clothes that were not marked by reflective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Moreover, the plaintiff's conduct breached multiple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First, he rode his bicycle on a sidewalk contrary to s. 200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Second, he did not obey traffic control lights (s. 125), a red light (s. 129), or pedestrian control (s. 132). Third, he rode his bicycle in a crosswalk on the left side of a roadway (ss. 183(2)(b) and (c)) without lights, front or rear (s. 183(6)(c)) or mandated reflectors on his bicycle (s. 183(6)(b)). This behaviour is not expected behaviour to be anticipated by other motorists who are otherwise driving with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only evidence about the defendant's conduct is that he stopped in the intersection intending to make a left turn, and he remained stopped to allow westbound traffic to pass his position. Mr. Stalzer denied that he saw westbound traffic. Mr. Nagai's evidence that he waited for westbound vehicles was not challenged, and it is consistent with the balance of his evidence. I prefer Mr. Nagai's evidence on this point and reject Mr. Stalzer's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Nagai then realized he was at the wrong intersection. He changed his signal to the right and checked to make sure it was safe for him to move his vehicle back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After it was safe, he then proceeded eastbound on Dewdney Trunk Road. He was driving eastbound well below the speed limit from "launch" to collision without any evidence of "aggressive acceleration" as Mr. Leggett assumed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Absolutely nowhere in that record of driving is there any breach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or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admits that he was negligent, but his counsel submits that his liability accounts for only 15%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When the plaintiff entered the intersection in violation of many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provisions, he accepted an elevated duty of care in favour of others using the highway. Moreover, the plaintiff failed, on his own evidence, to keep any look out at all, and he did not look to the west to see the Durango then moving towards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standard of care expected of a driver is not perfection, but the standard is whether the driver acted as an ordinarily prudent driver would act: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Clearly, a bicyclist shares the same rights and duties as the driver of a motor vehicle: see s. 183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Friedrich v. Shea</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2008 BCSC 1243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have put my mind to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paras. 18 and 21 for the proposition that statutory provisions provide guidelines for assessing fault in motor vehicle cases. I recognize that statutory breaches are not a complete legal framework for determining when a party is negligent. Indeed, I still need to consider the reasonableness of the parties'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But as the Court of Appeal very recently said in </w:t>
      </w:r>
      <w:r>
        <w:rPr>
          <w:rFonts w:ascii="arial" w:eastAsia="arial" w:hAnsi="arial" w:cs="arial"/>
          <w:i/>
          <w:color w:val="000000"/>
          <w:sz w:val="20"/>
          <w:lang w:val="en-US" w:eastAsia="en-US" w:bidi="ar-SA"/>
        </w:rPr>
        <w:t>Ormiston v. Insurance Corporation of British Columbia</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2014 BCCA 276</w:t>
        </w:r>
      </w:hyperlink>
      <w:r>
        <w:rPr>
          <w:rFonts w:ascii="arial" w:eastAsia="arial" w:hAnsi="arial" w:cs="arial"/>
          <w:color w:val="000000"/>
          <w:sz w:val="20"/>
          <w:lang w:val="en-US" w:eastAsia="en-US" w:bidi="ar-SA"/>
        </w:rPr>
        <w:t xml:space="preserve"> at para. 14: "Generally a breach of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will constitute a breach of the standard of care borne by the reasonable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this case, the plaintiff repeatedly breached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He took a significant risk in choosing to leave a place of safety and ride unlawfully against a traffic signal light. The greater the risk a party takes the greater the need to for care. It is also trite law that the defendant does not have to anticipate unlawful and dangerous behaviours.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plaintiff's counsel relied on both </w:t>
      </w:r>
      <w:r>
        <w:rPr>
          <w:rFonts w:ascii="arial" w:eastAsia="arial" w:hAnsi="arial" w:cs="arial"/>
          <w:i/>
          <w:color w:val="000000"/>
          <w:sz w:val="20"/>
          <w:lang w:val="en-US" w:eastAsia="en-US" w:bidi="ar-SA"/>
        </w:rPr>
        <w:t>Niitanmo v. ICBC</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2003 BCSC 608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Dobre v. Langley</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2011 BCSC 1315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Dobre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Dobre</w:t>
      </w:r>
      <w:r>
        <w:rPr>
          <w:rFonts w:ascii="arial" w:eastAsia="arial" w:hAnsi="arial" w:cs="arial"/>
          <w:color w:val="000000"/>
          <w:sz w:val="20"/>
          <w:lang w:val="en-US" w:eastAsia="en-US" w:bidi="ar-SA"/>
        </w:rPr>
        <w:t>, the cyclist pressed a pedestrian activated signal that immediately activated visible, flashing lights, and the Court found that action to be a step to make his presence known to the defendant and to insure his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contrary happened in this case: Mr. Stalzer rode directly against the red traffic signal light in circumstances where his presence was made difficult to perceive by his dark attire, lack of reflective clothes, and lack of bike lights. He entered the intersection while also violating many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Dobre</w:t>
      </w:r>
      <w:r>
        <w:rPr>
          <w:rFonts w:ascii="arial" w:eastAsia="arial" w:hAnsi="arial" w:cs="arial"/>
          <w:color w:val="000000"/>
          <w:sz w:val="20"/>
          <w:lang w:val="en-US" w:eastAsia="en-US" w:bidi="ar-SA"/>
        </w:rPr>
        <w:t xml:space="preserve"> at para. 34, Brown J. notes that s. 183(2)(b) obligates a bicyclist intending to cross a highway to dismount and walk their bicycle across the highway. And Brown J. said, the defendant "still owed Mr. Dobre a general legal duty of care, through proving he was a recognizable hazard than that his actions had left the defendant with enough time and distance to see and avoid striking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this case, I find Mr. Stalzer has not proven that he made himself a recognizable hazard or that he left enough time for the defendant to avoid striking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the plaintiff bicyclist rode through a well-lit intersection where there was no issue of a careful motorist being able to see the presence of the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present case is distinguishable because Mr. Stalzer would not have been readily visible given the lack of any warning light (such as that used by Mr. Niitamo) or reflective clothes and the fact that Mr. Stalzer was dressed entirely in dark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Justice Ballance noted the expectation of a driver approaching a marked cross walk at para. 22 of 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the defendant has not breached the standard Ballance J.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plaintiff's expert witness agreed during cross-examination that the scenario of the plaintiff's numerous breaches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in this case would not be anticipated by the normal prudent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every one of the authorities counsel cited, the Courts remarked on the need of users of the road - including cyclists - to take reasonable care to avoid collisions with other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this case, Mr. Stalzer completely failed in his duty to act with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 driver on Dewdney Trunk Road would not expect or be duty bound to expect a cyclist would cross a busy highway in the dark of night against a traffic control signal light, in a poorly lit intersection and without any warning lights or significant reflectors on the bicycle moving on the highway in a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this case, Mr. Stalzer's movement in the marked crosswalk was controlled by a traffic light with pedestrian signals. The plaintiff ignored all of those signals, and by ignoring these signals as well as all of his other reckless, unreasonable conduct, he was 100% liable for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Taking into account all of the evidence and the submissions of counsel, this Court is not satisfied that the plaintiff has proven any breach of duty or negligent act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Therefore, I dismiss this action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K.W. BALL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7780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Steen McVeigh v. Boeriu, [2011] B.C.J. No. 554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S2036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Powell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554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 A.C.W.S. (3d) 903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732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Dorrit Yvonne Steen McVeigh, Plaintiff/Respondent, and Kathleen Boeriu, George Boeriu, Defendants/Applicants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(109 paras.)</w:t>
      </w:r>
    </w:p>
    <w:p>
      <w:pPr>
        <w:jc w:val="both"/>
        <w:rPr>
          <w:rFonts w:ascii="arial" w:eastAsia="arial" w:hAnsi="arial" w:cs="arial"/>
          <w:sz w:val="20"/>
          <w:lang w:val="en-US" w:eastAsia="en-US" w:bidi="ar-SA"/>
        </w:rPr>
      </w:pPr>
      <w:bookmarkStart w:id="65" w:name="Counsel_17"/>
      <w:bookmarkEnd w:id="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R.N. Beckman.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6" w:name="Judgment_17"/>
      <w:bookmarkEnd w:id="66"/>
      <w:r>
        <w:pict>
          <v:line id="_x0000_s1089" style="position:absolute;z-index:251731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7" w:name="K.M. KER J."/>
            <w:bookmarkEnd w:id="67"/>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case in defamation and arises in the context of a dispute grounded in the politics of, and how various parties conducted themselves in relation to, issues of concern to the Gillies Bay Improvement District and its Board of Trustees on Texada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Dorrit Yvonne Steen McVeigh, the plaintiff, and her husband, Gordon Mark McVeigh, are residents of Texada Island. Kathleen Boeriu and George Boeriu, the defendants, are also residents of Texada Island. The McVeighs and the Boerius are ratepayers in the Gillies Bay Improvement District ("GBID").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McVeigh is a Trustee with the GBID Board of Trustees (the "Board"). Mr. McVeigh was once the Chair of the Board. The Board is responsible for administering the provision of essential services, including water and fire protection, to the GBID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fall of 2007 and in early 2008, the GBID Board meetings were hampered by difficulties and conflict within the Board amongst some of its Trustees, as well as by certain allegations made, and actions undertaken, by Mr. McVeigh.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January 2008, Rob McWilliam was the Chair of the Board (the "Chair"). On January 8, 2008, Mr. McWilliam presided over a special general meeting of the ratepayers of the GBID which had been convened to address Mr. McVeigh's expression of displeasure with the Board's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this same meeting, the plaintiff's conduct as a Trustee of the Board was raised and several ratepayers in attendance called on her to resign. The plaintiff declined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At the meeting of the Board, the Chair informed those in attendance that most of the Trustees were contemplating resignation from the Board over the conflict and crisis caused by Mr. McVeigh's behaviour and allegations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Board's conduct. The Chair, on behalf of the Board, sought the support of the ratepayers to continue to run the GBID and the Chair invited the ratepayers to provide feedback as to how the Board should deal with the crisis that appeared to be hampering its effective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were in attendance at this meeting and had attended many previous Board meetings in the 18 months leading up to the January 8, 2008,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response to the Chair's call for support for the Board, on January 9, 2008, the defendants wrote a letter (the "Letter") addressed to Rob McWilliam in his capacity as the Chair. The Letter, intended to convey their support for the Board, outlined the defendants' personal observations garnered from an extended period of time of attending and observing the GBID Board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request of the defendants, Mr. McWilliam read the contents of the Letter aloud at the January 15, 2008 meeting of the Board, where there were both Board members and ratepayers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claims the Letter defamed her and was false and misleading. Specifically, the plaintiff claims it has caused her injury by exposing her to hatred, contempt, and ridicule and that it has discouraged others from associating or dealing with her as a consequence of the publication of the Letter. She claims general and punitive damages and also seeks a public retraction of the false and misleading statements and an apology for the harm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admit they wrote the Letter, provided it to Mr. McWilliam and authorized him to read it out at the subsequent Board meeting. In their amended statement of defence the Boerius deny the Letter is defamatory. They plead in the alternative that the documents were published on an occasion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claims the Boerius acted with malice and that the defence of qualified privilege is not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have brought an application pursuant to Rule 9-7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seeking a determination on the issue of liability and that the plaintiff's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Information and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GBID functions under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and is the local government authority responsible for providing services, including water and fire protection, and operating a drinking water system in the Gilles Bay area of the island. It also provides fire protection services and street lighting services to the residents of Texada Island. The GBID operates with a few part-time employees and with volunteers under the direction of a five person Board elected by the ratepayers of the district. The employees are paid. Members of the Board receive token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McVeighs moved to Texada Island after retiring from lengthy careers as accountants. Mr. McVeigh was a Certified Management Accountant for over 20 years and worked as Comptroller of Accounting with the City of Vancouver. Mrs. McVeigh was a Certified General Accountant with 19 years experience in a municipal government setting, holding the positions of Assistant Internal Auditor for the City of Vancouver as well as Assistant Comptroller of Accounting and Budget Analyst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McVeigh developed an interest in the operation of water systems and in the activities of the GBID. He developed a level of expertise in the area of operation of small water systems and was an Assistant Water Operator for the GBID for about 10 years prior to being elected as a Trustee of the Board in 2005. Mr. McVeigh was Chair of the GBID Board from October 2006 until he resigned in April 2007. Mrs. McVeigh was first elected as a Trustee of the GBID Board in April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Boerius are also retired, and moved to Texada Island in 1998. Mr. Boeriu retired after a 35 year career as police officer with the RCMP. Prior to her retirement, Mrs. Boeriu was employed in a variety of positions including as a nursing assistant in extended care, a health care coordinator, a rancher and a small business owner. In January 2008 the Boerius were ratepayers of GBID but not members of its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a related but separate proceeding, Mrs. McVeigh's husband brought an action in defamation against the Chair of the Board for comments made by the Chair about Mr. McVeigh contained in two documents he prepared and circulated at the January 8, 2008, special general meeting of the Board (the "Meeting"). This matter was heard by means of a trial before Mr. Justice Shabbits. In reasons indexed as </w:t>
      </w:r>
      <w:r>
        <w:rPr>
          <w:rFonts w:ascii="arial" w:eastAsia="arial" w:hAnsi="arial" w:cs="arial"/>
          <w:i/>
          <w:color w:val="000000"/>
          <w:sz w:val="20"/>
          <w:lang w:val="en-US" w:eastAsia="en-US" w:bidi="ar-SA"/>
        </w:rPr>
        <w:t>McVeigh v. McWilliam</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2010 BCSC 34</w:t>
        </w:r>
      </w:hyperlink>
      <w:r>
        <w:rPr>
          <w:rFonts w:ascii="arial" w:eastAsia="arial" w:hAnsi="arial" w:cs="arial"/>
          <w:color w:val="000000"/>
          <w:sz w:val="20"/>
          <w:lang w:val="en-US" w:eastAsia="en-US" w:bidi="ar-SA"/>
        </w:rPr>
        <w:t>, Shabbits J. dismissed Mr. McVeigh's action, finding the contents of the offending documents prepared by Mr. McWilliam to be defamatory but that the defences of justification and qualified privilege had been made out and applied to the Chair's actions. Correspondence prepared by Mr. McVeigh insinuating that one Trustee had committed a serious criminal act was also found to be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Both Mr. McVeigh's action and Mrs. McVeigh's action in the instant case have their genesis in events leading up to the Meeting. Prior to the Meeting, Mr. McVeigh had written and circulated a memorandum addressed to the "GBID Taxpayers" that the Boerius' construed as insinuating that members of the Board were: not spending public money wisely; allowing personal bias to influence their decisions; conducting themselves unethically; and, not adhering to the rule of law. Essentially, Mr. McVeigh alleged that the GBID and its Board were incapable of managing its fiduciary responsibilities, a claim Mr. Justice Shabbits found to be fantastic and absurd.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An additional document of concern to the defendants in this action, created by Mr. McVeigh, was a bulletin he authored and circulated to the ratepayers in December 2007. It pertains to Mr. McVeigh's contention the Board, with the exception of the plaintiff, had inappropriately decided to hire another candidate as the operator of the GBID water system in circumstances where Mr. McVeigh felt he was better qualified. Mr. McVeigh insinuated in his bulletin the Board was biased in its hiring decision, acted in breach of the public trust and was not spending public funds appropriately. This document was also part of the materials considered in the defamation action heard by Mr. Justice Shabbits and was included as Appendix 6 to that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decision to hire the water operator was made at an in-camera meeting of the Board. Mrs. McVeigh attended that meeting in her capacity as a trustee of the Board. The only plausible source of the information becoming public in the manner it did was, as the defendants and Mr. McWilliam assert in their evidence, through the plaintiff disclosing it to Mr. McVeigh.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confronted at the special general meeting of January 8, 2008, with the suggestion she had leaked the information, Mrs. McVeigh did not deny the allegation. However, Mr. McVeigh deposes in his affidavit Mrs. McVeigh was not the source of the information, he obtained it through his own research, observations and conversations with others. In her affidavit Mrs. McVeigh simply deposes she is not the only plausible source of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Boerius' belief and conclusion Mrs. McVeigh leaked information from the in-camera hearing coupled with their observations of Mrs. McVeigh's behaviour at earlier GBID meetings, as well as the January 8, 2008, meeting, caused the Boerius great concern as to Mrs. McVeigh's abilities to discharge her duties as a Trustee in accordance with the GBID Board of Trustees Code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further document filed in this summary trial, which was also before Mr Justice Shabbits, was a January 8, 2008, memorandum created by Mr. McVeigh and addressed to the GBID taxpayers. It adds to the context of the January 8, 2008, special general meeting. By the time this document was disseminated (Exhibit D in this proceeding and Appendix 8 to the Reasons for Judgment of Mr. Justice Shabbits), Mr. McVeigh was making public accusations about the lack of ethical or responsible Trustees of the Board who were failing, in Mr. McVeigh's opinion, to perform their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Meeting was convened to address Mr. McVeigh's allegations, and Mr. McWilliam provided his own documents in response to Mr. McVeigh's allegations. Those documents, as well as Mr. McVeigh's various public letters and mail outs, formed part of the subject matter of the defamation action heard by Mr. Justice Shabbits. What was at issue in the Meeting was whether the Board continued to enjoy the support of the GBID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Clearly, by January 8, 2008, the Board was in a state of crisis precipitated in large part by the various allegations levelled against it by Mr. McVeigh and because of the difficulties the Board was experiencing in trying to conduct its meetings and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 Justice Shabbits' findings in his reasons for judgment in </w:t>
      </w:r>
      <w:r>
        <w:rPr>
          <w:rFonts w:ascii="arial" w:eastAsia="arial" w:hAnsi="arial" w:cs="arial"/>
          <w:i/>
          <w:color w:val="000000"/>
          <w:sz w:val="20"/>
          <w:lang w:val="en-US" w:eastAsia="en-US" w:bidi="ar-SA"/>
        </w:rPr>
        <w:t>McVeigh</w:t>
      </w:r>
      <w:r>
        <w:rPr>
          <w:rFonts w:ascii="arial" w:eastAsia="arial" w:hAnsi="arial" w:cs="arial"/>
          <w:color w:val="000000"/>
          <w:sz w:val="20"/>
          <w:lang w:val="en-US" w:eastAsia="en-US" w:bidi="ar-SA"/>
        </w:rPr>
        <w:t xml:space="preserve"> at paras. 44-49 provide additional context to the circumstances that gave rise to the January 8, 2008, special general meeting that bear noting in this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After Mr. McVeigh resigned, and until January 2008, Mr. McVeigh immersed himself in Board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Mr. McVeigh unsuccessfully attempted to become a District employee. He concluded that he should have been hired as a District employee and that his not being hired was because of improprieties. Appendix 6 is a document created and publicly circulated by Mr. McVeigh. It sets out some of his complaints in respect of not being hired.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Mr. McVeigh identified a number of events or incidents or actions or decisions that he perceived involved criminality or misconduct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Board or on the part of one or more of its members or on the part of others having dealings with the District or its Board, including governmental supervisors and outside professionals having dealings with the District.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Mr. McVeigh wrote letters and he sent e-mails about his concerns. He attended Board meetings.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Mr. McVeigh's communications insinuated or asserted that Board members or Board employees or those having professional contact with the District or its Board were acting negligently or incompetently or not carrying out their fiduciary or professional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By December 2007 and January 2008, Mr. McVeigh was using public mail outs to make some of his concerns and accusations known to the ratepayers of the Gillies Bay Improvement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from the Boerius and Mr. McWilliam outlines their observations of the behaviour of Mrs. McVeigh at the special general meeting on January 8, 2008, and also outlines concerns about what they perceived to be Mrs. McVeigh's contentious conduct in other Board meetings, including raising issues after a matter had been fully debated, voted on and a motion passed by the Board, and aligning herself with the position her husband was advancing in the various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her evidence, Mrs. McVeigh does not construe her conduct as being obstreperous or in violation of the Code of Conduct applicable to Board Trustees. It is her position she simply was fulfilling her duties as a Trustee in raising issues of concern to the GBID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not necessary for the purpose of this proceeding, however, to make a finding as to whether or not Mrs. McVeigh was, in fact, in violation of any of the provisions of the GBID Board of Trustees Code of Conduct or its Conflict of Interests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there is conflict in the affidavit materials as to who said what to whom and when and how the difficulties arose as between the Board, Mr. McVeigh and Mrs. McVeigh, those matters are not necessarily germane to the determination of the matter currently before the court. It is sufficient for the purposes of disposition of this matter to conclude the comments contained in the Letter arose out of the crisis and division of opinion on how the Board should be conducting itself and the affairs of the GBID and spending the ratepayers' tax dollars. The Chair, Mr. McWilliam, indicated the majority of the Board found the conduct of Mr. McVeigh and Mrs. McVeigh to be causing a crisis and most of the Board members were about to resign. It was in this context of crisis, dispute and dissension the Letter in issue was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affidavits from the Boerius and Mr. McWilliam adduced in this application clearly establish they observed and perceived Mr. McVeigh was not acting alone and Mrs. McVeigh was aligned with her husband's position, including distributing his materials at the meeting, interrupting other Board members, endeavouring to return to a topic raised by Mr. McVeigh after the topic had been closed, and challenging Board decisions even when the majority of the Board passed a motion on an issue. I am satisfied Mr. McVeigh and the plaintiff were acting in tandem in advancing Mr. McVeigh's allegations and insinuations of impropriety by the Board. The evidence also establishes Mrs. McVeigh's conduct and behaviour as a Trustee was raised at the Meeting and her resignation was called for by a group of the ratepayers in attendance at the meeting. Mrs. McVeigh declined to resign.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the Letter was based on the observations made by the Boerius as to the conduct of Mr. and Mrs. McVeigh in the course of a number of Board meetings that they had attended prior to January 8, 2008. The Letter was written in response to the Chair's request at the Meeting for feedback as to how the crisis might be resolved and was also prepared to show the Board it had the Boerius' support, in response to the Chair's expression of concern most members of the Board were considering resigning if the Board did not have the support of the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requested by the Boerius, Mr. McWilliam read the Letter at the next Board meeting, January 15, 2008, where other Trustees, as well as GBID ratepayers, were in attendance. The debate from the January 8, 2008, meeting as to Mrs. McVeigh's conduct and the contents of the Letter would no doubt provoke debate and discussion amongst those in attendance at the January 15, 2008, meeting, all of whom, as ratepayers or trustees, had a shared interest in understanding and discussing the issues and endeavouring to reach some sort of resolution of the issues dividing and hampering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Letter from the Boerius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document that gives rise to the plaintiff's claim is the January 9, 2008, letter written by the defendants, addressed as follows: "To Mr. Rob McWilliam, the Chairperson, (Re: GBID Meeting of Jan. 8, 2008)". The Letter is reproduced in its entirety as Appendix 1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her statement of claim, the plaintiff complains and alleges the defendants defamed her by writing this letter to the Chairperson and by having the letter read aloud at an open public meeting of the GBID ratepayers on January 15, 2008, with reckless disregard for the truth and without lawful justification or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their amended statement of defence, the defendants deny the Letter was defamatory or libellous of the plaintiff and plead in the alternative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Paragraph 6 of the statement of claim identifies six allegations in the Letter the plaintiff claims are defamatory. Paragraph 6 reads as follows:</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alleges that the following defamatory statements have caused injury to her by exposing her to hatred, contempt, ridicule and discouraged others from associating and dealing with 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From Jan 09, 2008 - letter (Re: GBID Meeting of Jan. 8, 2009)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Trustee McVeigh is in gross violation of 4 out of 8 of </w:t>
      </w:r>
      <w:r>
        <w:rPr>
          <w:rFonts w:ascii="arial" w:eastAsia="arial" w:hAnsi="arial" w:cs="arial"/>
          <w:b/>
          <w:color w:val="000000"/>
          <w:sz w:val="20"/>
          <w:lang w:val="en-US" w:eastAsia="en-US" w:bidi="ar-SA"/>
        </w:rPr>
        <w:t>your own Codes of Conduct!</w:t>
      </w:r>
      <w:r>
        <w:rPr>
          <w:rFonts w:ascii="arial" w:eastAsia="arial" w:hAnsi="arial" w:cs="arial"/>
          <w:color w:val="000000"/>
          <w:sz w:val="20"/>
          <w:lang w:val="en-US" w:eastAsia="en-US" w:bidi="ar-SA"/>
        </w:rPr>
        <w:t>" (Bold emphasis contained in the Letter)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Trustee McVeigh is unable to perform her official duty without being affected by her private interests."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also believe it should be addressed by the Board as to whether either McVeigh should be involved to any degree in any GBID business."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my opinion (shared by many) that both McVeighs acted improperly to an extreme degree at the Jan. 8 meeting."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"Can we, as rate-payers, with a vested interest in the efficient operation of the GBID, sit idly by while hundreds of hours are wasted on the misguided mission that the McVeighs have embarked upon.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would suggest at this time that the community has heard enough from the McVeighs. We would ask the McVeighs to cease and desist, there has been enough drama. Whether they are genuinely concerned citizens, or this is how they entertain themselves, there comes a point when it has to stop, a point when it goes beyond ridiculous. We are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this matter suitable for disposition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argue the issue of liability is suitable for determination under the summary trial procedure. Liability can be determined, they advance, after reviewing the impugned Letter as well as the affidavit evidence submitted on the application and considering the application within the context of 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who represented herself on this application, did not object in her written materials as to whether this matter is suitable for disposition under the summary trial provisions and in argument did not specifically voice such a concern, she simply noted it was a matter for the Court to determine. The plaintiff points out, from her perspective, matters of credibility are raised in the context of this action and the materials filed in support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Whether a matter is suitable for disposition by means of the summary trial procedure has generated a significant amount of jurisprudence over the years. The proper approach on a summary trial under the former Rule 18A was set out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This test remains the same under the new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whether a matter is suitable for disposition can be distilled to consideration of two critical factors: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sufficient facts before the Court in which to make the necessary findings of fact?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unjust to decide the case on a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Where the court is able to find the facts necessary to decide the issues before it, and it is not otherwise unjust to decide the matter summarily, the court should give judgment. At para. 7 of his decision in </w:t>
      </w:r>
      <w:r>
        <w:rPr>
          <w:rFonts w:ascii="arial" w:eastAsia="arial" w:hAnsi="arial" w:cs="arial"/>
          <w:i/>
          <w:color w:val="000000"/>
          <w:sz w:val="20"/>
          <w:lang w:val="en-US" w:eastAsia="en-US" w:bidi="ar-SA"/>
        </w:rPr>
        <w:t>Mariotto v. Waterman</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(1996), 32 B.C.L.R. (3d) 125</w:t>
        </w:r>
      </w:hyperlink>
      <w:r>
        <w:rPr>
          <w:rFonts w:ascii="arial" w:eastAsia="arial" w:hAnsi="arial" w:cs="arial"/>
          <w:color w:val="000000"/>
          <w:sz w:val="20"/>
          <w:lang w:val="en-US" w:eastAsia="en-US" w:bidi="ar-SA"/>
        </w:rPr>
        <w:t xml:space="preserve"> (C.A.), McEachern C.J.B.C. stated the following with respect to Rule 18A applications: "Where possible it is always to be hoped that judges will give judgment and I repeat that admonition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Rule 18A(11) of the former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provided that judgment may be granted generally or on an issue unless the Court is unable to find the necessary facts to decide the issues of fact or law or it would be unjust to decide the issues summarily. Rule 9-7(15) contains identical language to the former Rule 18A(11).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am mindful of the decision of the Court of Appeal in </w:t>
      </w:r>
      <w:r>
        <w:rPr>
          <w:rFonts w:ascii="arial" w:eastAsia="arial" w:hAnsi="arial" w:cs="arial"/>
          <w:i/>
          <w:color w:val="000000"/>
          <w:sz w:val="20"/>
          <w:lang w:val="en-US" w:eastAsia="en-US" w:bidi="ar-SA"/>
        </w:rPr>
        <w:t>Cotton v. Wellsby</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(1991), 59 B.C.L.R. (2d) 366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Cotton</w:t>
      </w:r>
      <w:r>
        <w:rPr>
          <w:rFonts w:ascii="arial" w:eastAsia="arial" w:hAnsi="arial" w:cs="arial"/>
          <w:color w:val="000000"/>
          <w:sz w:val="20"/>
          <w:lang w:val="en-US" w:eastAsia="en-US" w:bidi="ar-SA"/>
        </w:rPr>
        <w:t>], where Madam Justice Southin cautioned, at p. 378, against the use of the summary trial procedure where there are conflicts in the affidavit evidence and "issues of who said precisely what to whom when are significant." Southin J.A. continued at p. 378: "Where such issues are crucial, the trial judge must be alive to the possibility that the case is simply not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Jutt v. Doehring</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(1993), 82 B.C.L.R. (2d) 223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Jutt</w:t>
      </w:r>
      <w:r>
        <w:rPr>
          <w:rFonts w:ascii="arial" w:eastAsia="arial" w:hAnsi="arial" w:cs="arial"/>
          <w:color w:val="000000"/>
          <w:sz w:val="20"/>
          <w:lang w:val="en-US" w:eastAsia="en-US" w:bidi="ar-SA"/>
        </w:rPr>
        <w:t>], the court observed at para. 13 the material filed on the 18A application showed a "head on" conflict in the evidence which went directly to the foundation of the appellants' action against the respondents. It was therefore not possible to resolve the conflicts without credibility findings being made. The case was unsuited to summary trial because the issues of fact could not be decided based solely on the conflicting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both </w:t>
      </w:r>
      <w:r>
        <w:rPr>
          <w:rFonts w:ascii="arial" w:eastAsia="arial" w:hAnsi="arial" w:cs="arial"/>
          <w:i/>
          <w:color w:val="000000"/>
          <w:sz w:val="20"/>
          <w:lang w:val="en-US" w:eastAsia="en-US" w:bidi="ar-SA"/>
        </w:rPr>
        <w:t>Cotton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Jutt</w:t>
      </w:r>
      <w:r>
        <w:rPr>
          <w:rFonts w:ascii="arial" w:eastAsia="arial" w:hAnsi="arial" w:cs="arial"/>
          <w:color w:val="000000"/>
          <w:sz w:val="20"/>
          <w:lang w:val="en-US" w:eastAsia="en-US" w:bidi="ar-SA"/>
        </w:rPr>
        <w:t>, however, the only evidence before the court which was relevant to the issues was the conflicting assertions of fact contained in the parties' affidavits. In each of these cases, it was simply not possible for the chambers judge to decide the case summarily without preferring one affidavit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That is not the case here. I conclude that I am able to find the facts necessary to give judgment under Rule 9-7, notwithstanding the conflicts in the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fact that there are conflicting affidavits does not necessarily make this matter unsuited to summary trial. On this point, McEachern C.J.B.C. observed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that a chambers judge is not obliged to remit a case to the trial list just because there are conflicting affidavits. The Chief Justice observed that other admissible evidence could make it possible to find the facts necessary for judgment to be given. See also the decision of Holmes J. in </w:t>
      </w:r>
      <w:r>
        <w:rPr>
          <w:rFonts w:ascii="arial" w:eastAsia="arial" w:hAnsi="arial" w:cs="arial"/>
          <w:i/>
          <w:color w:val="000000"/>
          <w:sz w:val="20"/>
          <w:lang w:val="en-US" w:eastAsia="en-US" w:bidi="ar-SA"/>
        </w:rPr>
        <w:t>Lalli v. Lalli</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[1998] B.C.J. No. 2791</w:t>
        </w:r>
      </w:hyperlink>
      <w:r>
        <w:rPr>
          <w:rFonts w:ascii="arial" w:eastAsia="arial" w:hAnsi="arial" w:cs="arial"/>
          <w:color w:val="000000"/>
          <w:sz w:val="20"/>
          <w:lang w:val="en-US" w:eastAsia="en-US" w:bidi="ar-SA"/>
        </w:rPr>
        <w:t xml:space="preserve"> (S.C.) and the decision of Kelleher J. in </w:t>
      </w:r>
      <w:r>
        <w:rPr>
          <w:rFonts w:ascii="arial" w:eastAsia="arial" w:hAnsi="arial" w:cs="arial"/>
          <w:i/>
          <w:color w:val="000000"/>
          <w:sz w:val="20"/>
          <w:lang w:val="en-US" w:eastAsia="en-US" w:bidi="ar-SA"/>
        </w:rPr>
        <w:t>Le v. Haro Pacific Enterprises Co.</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2005 BCSC 134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there is a conflict in some aspects of the affidavit materials in this case, there also is documentary evidence in this case, in particular the Letter as well as the Notices to Admit, the Reply to the Notices to Admit and the Interrogatories and Responses to Interrogatories, from which the facts can be determined and judgment given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are additional factors to consider in this case. The fact the parties have already spent one day in chambers on the defendant's application for summary trial and on one earlier occasion could not be heard due to insufficient time, makes it probable that, if this matter were sent to the conventional trial list, the litigation costs would be exorbitant in relation to any possible award, especially in light of the fact the related trial before Shabbits J. was seven days in length. The fact Mr. McVeigh was unsuccessful in his defamation action; however, is not a relevant factor to be considered in this assessment and I have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My initial reaction was that this matter was not suitable for summary disposition because the necessary facts could not be found. There are a number of disputes with respect to the context in which the defendants made the statements they did, as well as with respect to their motives, or lack of motives, behind the alleged defamatory statement. However, Mr. Beckman submits, even if the plaintiff's version of events is accepted, she cannot succeed as she has adduced no evidence of malice in this case. There is no dispute that the defendants wrote the Letter. They notionally argue the comments were not defamatory, but the thrust of their argument on the application was that the statements were covered by the defence of qualified privilege. Mr. Beckman argues the plaintiff's evidence cannot support her claim of malice to defeat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There is no doubt that, in some circumstances, the Court can decide issues on a summary trial where the facts are contested. In </w:t>
      </w:r>
      <w:r>
        <w:rPr>
          <w:rFonts w:ascii="arial" w:eastAsia="arial" w:hAnsi="arial" w:cs="arial"/>
          <w:i/>
          <w:color w:val="000000"/>
          <w:sz w:val="20"/>
          <w:lang w:val="en-US" w:eastAsia="en-US" w:bidi="ar-SA"/>
        </w:rPr>
        <w:t>Haight-Smith v. Neden</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2002 BCCA 132</w:t>
        </w:r>
      </w:hyperlink>
      <w:r>
        <w:rPr>
          <w:rFonts w:ascii="arial" w:eastAsia="arial" w:hAnsi="arial" w:cs="arial"/>
          <w:color w:val="000000"/>
          <w:sz w:val="20"/>
          <w:lang w:val="en-US" w:eastAsia="en-US" w:bidi="ar-SA"/>
        </w:rPr>
        <w:t xml:space="preserve">, the Court of Appeal upheld the decision of the trial judge who had dismissed the plaintiff's claims for defamation,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malice on a summary trial. The trial judge found that any potentially defamatory statements made by respondents who were not covered by a collective agreement were protected by qualified privilege, </w:t>
      </w:r>
      <w:hyperlink r:id="rId374" w:history="1">
        <w:r>
          <w:rPr>
            <w:rFonts w:ascii="arial" w:eastAsia="arial" w:hAnsi="arial" w:cs="arial"/>
            <w:i/>
            <w:color w:val="0077CC"/>
            <w:sz w:val="20"/>
            <w:u w:val="single"/>
            <w:shd w:val="clear" w:color="auto" w:fill="FFFFFF"/>
            <w:lang w:val="en-US" w:eastAsia="en-US" w:bidi="ar-SA"/>
          </w:rPr>
          <w:t>[2000] B.C.J. No. 1679</w:t>
        </w:r>
      </w:hyperlink>
      <w:r>
        <w:rPr>
          <w:rFonts w:ascii="arial" w:eastAsia="arial" w:hAnsi="arial" w:cs="arial"/>
          <w:color w:val="000000"/>
          <w:sz w:val="20"/>
          <w:lang w:val="en-US" w:eastAsia="en-US" w:bidi="ar-SA"/>
        </w:rPr>
        <w:t>. The Court of Appeal held, at para. 58, "The trial judge found, on the evidence before him, that there was no malice on the part of the three respondents. His finding is not only reasonable, it is the only possible finding he could make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Based on the authorities cited above, I am of the view this matter can be resolved without simply preferring one affidavit over the other. I conclude I am able to resolve any conflicts on the affidavits by reference to other undisputed documentary evidence. Moreover, in my opinion, even if the conflicts in the evidence were resolved in the plaintiff's favour, her cause of action cannot succeed. Having reviewed the materials filed and considered the arguments advanced at the hearing of this application, I conclude this case is suitable for resolution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Principles to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To establish a cause of action in defamation, a plaintiff must prove that: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are defamatory;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concern the plaintiff;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were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M.D.A. Marine Design Associates Ltd. v. British Columbia Ferry Services Inc.,</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2008 BCSC 1432</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Leenen v. Canadian Broadcasting Corp.</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(2000), 48 O.R. (3d) 656</w:t>
        </w:r>
      </w:hyperlink>
      <w:r>
        <w:rPr>
          <w:rFonts w:ascii="arial" w:eastAsia="arial" w:hAnsi="arial" w:cs="arial"/>
          <w:color w:val="000000"/>
          <w:sz w:val="20"/>
          <w:lang w:val="en-US" w:eastAsia="en-US" w:bidi="ar-SA"/>
        </w:rPr>
        <w:t xml:space="preserve">, at 673-74, </w:t>
      </w:r>
      <w:hyperlink r:id="rId377" w:history="1">
        <w:r>
          <w:rPr>
            <w:rFonts w:ascii="arial" w:eastAsia="arial" w:hAnsi="arial" w:cs="arial"/>
            <w:i/>
            <w:color w:val="0077CC"/>
            <w:sz w:val="20"/>
            <w:u w:val="single"/>
            <w:shd w:val="clear" w:color="auto" w:fill="FFFFFF"/>
            <w:lang w:val="en-US" w:eastAsia="en-US" w:bidi="ar-SA"/>
          </w:rPr>
          <w:t>50 C.C.L.T. (2d) 213</w:t>
        </w:r>
      </w:hyperlink>
      <w:r>
        <w:rPr>
          <w:rFonts w:ascii="arial" w:eastAsia="arial" w:hAnsi="arial" w:cs="arial"/>
          <w:color w:val="000000"/>
          <w:sz w:val="20"/>
          <w:lang w:val="en-US" w:eastAsia="en-US" w:bidi="ar-SA"/>
        </w:rPr>
        <w:t xml:space="preserve"> (S.C.) aff'd, </w:t>
      </w:r>
      <w:hyperlink r:id="rId378" w:history="1">
        <w:r>
          <w:rPr>
            <w:rFonts w:ascii="arial" w:eastAsia="arial" w:hAnsi="arial" w:cs="arial"/>
            <w:i/>
            <w:color w:val="0077CC"/>
            <w:sz w:val="20"/>
            <w:u w:val="single"/>
            <w:shd w:val="clear" w:color="auto" w:fill="FFFFFF"/>
            <w:lang w:val="en-US" w:eastAsia="en-US" w:bidi="ar-SA"/>
          </w:rPr>
          <w:t>(2001) 54 O.R. (3d) 612</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147 O.A.C. 317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28 Chief Justice McLachlin went on to state that if the above elements are established on a balance of probabilities, falsity and damage are presumed, noting though that the rule has been subject to strong criticism. The plaintiff is not required to show the defendant intended to do harm, or even that the defendant was careless. Consequently, the tort is one of strict liability: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WIC Radio Ltd. v. Simpson</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2008 SCC 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the Supreme Court of Canada addressed the parameters of the defence of fair comment in the context of defamation proceedings brought by Ms. Simpson, an anti-gay rights activist who vigorously and vocally opposed schools teaching acceptance of a gay lifestyle, against Mr. Mair for editorial comments he made about her position and statements in one of his radio broadcasts. In the context of that decision, certain observations and statements of general principle were enumerated by Mr. Justice Binnie that are salutary in the context of this current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At the outset of the decision in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Binnie J. noted, in the context of the law of defamation, two fundamental values are in conflict and the defence of fair comment assists in the balancing process that endeavours to protect each of the values. The two fundamental but conflicting values are the respect for individuals and protection of their reputation from unjustified harm, on the one hand, and on the other hand, the freedom of expression and debate which is described as the "very life blood of our freedom and free institutions:"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at para. 1 citing </w:t>
      </w:r>
      <w:r>
        <w:rPr>
          <w:rFonts w:ascii="arial" w:eastAsia="arial" w:hAnsi="arial" w:cs="arial"/>
          <w:i/>
          <w:color w:val="000000"/>
          <w:sz w:val="20"/>
          <w:lang w:val="en-US" w:eastAsia="en-US" w:bidi="ar-SA"/>
        </w:rPr>
        <w:t>Price v. Chicoutimi Pulp Co.</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(1915), 51 S.C.R. 179</w:t>
        </w:r>
      </w:hyperlink>
      <w:r>
        <w:rPr>
          <w:rFonts w:ascii="arial" w:eastAsia="arial" w:hAnsi="arial" w:cs="arial"/>
          <w:color w:val="000000"/>
          <w:sz w:val="20"/>
          <w:lang w:val="en-US" w:eastAsia="en-US" w:bidi="ar-SA"/>
        </w:rPr>
        <w:t xml:space="preserve"> at p. 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Justice Binnie went on to note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function of the tort of defamation is to vindicate reputation, but many courts have concluded that the traditional elements of that tort may require modification to provide broader accommodation to the value of freedom of expression. ... When controversies erupt, statements of claim often follow as night follows day, not only in serious claims (as here) but in actions launched simply for the purpose of intimidation. Of course "chilling" false and defamatory speech is not a bad thing in itself, but chilling debate on matters of </w:t>
      </w:r>
      <w:r>
        <w:rPr>
          <w:rFonts w:ascii="arial" w:eastAsia="arial" w:hAnsi="arial" w:cs="arial"/>
          <w:i/>
          <w:color w:val="000000"/>
          <w:sz w:val="20"/>
          <w:lang w:val="en-US" w:eastAsia="en-US" w:bidi="ar-SA"/>
        </w:rPr>
        <w:t>legitimate</w:t>
      </w:r>
      <w:r>
        <w:rPr>
          <w:rFonts w:ascii="arial" w:eastAsia="arial" w:hAnsi="arial" w:cs="arial"/>
          <w:color w:val="000000"/>
          <w:sz w:val="20"/>
          <w:lang w:val="en-US" w:eastAsia="en-US" w:bidi="ar-SA"/>
        </w:rPr>
        <w:t xml:space="preserve"> public interest raises issues of inappropriate censorship and self-censorship. Public controversy can be a rough trade, and the law needs to accommodate its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Once a plaintiff proves the required three elements of defamation, the onus shifts to the defendant to advance a defence in order to avoid liability for the defamatory statements: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29. Traditionally the defences available prior to the decision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included the separate defences of justification, privilege (absolute or qualified), and fair comment. A further defence was created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the defence of responsible communication in the public interest. This defence is not engaged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only defence pleaded in the case at bar, as set out in the amended statement of defence, is that of qualified privilege. Although the defendants refer to fair comment indirectly in their application materials as an alternative route to dispose of this action if qualified privilege does not apply, it is not pleaded in their amended statement of defence and is therefore not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Qualified privilege attaches to the occasion upon which the communication is made, and not to the communication itself. It was explained in this way by Lord Atkinson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[1917] A.C. 309 (H.L.) [</w:t>
      </w:r>
      <w:r>
        <w:rPr>
          <w:rFonts w:ascii="arial" w:eastAsia="arial" w:hAnsi="arial" w:cs="arial"/>
          <w:i/>
          <w:color w:val="000000"/>
          <w:sz w:val="20"/>
          <w:lang w:val="en-US" w:eastAsia="en-US" w:bidi="ar-SA"/>
        </w:rPr>
        <w:t>Adam</w:t>
      </w:r>
      <w:r>
        <w:rPr>
          <w:rFonts w:ascii="arial" w:eastAsia="arial" w:hAnsi="arial" w:cs="arial"/>
          <w:color w:val="000000"/>
          <w:sz w:val="20"/>
          <w:lang w:val="en-US" w:eastAsia="en-US" w:bidi="ar-SA"/>
        </w:rPr>
        <w:t>], at p. 334: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 privileged occasion is . . . an occasion where the person who makes a communication has an interest or a duty, legal, social or moral, to make it to the person to whom it is made, and the person to whom it is so made has a corresponding interest or duty to receive it. This reciprocity is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McLoughlin v. Kutasy</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[1979] 2 S.C.R. 311</w:t>
        </w:r>
      </w:hyperlink>
      <w:r>
        <w:rPr>
          <w:rFonts w:ascii="arial" w:eastAsia="arial" w:hAnsi="arial" w:cs="arial"/>
          <w:color w:val="000000"/>
          <w:sz w:val="20"/>
          <w:lang w:val="en-US" w:eastAsia="en-US" w:bidi="ar-SA"/>
        </w:rPr>
        <w:t xml:space="preserve">, at p. 321; </w:t>
      </w:r>
      <w:r>
        <w:rPr>
          <w:rFonts w:ascii="arial" w:eastAsia="arial" w:hAnsi="arial" w:cs="arial"/>
          <w:i/>
          <w:color w:val="000000"/>
          <w:sz w:val="20"/>
          <w:lang w:val="en-US" w:eastAsia="en-US" w:bidi="ar-SA"/>
        </w:rPr>
        <w:t>Botiuk v. v. Toronto Free Press Publications Ltd.,</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Statements of opinion and statements of fact may attract the defence of privilege, depending on the occasion on which they were made. As Chief Justice McLachlin noted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defences of absolute and qualified privilege reflect the fact that "common convenience and welfare of society" sometimes requires untrammelled communications: </w:t>
      </w:r>
      <w:r>
        <w:rPr>
          <w:rFonts w:ascii="arial" w:eastAsia="arial" w:hAnsi="arial" w:cs="arial"/>
          <w:i/>
          <w:color w:val="000000"/>
          <w:sz w:val="20"/>
          <w:lang w:val="en-US" w:eastAsia="en-US" w:bidi="ar-SA"/>
        </w:rPr>
        <w:t>Toogood v. Spyring</w:t>
      </w:r>
      <w:r>
        <w:rPr>
          <w:rFonts w:ascii="arial" w:eastAsia="arial" w:hAnsi="arial" w:cs="arial"/>
          <w:color w:val="000000"/>
          <w:sz w:val="20"/>
          <w:lang w:val="en-US" w:eastAsia="en-US" w:bidi="ar-SA"/>
        </w:rPr>
        <w:t xml:space="preserve"> (1834), 1 C.M. &amp; R. 181, 149 E.R. 1044, at p. 1050,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Parke B. The law acknowledges through recognition of privileged occasions that false and defamatory expression may sometimes contribute to desirable social 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this case, the only defence advanced in the amended statement of defence is that of qualified privilege. Qualified privilege has traditionally been grounded in special relationships characterised by a "duty" to communicate the information and a reciprocal "interest" in receiving it: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xml:space="preserve">, Madam Justice Kirkpatrick, writing for the Court, reviewed the defences of justification, fair comment and qualified privilege in defamation proceedings, noting at para. 18 the trial judge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(Mr. Justice Hinkson, as he then was) had accurately reviewed the defences in reasons indexed as </w:t>
      </w:r>
      <w:hyperlink r:id="rId384" w:history="1">
        <w:r>
          <w:rPr>
            <w:rFonts w:ascii="arial" w:eastAsia="arial" w:hAnsi="arial" w:cs="arial"/>
            <w:i/>
            <w:color w:val="0077CC"/>
            <w:sz w:val="20"/>
            <w:u w:val="single"/>
            <w:shd w:val="clear" w:color="auto" w:fill="FFFFFF"/>
            <w:lang w:val="en-US" w:eastAsia="en-US" w:bidi="ar-SA"/>
          </w:rPr>
          <w:t>2007 BCSC 1757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the trial decision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Mr. Justice Hinkson enumerated the principles relating to the defence of qualified privilege at paras. 44-47: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principles relating to the defence of qualified privilege were reviewed by Williams J.A. in </w:t>
      </w:r>
      <w:r>
        <w:rPr>
          <w:rFonts w:ascii="arial" w:eastAsia="arial" w:hAnsi="arial" w:cs="arial"/>
          <w:i/>
          <w:color w:val="000000"/>
          <w:sz w:val="20"/>
          <w:lang w:val="en-US" w:eastAsia="en-US" w:bidi="ar-SA"/>
        </w:rPr>
        <w:t>Moises v. Canadian Newspaper Co.</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(1996), 24 B.C.L.R. (3d) 211</w:t>
        </w:r>
      </w:hyperlink>
      <w:r>
        <w:rPr>
          <w:rFonts w:ascii="arial" w:eastAsia="arial" w:hAnsi="arial" w:cs="arial"/>
          <w:color w:val="000000"/>
          <w:sz w:val="20"/>
          <w:lang w:val="en-US" w:eastAsia="en-US" w:bidi="ar-SA"/>
        </w:rPr>
        <w:t xml:space="preserve"> at para. 17, </w:t>
      </w:r>
      <w:hyperlink r:id="rId385" w:history="1">
        <w:r>
          <w:rPr>
            <w:rFonts w:ascii="arial" w:eastAsia="arial" w:hAnsi="arial" w:cs="arial"/>
            <w:i/>
            <w:color w:val="0077CC"/>
            <w:sz w:val="20"/>
            <w:u w:val="single"/>
            <w:shd w:val="clear" w:color="auto" w:fill="FFFFFF"/>
            <w:lang w:val="en-US" w:eastAsia="en-US" w:bidi="ar-SA"/>
          </w:rPr>
          <w:t>76 B.C.A.C. 263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defence of qualified privilege recognizes that there are certain limited occasions upon which a person may publish untrue, defamatory statements about another with impunity. In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8th ed. by Philip Lewis (London: Sweet &amp; Maxwell, 1981), the defence is explained as follows, at pp. 185-86: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There are occasions upon which, on grounds of public policy and convenience, a person may, without incurring legal liability, make statements about another which are defamatory and in fact untrue. On such occasions a man, stating what he believes to be the truth about another, is protected in so doing, provided he makes the statement honestly and without any indirect or improper motive. These occasions are called occasions of qualified privilege, for the protection which the law, on grounds of public policy, affords is not absolute but depends on the honesty of purpose with which the defamatory statement is made. The rule being founded on the general welfare of society, new occasions for its application will necessarily arise with continually changing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essence of the defence of qualified privilege is that the defendant has an interest -- legal, social, or moral -- to communicate the defamatory statement and the recipient has a corresponding duty or interest to receive it: see </w:t>
      </w:r>
      <w:r>
        <w:rPr>
          <w:rFonts w:ascii="arial" w:eastAsia="arial" w:hAnsi="arial" w:cs="arial"/>
          <w:i/>
          <w:color w:val="000000"/>
          <w:sz w:val="20"/>
          <w:lang w:val="en-US" w:eastAsia="en-US" w:bidi="ar-SA"/>
        </w:rPr>
        <w:t>Pressler v. Lethbridge and Westcom TV Group Ltd.</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2000 BCCA 639</w:t>
        </w:r>
      </w:hyperlink>
      <w:r>
        <w:rPr>
          <w:rFonts w:ascii="arial" w:eastAsia="arial" w:hAnsi="arial" w:cs="arial"/>
          <w:color w:val="000000"/>
          <w:sz w:val="20"/>
          <w:lang w:val="en-US" w:eastAsia="en-US" w:bidi="ar-SA"/>
        </w:rPr>
        <w:t xml:space="preserve"> at para. 62, </w:t>
      </w:r>
      <w:hyperlink r:id="rId386" w:history="1">
        <w:r>
          <w:rPr>
            <w:rFonts w:ascii="arial" w:eastAsia="arial" w:hAnsi="arial" w:cs="arial"/>
            <w:i/>
            <w:color w:val="0077CC"/>
            <w:sz w:val="20"/>
            <w:u w:val="single"/>
            <w:shd w:val="clear" w:color="auto" w:fill="FFFFFF"/>
            <w:lang w:val="en-US" w:eastAsia="en-US" w:bidi="ar-SA"/>
          </w:rPr>
          <w:t>86 B.C.L.R. (3d) 257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Qualified privilege attaches to the occasion that the communication was made, and not to the communication itself. The reciprocity or mutuality between the defendant and the recipient is essential to the defence. See </w:t>
      </w:r>
      <w:r>
        <w:rPr>
          <w:rFonts w:ascii="arial" w:eastAsia="arial" w:hAnsi="arial" w:cs="arial"/>
          <w:i/>
          <w:color w:val="000000"/>
          <w:sz w:val="20"/>
          <w:lang w:val="en-US" w:eastAsia="en-US" w:bidi="ar-SA"/>
        </w:rPr>
        <w:t>Campbell v. Jones et al.</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2002 NSCA 128</w:t>
        </w:r>
      </w:hyperlink>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209 N.S.R. (2d) 81</w:t>
        </w:r>
      </w:hyperlink>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cited to N.S.R.].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burden rests on the defendant to prove each element of the defence. In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at para. 32, Roscoe J.A. quoted with approval from the Ontario Court of Appeal in </w:t>
      </w:r>
      <w:r>
        <w:rPr>
          <w:rFonts w:ascii="arial" w:eastAsia="arial" w:hAnsi="arial" w:cs="arial"/>
          <w:i/>
          <w:color w:val="000000"/>
          <w:sz w:val="20"/>
          <w:lang w:val="en-US" w:eastAsia="en-US" w:bidi="ar-SA"/>
        </w:rPr>
        <w:t>RTC Engineering Consultants Ltd. v. Ontario (Solicitor General)</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(2002), 58 O.R. (3d) 726</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156 O.A.C. 96</w:t>
        </w:r>
      </w:hyperlink>
      <w:r>
        <w:rPr>
          <w:rFonts w:ascii="arial" w:eastAsia="arial" w:hAnsi="arial" w:cs="arial"/>
          <w:color w:val="000000"/>
          <w:sz w:val="20"/>
          <w:lang w:val="en-US" w:eastAsia="en-US" w:bidi="ar-SA"/>
        </w:rPr>
        <w:t xml:space="preserve"> with regard to the reciprocal interest element of the defence of qualified privilege: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recently, in </w:t>
      </w:r>
      <w:r>
        <w:rPr>
          <w:rFonts w:ascii="arial" w:eastAsia="arial" w:hAnsi="arial" w:cs="arial"/>
          <w:i/>
          <w:color w:val="000000"/>
          <w:sz w:val="20"/>
          <w:lang w:val="en-US" w:eastAsia="en-US" w:bidi="ar-SA"/>
        </w:rPr>
        <w:t>RTC Engineering Consultants Ltd. v. Ontario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O.J. No. 1001</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156 O.A.C. 96</w:t>
        </w:r>
      </w:hyperlink>
      <w:r>
        <w:rPr>
          <w:rFonts w:ascii="arial" w:eastAsia="arial" w:hAnsi="arial" w:cs="arial"/>
          <w:color w:val="000000"/>
          <w:sz w:val="20"/>
          <w:lang w:val="en-US" w:eastAsia="en-US" w:bidi="ar-SA"/>
        </w:rPr>
        <w:t xml:space="preserve"> (C.A.), Laskin, J.A.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At the heart of the defence of qualified privilege is the notion of reciprocity or mutuality. A defendant must have some interest in making the statement and those to whom the statement is made must have some interest in receiving it. </w:t>
      </w:r>
      <w:r>
        <w:rPr>
          <w:rFonts w:ascii="arial" w:eastAsia="arial" w:hAnsi="arial" w:cs="arial"/>
          <w:color w:val="000000"/>
          <w:sz w:val="20"/>
          <w:u w:val="single"/>
          <w:lang w:val="en-US" w:eastAsia="en-US" w:bidi="ar-SA"/>
        </w:rPr>
        <w:t>'Interest', however, should not be viewed technically or narrowly.</w:t>
      </w:r>
      <w:r>
        <w:rPr>
          <w:rFonts w:ascii="arial" w:eastAsia="arial" w:hAnsi="arial" w:cs="arial"/>
          <w:color w:val="000000"/>
          <w:sz w:val="20"/>
          <w:lang w:val="en-US" w:eastAsia="en-US" w:bidi="ar-SA"/>
        </w:rPr>
        <w:t xml:space="preserve"> The interest sought to be served may be personal, social, business, financial, or legal. The context is important. The nature of the statement, the circumstances under which it was made, and by whom and to whom it was made are all relevant in determining whether the defence of qualified privilege applies.</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Roscoe J.A.]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As Hinkson J. noted at para. 49 of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the defence of qualified privilege can be defeated in two different ways which were explained by Mr. Justice Cory in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paras. 79-80: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Where an occasion is shown to be privileged,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of the defendant is presumed and the defendant is free to publish remarks which may be defamatory and untrue about the plaintiff. However, the privilege is not absolute. It may be defeated in two ways. The first arises if the dominant motive for publishing is actual or express malice. Malice is commonly understood as ill will toward someone, but it also relates to any indirect motive which conflicts with the sense of duty created by the occasion. Malice may be established by showing that the defendant either knew that he was not telling the truth, or was reckless in that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Second, qualified privilege may be defeated if the limits of the duty or interest have been exceeded. In other words, if the information communicated was not reasonably appropriate to the legitimate purposes of the occasion, the qualified privilege will be defeated. This was discussed at some length in </w:t>
      </w:r>
      <w:r>
        <w:rPr>
          <w:rFonts w:ascii="arial" w:eastAsia="arial" w:hAnsi="arial" w:cs="arial"/>
          <w:i/>
          <w:color w:val="000000"/>
          <w:sz w:val="20"/>
          <w:lang w:val="en-US" w:eastAsia="en-US" w:bidi="ar-SA"/>
        </w:rPr>
        <w:t>Hill, supra</w:t>
      </w:r>
      <w:r>
        <w:rPr>
          <w:rFonts w:ascii="arial" w:eastAsia="arial" w:hAnsi="arial" w:cs="arial"/>
          <w:color w:val="000000"/>
          <w:sz w:val="20"/>
          <w:lang w:val="en-US" w:eastAsia="en-US" w:bidi="ar-SA"/>
        </w:rPr>
        <w:t>, and there is no need to repeat it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restrictions on persons making communications on the basis of a privilege occasion were discussed by Lord Atkinson in </w:t>
      </w:r>
      <w:r>
        <w:rPr>
          <w:rFonts w:ascii="arial" w:eastAsia="arial" w:hAnsi="arial" w:cs="arial"/>
          <w:i/>
          <w:color w:val="000000"/>
          <w:sz w:val="20"/>
          <w:lang w:val="en-US" w:eastAsia="en-US" w:bidi="ar-SA"/>
        </w:rPr>
        <w:t>Adam,</w:t>
      </w:r>
      <w:r>
        <w:rPr>
          <w:rFonts w:ascii="arial" w:eastAsia="arial" w:hAnsi="arial" w:cs="arial"/>
          <w:color w:val="000000"/>
          <w:sz w:val="20"/>
          <w:lang w:val="en-US" w:eastAsia="en-US" w:bidi="ar-SA"/>
        </w:rPr>
        <w:t xml:space="preserve"> at p. 339: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in my view, clearly establish that a person making a communication on a privileged occasion is not restricted to the use of such language merely as is reasonably necessary to protect the interest or discharge the duty which is the foundation of his privilege; but that, on the contrary, he will be protected, even though his language should be violent or excessively strong, if, having regard to all the circumstances of the case, he might have honestly and on reasonable grounds believed that what he wrote or said was true and necessary for the purpose of his vindication, though in fact it was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this case, Mrs. McVeigh includes in her statement of claim that the action of the Boerius in writing and publicly disseminating the Letter was malicious.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defence of qualified privilege can be defeated by proof the defendant acted with malice: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30. The onus of proving malice to defeat the defence of qualified privilege rests on the plaintiff: </w:t>
      </w:r>
      <w:r>
        <w:rPr>
          <w:rFonts w:ascii="arial" w:eastAsia="arial" w:hAnsi="arial" w:cs="arial"/>
          <w:i/>
          <w:color w:val="000000"/>
          <w:sz w:val="20"/>
          <w:lang w:val="en-US" w:eastAsia="en-US" w:bidi="ar-SA"/>
        </w:rPr>
        <w:t>Neputsky v. Craig,</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xml:space="preserve">, at 60-63;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(B.C.S.C.)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the Court of Appeal decision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Madam Justice Kirkpatrick reviewed the elements of malice at paras. 30-34 and the question of motive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ELEMENTS OF MALICE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defence of qualified privilege can be defeated by a finding of malice on the part of the defendant or by a finding that the limits of the privilege were exceeded. Malice in this sense is also called "express malice" or "malice in fact" to differentiate it from the legal malice assumed by the very publication of defamatory comments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looseleaf, 2nd ed. (Toronto: Carswell, 1999 at 16.2(1))).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defence of fair comment is also defeated by malice, and malice "for the purpose of defeating the defence of qualified privilege is the same as malice for the purpose of defeating the defence of fair comment." (</w:t>
      </w:r>
      <w:r>
        <w:rPr>
          <w:rFonts w:ascii="arial" w:eastAsia="arial" w:hAnsi="arial" w:cs="arial"/>
          <w:i/>
          <w:color w:val="000000"/>
          <w:sz w:val="20"/>
          <w:lang w:val="en-US" w:eastAsia="en-US" w:bidi="ar-SA"/>
        </w:rPr>
        <w:t>Creative Salmon Company Ltd. v. Staniford</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2009 BCCA 61</w:t>
        </w:r>
      </w:hyperlink>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307 D.L.R. (4th) 518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Creative Salmon</w:t>
      </w:r>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term "malice" is more expansive than the everyday meaning of a desire to harm another. Brown at 16.3(2) suggests the alternate language of "bad faith". This Court summarized the definition in </w:t>
      </w:r>
      <w:r>
        <w:rPr>
          <w:rFonts w:ascii="arial" w:eastAsia="arial" w:hAnsi="arial" w:cs="arial"/>
          <w:i/>
          <w:color w:val="000000"/>
          <w:sz w:val="20"/>
          <w:lang w:val="en-US" w:eastAsia="en-US" w:bidi="ar-SA"/>
        </w:rPr>
        <w:t>Creative Salmon</w:t>
      </w:r>
      <w:r>
        <w:rPr>
          <w:rFonts w:ascii="arial" w:eastAsia="arial" w:hAnsi="arial" w:cs="arial"/>
          <w:color w:val="000000"/>
          <w:sz w:val="20"/>
          <w:lang w:val="en-US" w:eastAsia="en-US" w:bidi="ar-SA"/>
        </w:rPr>
        <w:t xml:space="preserve"> at para. 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 79, malice was defined to include "ill will" and "any indirect motive which conflicts with the sense of duty created by the occasion [in the case of qualified privilege]". The definition of malice stated by Mr. Justice Dickson in </w:t>
      </w:r>
      <w:r>
        <w:rPr>
          <w:rFonts w:ascii="arial" w:eastAsia="arial" w:hAnsi="arial" w:cs="arial"/>
          <w:i/>
          <w:color w:val="000000"/>
          <w:sz w:val="20"/>
          <w:lang w:val="en-US" w:eastAsia="en-US" w:bidi="ar-SA"/>
        </w:rPr>
        <w:t>Cherneskey</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[1979] 1 S.C.R. 1067</w:t>
        </w:r>
      </w:hyperlink>
      <w:r>
        <w:rPr>
          <w:rFonts w:ascii="arial" w:eastAsia="arial" w:hAnsi="arial" w:cs="arial"/>
          <w:color w:val="000000"/>
          <w:sz w:val="20"/>
          <w:lang w:val="en-US" w:eastAsia="en-US" w:bidi="ar-SA"/>
        </w:rPr>
        <w:t xml:space="preserve">, at 1099, and adopted by Mr. Justice LeBel in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at para. 102, includes "spite or ill will" and "any indirect motive or ulterior purpose".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Supreme Court of Canada summarized the law of malice and qualified privilege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126 D.L.R. (4th) 129</w:t>
        </w:r>
      </w:hyperlink>
      <w:r>
        <w:rPr>
          <w:rFonts w:ascii="arial" w:eastAsia="arial" w:hAnsi="arial" w:cs="arial"/>
          <w:color w:val="000000"/>
          <w:sz w:val="20"/>
          <w:lang w:val="en-US" w:eastAsia="en-US" w:bidi="ar-SA"/>
        </w:rPr>
        <w:t xml:space="preserve"> at para. 145: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Malice is commonly understood, in the popular sense, as spite or ill-will. However, it also includes, as Dickson J. (as he then was) pointed out in dissent in </w:t>
      </w:r>
      <w:r>
        <w:rPr>
          <w:rFonts w:ascii="arial" w:eastAsia="arial" w:hAnsi="arial" w:cs="arial"/>
          <w:i/>
          <w:color w:val="000000"/>
          <w:sz w:val="20"/>
          <w:lang w:val="en-US" w:eastAsia="en-US" w:bidi="ar-SA"/>
        </w:rPr>
        <w:t>Cherneskey, supra</w:t>
      </w:r>
      <w:r>
        <w:rPr>
          <w:rFonts w:ascii="arial" w:eastAsia="arial" w:hAnsi="arial" w:cs="arial"/>
          <w:color w:val="000000"/>
          <w:sz w:val="20"/>
          <w:lang w:val="en-US" w:eastAsia="en-US" w:bidi="ar-SA"/>
        </w:rPr>
        <w:t xml:space="preserve">, at p. 1099, "any indirect motive or ulterior purpose" that conflicts with the sense of duty or the mutual interest which the occasion created. See, also, </w:t>
      </w:r>
      <w:r>
        <w:rPr>
          <w:rFonts w:ascii="arial" w:eastAsia="arial" w:hAnsi="arial" w:cs="arial"/>
          <w:i/>
          <w:color w:val="000000"/>
          <w:sz w:val="20"/>
          <w:lang w:val="en-US" w:eastAsia="en-US" w:bidi="ar-SA"/>
        </w:rPr>
        <w:t>Taylor v. Despard</w:t>
      </w:r>
      <w:r>
        <w:rPr>
          <w:rFonts w:ascii="arial" w:eastAsia="arial" w:hAnsi="arial" w:cs="arial"/>
          <w:color w:val="000000"/>
          <w:sz w:val="20"/>
          <w:lang w:val="en-US" w:eastAsia="en-US" w:bidi="ar-SA"/>
        </w:rPr>
        <w:t xml:space="preserve">, [1956] O.R. 963 (C.A.). Malice may also be established by showing that the defendant spoke dishonestly, or in knowing or reckless disregard for the truth. See </w:t>
      </w:r>
      <w:r>
        <w:rPr>
          <w:rFonts w:ascii="arial" w:eastAsia="arial" w:hAnsi="arial" w:cs="arial"/>
          <w:i/>
          <w:color w:val="000000"/>
          <w:sz w:val="20"/>
          <w:lang w:val="en-US" w:eastAsia="en-US" w:bidi="ar-SA"/>
        </w:rPr>
        <w:t>McLoughlin, supra</w:t>
      </w:r>
      <w:r>
        <w:rPr>
          <w:rFonts w:ascii="arial" w:eastAsia="arial" w:hAnsi="arial" w:cs="arial"/>
          <w:color w:val="000000"/>
          <w:sz w:val="20"/>
          <w:lang w:val="en-US" w:eastAsia="en-US" w:bidi="ar-SA"/>
        </w:rPr>
        <w:t xml:space="preserve">, at pp. 323-24, and </w:t>
      </w:r>
      <w:r>
        <w:rPr>
          <w:rFonts w:ascii="arial" w:eastAsia="arial" w:hAnsi="arial" w:cs="arial"/>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at pp. 61-62.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w:t>
      </w:r>
      <w:r>
        <w:rPr>
          <w:rFonts w:ascii="arial" w:eastAsia="arial" w:hAnsi="arial" w:cs="arial"/>
          <w:i/>
          <w:color w:val="000000"/>
          <w:sz w:val="20"/>
          <w:lang w:val="en-US" w:eastAsia="en-US" w:bidi="ar-SA"/>
        </w:rPr>
        <w:t>Canadian Libel and Slander Actions</w:t>
      </w:r>
      <w:r>
        <w:rPr>
          <w:rFonts w:ascii="arial" w:eastAsia="arial" w:hAnsi="arial" w:cs="arial"/>
          <w:color w:val="000000"/>
          <w:sz w:val="20"/>
          <w:lang w:val="en-US" w:eastAsia="en-US" w:bidi="ar-SA"/>
        </w:rPr>
        <w:t xml:space="preserve"> (Toronto: Irwin Law, 2004) at 299, R.D. McConchie and D.A. Potts reduce this statement to a helpful framework for the categories under which a finding of malice can be made. A defendant is actuated by malice if he or she publishes the comment: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Knowing it was false; </w:t>
      </w:r>
      <w:r>
        <w:rPr>
          <w:rFonts w:ascii="arial" w:eastAsia="arial" w:hAnsi="arial" w:cs="arial"/>
          <w:i/>
          <w:color w:val="000000"/>
          <w:sz w:val="20"/>
          <w:lang w:val="en-US" w:eastAsia="en-US" w:bidi="ar-SA"/>
        </w:rPr>
        <w:t>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reckless indifference whether it is true or false; </w:t>
      </w:r>
      <w:r>
        <w:rPr>
          <w:rFonts w:ascii="arial" w:eastAsia="arial" w:hAnsi="arial" w:cs="arial"/>
          <w:i/>
          <w:color w:val="000000"/>
          <w:sz w:val="20"/>
          <w:lang w:val="en-US" w:eastAsia="en-US" w:bidi="ar-SA"/>
        </w:rPr>
        <w:t>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dominant purpose of injuring the plaintiff because of spite or animosity; </w:t>
      </w:r>
      <w:r>
        <w:rPr>
          <w:rFonts w:ascii="arial" w:eastAsia="arial" w:hAnsi="arial" w:cs="arial"/>
          <w:i/>
          <w:color w:val="000000"/>
          <w:sz w:val="20"/>
          <w:lang w:val="en-US" w:eastAsia="en-US" w:bidi="ar-SA"/>
        </w:rPr>
        <w:t>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or indirect, or also, if the occasion is privileged, for a dominant purpose not related to the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than one finding can be present in a given case (McConchie and Potts at 299).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question of motive in a defamation case was fully explored in Lord Diplock's speech in </w:t>
      </w:r>
      <w:r>
        <w:rPr>
          <w:rFonts w:ascii="arial" w:eastAsia="arial" w:hAnsi="arial" w:cs="arial"/>
          <w:i/>
          <w:color w:val="000000"/>
          <w:sz w:val="20"/>
          <w:lang w:val="en-US" w:eastAsia="en-US" w:bidi="ar-SA"/>
        </w:rPr>
        <w:t>Horrocks v. Lowe</w:t>
      </w:r>
      <w:r>
        <w:rPr>
          <w:rFonts w:ascii="arial" w:eastAsia="arial" w:hAnsi="arial" w:cs="arial"/>
          <w:color w:val="000000"/>
          <w:sz w:val="20"/>
          <w:lang w:val="en-US" w:eastAsia="en-US" w:bidi="ar-SA"/>
        </w:rPr>
        <w:t>, [1975] A.C. 135 (H.L.) at 149-50: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the motive with which the defendant on a privileged occasion made a statement defamatory of the plaintiff becomes crucial. The protection might, however, be illusory if the onus lay on him to prove that he was actuated solely by a sense of the relevant duty or a desire to protect the relevant interest. So he is entitled to be protected by the privilege unless some other dominant and improper motive on his part is proved. 'Express malice' is the term of art descriptive of such a motive. Broadly speaking, it means malice in the popular sense of a desire to injure the person who is defamed and this is generally the motive which the plaintiff sets out to prove. But to destroy the privilege the desire to injure must be the dominant motive for the defamatory publication; knowledge that it will have that effect is not enough if the defendant is nevertheless acting in accordance with a sense of duty or in bona fide protection of his own legitimate interests.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motive with which a person published defamatory matter can only be inferred from what he did or said or knew. If it be proved that he did not believe that what he published was true this is generally conclusive evidence of express malice, for no sense of duty or desire to protect his own legitimate interests can justify a man in telling deliberate and injurious falsehoods about another, save in the exceptional case where a person may be under a duty to pass on, without endorsing, defamatory reports made by some other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Apart from those exceptional cases, what is required on the part of the defamer to entitle him to the protection of the privilege is positive belief in the truth of what he published or, as it is generally though tautologously termed, 'honest belief'. If he publishes untrue defamatory matter recklessly, without considering or caring whether it be true or not, he is in this, as in other branches of the law, treated as if he knew it to be false. But indifference to the truth of what he publishes is not to be equated with carelessness, impulsiveness or irrationality in arriving at a positive belief that it is true. ... But despite the imperfection of the mental process by which the belief is arrived at it may still be 'honest', that is a positive belief that the conclusions they have reached are true. The law demands no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turn now to an application of the legal principles to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Is the Letter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threshold issue is whether the Letter was defamatory. The plaintiff says the natural and ordinary meaning of the words in the above six statements is that they either allege or imply the plaintiff acted improperly by putting her self-interest ahead of her fiduciary responsibilities, engaging in conflicts of interest and other misconduct and ought to be removed from public office and prohibited from participating in any GBID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noted earlier, in order to prove defamation, Mrs. McVeigh must establish the words complained of were published, the words concerned her and the words are defamatory: see </w:t>
      </w:r>
      <w:r>
        <w:rPr>
          <w:rFonts w:ascii="arial" w:eastAsia="arial" w:hAnsi="arial" w:cs="arial"/>
          <w:i/>
          <w:color w:val="000000"/>
          <w:sz w:val="20"/>
          <w:lang w:val="en-US" w:eastAsia="en-US" w:bidi="ar-SA"/>
        </w:rPr>
        <w:t>M.D.A. Marine Design Associates Ltd. v. British Columbia Ferry Services Inc.,</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2008 BCSC 1432</w:t>
        </w:r>
      </w:hyperlink>
      <w:r>
        <w:rPr>
          <w:rFonts w:ascii="arial" w:eastAsia="arial" w:hAnsi="arial" w:cs="arial"/>
          <w:color w:val="000000"/>
          <w:sz w:val="20"/>
          <w:lang w:val="en-US" w:eastAsia="en-US" w:bidi="ar-SA"/>
        </w:rPr>
        <w:t>, para 15. The defendants do not take issue with the first two components of what the plaintiff must establish. I therefore conclude the words were published and the words complained of concerned Mrs. McVeigh.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difficult question is whether the words complained of are defamatory. In considering this question, it is instructive to consider the statement of Mr. Justice LeBel in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at para. 69, albeit in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where he cautioned that courts should not be too quick to find defamatory meaning where expressions of opinion are concerned. The words used by the Boerius in the Letter with respect to Mrs. McVeigh reflect their opinion based on their observations of her at Board meetings. While the Letter expresses their honest opinion, the Letter may not fairly depict Mrs. McVeigh's over-all performance as a Trustee of the Board. The question is whether the opinion of the Boerius, which they construe as the truth based on the observations they had of Mrs. McVeigh, can be described as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my opinion, the impugned words used in the Letter are defamatory in the sense that they would tend to lower Mrs. McVeigh's reputation in the eyes of a reasonable person: </w:t>
      </w:r>
      <w:r>
        <w:rPr>
          <w:rFonts w:ascii="arial" w:eastAsia="arial" w:hAnsi="arial" w:cs="arial"/>
          <w:i/>
          <w:color w:val="000000"/>
          <w:sz w:val="20"/>
          <w:lang w:val="en-US" w:eastAsia="en-US" w:bidi="ar-SA"/>
        </w:rPr>
        <w:t>Best v. Weatherall</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2010 BCCA 202</w:t>
        </w:r>
      </w:hyperlink>
      <w:r>
        <w:rPr>
          <w:rFonts w:ascii="arial" w:eastAsia="arial" w:hAnsi="arial" w:cs="arial"/>
          <w:color w:val="000000"/>
          <w:sz w:val="20"/>
          <w:lang w:val="en-US" w:eastAsia="en-US" w:bidi="ar-SA"/>
        </w:rPr>
        <w:t>, at para. 41. Although the words in the Letter were written in the context of a highly charged debate in the community of the GBID ratepayers, it cannot be said a reasonable person reviewing such comments would simply dismiss the comments as part of the debate and not interpret the contents of the Letter as reflecting poorly upon on Mrs. McVeigh's character or reputation. The contents of the Letter portray Mrs. McVeigh as a person incapable of discharging her responsibilities as a Trustee of the Board without violating the GBID Board of Trustees Code of Conduct, acting in her own self-interest and behaving in a ridiculous manner when it comes to Board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Was the Letter Published on an Occasion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defence of qualified privilege exists to protect those who publish statements about others which are untrue, but who do so in circumstances described by the authorities reviewed above under the applicable legal principles. It is a privilege which exists only if there is a reciprocating interest or duty to both make and receive the statement, and only in the absence of malice on the part of the individual who publishes the untrue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amended statement of defence pleads that the Letter was published on an occasion of qualified privilege, specifically that the defendants were under a duty to bring any alleged misconduct on the part of a member of the GBID Board to the attention of the GBID members, and that they had a duty to protect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this case, a public special general meeting of the Board was held on January 8, 2008, to address the various allegations and accusations Mr. McVeigh was making against the Board. The evidence of the Boerius and Mr. McWilliam outlines the nature of the meeting, why it was called, and the behaviour of Mrs. McVeigh at this meeting and earlier meetings as observed by the Boerius and Mr. McWilliam. The evidence from Mr. McWilliam and the Boerius also establishes the Board was in a state of crisis; most of the Trustees were considering resignation due to Mr. McVeigh's allegations about the character and conduct of the Board members. Consequently, the Chair sought feedback from the ratepayers as to what the Board members should do and whether the Board continued to have the support of the GBID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am satisfied the defendants have established the availability and applicability of the defence of qualified privilege to the Letter and the reading of the Letter at the Board meeting on January 15, 2008. Under my earlier summary of the legal principles that govern the determination of this application, at paragraph 68, I included the comments of Lord Atkinson in </w:t>
      </w:r>
      <w:r>
        <w:rPr>
          <w:rFonts w:ascii="arial" w:eastAsia="arial" w:hAnsi="arial" w:cs="arial"/>
          <w:i/>
          <w:color w:val="000000"/>
          <w:sz w:val="20"/>
          <w:lang w:val="en-US" w:eastAsia="en-US" w:bidi="ar-SA"/>
        </w:rPr>
        <w:t>Adam</w:t>
      </w:r>
      <w:r>
        <w:rPr>
          <w:rFonts w:ascii="arial" w:eastAsia="arial" w:hAnsi="arial" w:cs="arial"/>
          <w:color w:val="000000"/>
          <w:sz w:val="20"/>
          <w:lang w:val="en-US" w:eastAsia="en-US" w:bidi="ar-SA"/>
        </w:rPr>
        <w:t xml:space="preserve"> as to the breadth of the defence of qualified privilege. Lord Atkinson wrote that a privileged occasion will protect a defendant if, having regard to all the circumstances of the case, "he might honestly and on reasonable grounds believe that what he wrote or said was true or necessary for the purpose of his vindication, though in fact it was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this case, the defendants honestly and on reasonable grounds believed, based on their observations of the plaintiff's conduct in previous meetings and her conduct at the Meeting, and within the entire context of the crisis the Board was experiencing, that what they wrote and had repeated at the January 15, 2008, meeting was true. They also honestly and on reasonable grounds believed the Letter was necessary for the purpose of supporting the Board in the crisis it was experiencing as precipitated by Mr. McVeigh's conduct and Mrs. McVeigh's support of him, and the perceived breach of duty by Mrs. McVeigh in sharing information with her husband from an in-camera meeting of the Board over the hiring of the GBID water operator. The Letter was a direct response to the Chair's request for feedback from the ratepayers as to whether the Board had the support of the community. The fact other ratepayers had voiced concerns about the McVeighs' conduct at the January 8, 2008, meeting did not make the Letter and its subsequent reading redundant.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this case, the defendants had an interest in making the statement and those to whom the statement was made, Mr. McWilliam as Chair of the Board and the other GBID ratepayers, had a reciprocal interest in receiving it. The jurisprudence notes that the term "interest" should not be viewed technically or narrowly. The interest sought to be served may be personal, social, business, financial, or legal. The context is important. As the evidence makes clear, the interest engaged here was the interest of the defendants in supporting a duly elected Board that appeared to be in a state of crisis. The interest of the recipient ratepayers in receiving the opinion of the Boerius was equally clear. The nature of the statements in the Letter, the circumstances that gave rise to the writing of the Letter, the fact that it was written by two concerned ratepayers in response to a request from the Chair for feedback about the Board and its crisis, and that the Letter was to be shared with similarly concerned GBID ratepayers all militate in favour of determining the defence of qualified privilege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As Binnie J. noted in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at para. 15, public controversy can be a rough trade, and the law needs to accommodate its requirements. The reporting and sharing of opinions as to the propriety, or otherwise, of the conduct of elected public officials is one of the cornerstones of a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Indeed, communications by citizens to public officials often falls within the parameters of the defence of qualified privilege. Private citizens have a right and a duty to bring to the attention of appropriate officials instances of misconduct and neglect of duty in the administration of public affairs. This is particularly true where a citizen observes misconduct on the part of a public official. In fulfilling this duty, private citizens should be assured their acts of public citizenship will not fall prey to civil actions for damages where they have provided false information in the best of good faith: R. E. Brown in </w:t>
      </w:r>
      <w:r>
        <w:rPr>
          <w:rFonts w:ascii="arial" w:eastAsia="arial" w:hAnsi="arial" w:cs="arial"/>
          <w:i/>
          <w:color w:val="000000"/>
          <w:sz w:val="20"/>
          <w:lang w:val="en-US" w:eastAsia="en-US" w:bidi="ar-SA"/>
        </w:rPr>
        <w:t>The Law of Defamation in Canada, Volume 2</w:t>
      </w:r>
      <w:r>
        <w:rPr>
          <w:rFonts w:ascii="arial" w:eastAsia="arial" w:hAnsi="arial" w:cs="arial"/>
          <w:color w:val="000000"/>
          <w:sz w:val="20"/>
          <w:lang w:val="en-US" w:eastAsia="en-US" w:bidi="ar-SA"/>
        </w:rPr>
        <w:t xml:space="preserve"> (2nd edition) (Toronto: Carswell, 1994) at 13-297.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the Boerius had a legal, social or moral interest or duty in communicating their opinions about their observations of the plaintiff's conduct as a Trustee to the Board. They had a right and a duty to bring their observations to the attention of the Board and the other GBID ratepayers, and did so through the Letter and its public reading at the January 15, 2008, meeting. The other Board members and the GBID ratepayers had an interest and a right to receive this information about the perceived potential misconduct of one of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of the opinion the Boerius had a legal, social and moral interest or duty to respond to the Board's concerns as raised at the meeting. This arose as a result of the crisis the Board was experiencing, culminating in the events at the January 8, 2008, special general meeting of the GBID Board, including a request from the Chair for feedback from the ratepayers. The Letter was written in response to the request for direction and feedback on whether the Chair and other Trustees ought to resign or whether the Board continued to enjoy the support of the ratepayers. The Board and the GBID ratepayers attending the subsequent January 15, 2008, meeting, where the Letter was read aloud, had a corresponding duty or interest in receiving the information contained in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was within this context the Letter was written by two concerned ratepayers. The fact Mr. Boeriu is a retired police officer is irrelevant to the determination of whether the defence of qualified privilege is available in these circumstances. The Boerius wrote the Letter as they were concerned the Board was going to resign, and they felt they had a moral duty to publicly defend the Board. They also felt they had a duty and interest in bringing their observations and opinions as to Mrs. McVeigh's conduct to the attention of the Board and the other ratepayers. I find the defendants' Letter was written and communicated on an occasion of qualified privilege.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Has the plaintiff established the defence of qualified privilege is barred on grounds of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defence of qualified privilege can be defeated by a finding of malice on the part of the defendants or by a finding the limits of the privilege were exceeded: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 79;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(B.C.C.A.) at para. 30. In this case, the plaintiff argues qualified privilege is defeated by the express malice of the defendants. The onus of proving malice to defeat the defence of qualified privilege rests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Court of Appeal decision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paras. 32-33, referred to at para. 71 of these reasons, reviewed the concept of express malice. Malice to defeat qualified privilege is defined as including "ill will" and "any indirect motive which conflicts with the sense of duty created by the occasion." Madam Justice Kirkpatrick went on, at para. 34, to adopt a framework for the categories under which a finding of malice can be made. A defendant is actuated by malice if they publish the comment in one or more of four ways: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Knowing it was false; </w:t>
      </w:r>
      <w:r>
        <w:rPr>
          <w:rFonts w:ascii="arial" w:eastAsia="arial" w:hAnsi="arial" w:cs="arial"/>
          <w:i/>
          <w:color w:val="000000"/>
          <w:sz w:val="20"/>
          <w:lang w:val="en-US" w:eastAsia="en-US" w:bidi="ar-SA"/>
        </w:rPr>
        <w:t>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reckless indifference whether it is true or false; </w:t>
      </w:r>
      <w:r>
        <w:rPr>
          <w:rFonts w:ascii="arial" w:eastAsia="arial" w:hAnsi="arial" w:cs="arial"/>
          <w:i/>
          <w:color w:val="000000"/>
          <w:sz w:val="20"/>
          <w:lang w:val="en-US" w:eastAsia="en-US" w:bidi="ar-SA"/>
        </w:rPr>
        <w:t>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dominant purpose of injuring the plaintiff because of spite or animosity; </w:t>
      </w:r>
      <w:r>
        <w:rPr>
          <w:rFonts w:ascii="arial" w:eastAsia="arial" w:hAnsi="arial" w:cs="arial"/>
          <w:i/>
          <w:color w:val="000000"/>
          <w:sz w:val="20"/>
          <w:lang w:val="en-US" w:eastAsia="en-US" w:bidi="ar-SA"/>
        </w:rPr>
        <w:t>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or indirect, or also, if the occasion is privileged, for a dominant purpose not related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evidence establishes the views and opinions formed, and expressed in the Letter, were as a result of their observations of Mrs. McVeigh's conduct, their review of the GBID Board of Trustees Code of Conduct and their conclusion from the meeting of January 8, 2008, that if the Board did not receive support from the ratepayers, most of the Trustees were contemplating resignation. The Letter was written based on their personal observations over an extended period of time and was intended to convey their support of the existing Board. The inferences the defendants drew based on their observations over time caused them to form opinions that were honestly held and reasonably drawn from their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Although the defendants may not have had any discussion with the plaintiff prior to writing their Letter, that does not amount to publishing defamatory statements knowing they were false or with a reckless indifference as to their truth or falsity. It is clear from the evidence the plaintiff aligned herself with her husband's pursuit of activities with the Board, including assisting in handing out what ultimately turned out to be defamatory material written by Mr. McVeigh. The defendants' witnessing the plaintiff's conduct at the earlier Board meetings along with the events of January 8, 2008, did not require them to place themselves in a situation of direct, and likely disagreeable, confrontation with the plaintiff. The defendants were reasonably entitled to rely on their observations of the plaintiff's behaviour, to check it against the Code of Conduct as well as the Conflict of Interest Guidelines, to reach their own conclusions as to the plaintiff's conduct, to convey their observations and opinion to the Board and to offer their support to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submits she has proven malice on the part of the defendants and points to their failure to respond to her numerous requests for clarification of various aspects of the Letter, made after it was read at the meeting of January 15, 2008, as well as their failure to respond to aspects of the interrogatories issued by her after proceedings were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plaintiff's requests for clarification were coupled with a threat of legal action if certain steps were not undertaken by the defendants. The defendants obtained legal advice and responded with a direction to the plaintiff and her husband that they not trespass on the defendants' property. The defendants' conduct in failing to respond to the plaintiff's requests for clarification coupled with her threats of legal action do not constitute evidence of malice in respect of the comments they included in the Letter. If anything, the failure to respond reflects a desire to avoid further communication and difficulty with the plaintiff. Aspects of the plaintiff's letters to the defendants after the January 15, 2008, meeting were offensive and demeaning, and appeared to be designed to draw the defendants into further argument, debate and conflict over how the plaintiff conducted herself as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also submits the conduct of the defendants in initially failing to answer some of the interrogatories as well as the notices to admit she submitted to them, and then in the answers eventually provided, is also evidence of malice on the part of the defendants. Having reviewed the interrogatories in issue and the responses provided, as well as the notices to admit that were submitted, I do not find anything in these materials provides an evidentiary foundation to support the plaintiff's argument the responses evidence malice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Some of the contents of the notices to admit contain compound suggestions which are difficulty to clarify. They also contain elements of argument that are not appropriate for admissions. The difficulty with the convoluted and argumentative contents of the plaintiff's October 31, 2008, notice to admit submitted to Mr. Boeriu can be discerned from the following excerpts from the notice to admit appended to the plaintiff's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the admission of which is requested are: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your police training, you have no factual proof that Trustee McVeigh's mission was misguided.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your police training, you have no factual proof that hundreds of hours were wasted by the Gillies Bay Improvement District on Trustee McVeigh's mission.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your police training, you have complete respect, trust and admiration for a Gillies Bay Improvement District Trustee who made false statements in his Jan. 08, 2008 hand outs entitled "Recent G. McVeigh Correspondence" and "Response to Recent G. McVeigh allegations."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your police training, you did not independently verify the statements made by Trustee McWilliam in his hand outs "Recent G. McVeigh Correspondence" and "Response to Recent G. McVeigh allegations" before formulating your letter of Jan. 09, 2008.</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Trustee McVeigh and her husband wrote you a letter on January 16, 2008 asking you to provide the facts in support of the opinions expressed in your letter of Jan. 09, 2008 and pointed out some of the false statements contained in Trustee McWilliam's hand outs dated Jan. 08, 2008, but you did not respond to the request.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Trustee McVeigh and her husband wrote you on February 27, 2008 clarifying their request for any facts in support of your opinions and cautioning you that legal action was a possibility should you fail to respond to their correspondence, but you chose not to respond.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April 15, 2008 letter was marked "without prejudice" but was in no way a bona fide negotiating document written with a view to reconciliation or settlement of the dispute, but rather a display of the ill will you held toward Trustee McVeigh and her husband.</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your police training, you did not take all reasonable precautions to verify the truth of the statements made in your letter dated Jan. 09, 2008.</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took the time to ingratiate yourself to your intended audience in paragraph #1 of your Jan. 09, 2008 letter and to denigrate Trustee McVeigh's husband in Paragraphs #5, #6, #8 and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Boeriu initially declined to respond to the statements set out as facts in the notice to admit submitted to him on the basis they were "either inappropriate, irrelevant, contain mix of facts and law, and serve no practical purpose." Mr. Boeriu then provided responses to the notice to admit after reconsideration and for the purposes of expediting matters. His responses included denials with accompanying explanations to points 7, 9 and 26; admissions with accompanying explanations to points 12 and 14; a claim of irrelevance with an explanation for points 10 and 11; and, a straight denial for point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Insofar as the second set of interrogatories of both defendants are concerned, similar observations can be made as to the convoluted, confusing and sometimes irrelevant questions advanced. The defendants responded as best they could, but the plaintiff indicated to their counsel she deemed some of the answers non-responsive. She requested a response and, if none was received, she would make an application to the Court directing the defendants to respond. The defendants, in the interests of avoiding further costly court applications then offered further responses to some of the questions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do not find the conduct of the defendants in the way they responded to the notice to admit submitted to each of them or in their responses to the interrogatories submitted to constitute evidence of malice in this case. The defendants appear to have responded as best they could to the confusing and argumentative contents of each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argues the conduct of defence counsel also evidences malice on the part of the defendants because (i) he misstated some of the evidence of the affidavits; (ii) he made a statement in his argument unsupported by Mr. Boeriu's own evidence; (iii) he suggested the onus was on the plaintiff to prove the statements were defamatory; and (iv) he appeared to be working the defence of fair comment into application materials when it had not been pleaded in the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Having reviewed the affidavit materials, I am satisfied defence counsel has not misstated the evidence or made a statement in his argument that is unsupported by Mr. Boeriu's own evidence. Defence counsel acknowledged in his oral argument the defence of fair comment had not been pleaded, and it has not been considered. Reference to it in the argument does not amount to evidence of malice upon the part of the defendants in the writing of the Letter in issue. Finally, the reference in argument that the plaintiff bears the onus of proving the impugned material is defamatory is not a misstatement of the law. Rather it is simply a compendious expression of the legal elements the plaintiff must establish in an action in defamation as outlined above in paragraphs 55 and 74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No aspect of the conduct of the defendants since the plaintiff initiated this action, nor any of the responses to the notices to admit and interrogatories demonstrate in any way evidence of express malice on the part of the defendants. Indeed, the defendants' responses to the materials further solidify the position they were acting on their observations and simply stating their opinion of what they observed, and did so in response to a request from the Board for support from the ratepayers at the January 8, 2008, special general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made their statements of opinion as contained in the Letter based on their observations of the plaintiff. The evidence establishes the statements were made with a subjective honest belief as to their truth and accuracy. I find the defendants believed the impugned statements set out in paragraph 6 of the statement of claim were true, and the defendants believed what they wrote and had read at the January 15, 2008, meeting were necessary to support the Board during the crisis it was experiencing as a result of the conduct of the plaintiff and her husband. The defendants believed what they wrote was necessary for the purposes of vindicating the Board in the face of the very serious allegations being levelled against it by Mr. McVeigh as supported by his wife, a Trustee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 Kirkpatrick J.A. noted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para. 39, referring to Lord Diplock's speech in </w:t>
      </w:r>
      <w:r>
        <w:rPr>
          <w:rFonts w:ascii="arial" w:eastAsia="arial" w:hAnsi="arial" w:cs="arial"/>
          <w:i/>
          <w:color w:val="000000"/>
          <w:sz w:val="20"/>
          <w:lang w:val="en-US" w:eastAsia="en-US" w:bidi="ar-SA"/>
        </w:rPr>
        <w:t>Horrocks</w:t>
      </w:r>
      <w:r>
        <w:rPr>
          <w:rFonts w:ascii="arial" w:eastAsia="arial" w:hAnsi="arial" w:cs="arial"/>
          <w:color w:val="000000"/>
          <w:sz w:val="20"/>
          <w:lang w:val="en-US" w:eastAsia="en-US" w:bidi="ar-SA"/>
        </w:rPr>
        <w:t>, the only kind of recklessness that destroys privilege is indifference to the truth or falsity of the statement. Reckless behaviour by the maker of a defamatory statement that comes about from simply jumping to irrational conclusions, reached without adequate inquiry or based on insufficient evidence is not enough to constitute malice where the maker of the statement believes in the truth of the statement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the evidence establishes the defendants honestly believed in the truth of the statements they made in the Letter. The plaintiff has failed to establish the defendants published defamatory statements knowing they were false or with reckless indifference as to their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Where there is an honest belief on the part of the defendants, malice can only be established by the plaintiff showing a dominant improper purpose or desire to injure. It is clear from the totality of the evidence, including the affidavits of the defendants as well as their responses to the notices to admit and the interrogatories, there was no dominant improper purpose or desire to injure. The defendants were expressing their opinion gained through observation over an extended period of time and did so in an effort to support the Board and to show other ratepayers the Board had their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the plaintiff has failed to establish the defendants published defamatory statements for the dominant purpose of injuring the plaintiff out of spite or animosity or for any other dominant purpose which is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am of the opinion the plaintiff's action must fail based on my conclusion the publication of which she complains was made without malice, and the defendants have established the defence of qualified privilege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defendants' application for judgment in this summary trial is granted.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are entitled to their costs at Scale B, unless the parties seek to make further submissions on the issue, in which case notice must be given to the Court within 30 days of the filing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January 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Gillies Bay Improvement District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Box 102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Gillies Bay, BC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V0N1W0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Mr. Rob McWilliam, Chairperson,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 GBID Meeting of Jan. 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have lived in Gillies Bay for 7 of the last 10 years. When my husband and I moved here in 1998, we were immediately struck by the incredible sense of community. We soon decided that this was the place we would retire. After 3 years away, we are back. We have purchased our retirement home and are starting to get involved with the community once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attended the GBID meeting of January 8, 2008. I must say that we were appalled at the behavior of one of your board members. I have since asked for, and received, your Board's Code of Conduct. I have also researched the documentation put out by the Ministry of Community Services in regards to Improvement District Administration, which states: "A person is in a conflict of interest when they exercise an official power or perform an official duty or function in the execution of their office, knowing that it will further their private interests. A person is likely to be in a conflict of interest where there is a reasonable perception, which a reasonably well-informed person could properly have, that the person's ability to exercise an official power or perform an official duty or function must have been affected by their private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your own Code of Conduct it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"Trustees will exhibit unconflicted loyalty to the interests of the improvement district. This responsibility supercedes any conflicting loyalty to persons, interest groups and membership of any other Boards or agencies." As well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"When the Board has made a legal decision, individual trustees must accept and support the decision regardless of personal agreement with the decision."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 "Trustees must not attempt to exercise individual authority.", and, last but not least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 "Trustees will not actively support any actions by other individuals that are intended to denigrate other trustees, the Board of Trustees, or any employees of the Improvement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By my count your Trustee McVeigh is in gross violation of 4 out of 8 of </w:t>
      </w:r>
      <w:r>
        <w:rPr>
          <w:rFonts w:ascii="arial" w:eastAsia="arial" w:hAnsi="arial" w:cs="arial"/>
          <w:b/>
          <w:color w:val="000000"/>
          <w:sz w:val="20"/>
          <w:lang w:val="en-US" w:eastAsia="en-US" w:bidi="ar-SA"/>
        </w:rPr>
        <w:t>your own Codes of Conduct!</w:t>
      </w:r>
      <w:r>
        <w:rPr>
          <w:rFonts w:ascii="arial" w:eastAsia="arial" w:hAnsi="arial" w:cs="arial"/>
          <w:color w:val="000000"/>
          <w:sz w:val="20"/>
          <w:lang w:val="en-US" w:eastAsia="en-US" w:bidi="ar-SA"/>
        </w:rPr>
        <w:t xml:space="preserve"> As well as skirting dangerously close to a Conflict of Interest as stated in the documentation, quoted above, from the Ministry of Community Services, which, by the way, also states: "A trustee should not do anything which they cannot justify to the public. It is not enough to avoid actual impropriety; trustees should at all times avoid any occasion for the appearance of improper conduct." As well as: "Trustees should avoid any situations that could cause a person to believe that the trustee may have brought bias or partiality to a question before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consider myself to be "a reasonably well-informed person" with a "reasonable perception" that Trustee McVeigh is unable to perform her official duty without being affected by her private interests. Adding this to her blatant breach of 4 of your own Codes of Conduct, I believe that the best thing for the Gillies Bay Improvement District, and by extension, the rate-payers of Gillies Bay, is that she be removed, effective immediately, from any and all affiliations with the GBID. Under the circumstances I also believe it should be addressed by the Board, as to whether either McVeigh should be involved to any degree in any GBID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Government of British Columbia's Local Government Department Website, under "Council and Board Procedures" states that, "The presiding member can even expel a person from a meeting for acting improperly." It is my opinion (shared by many) that both McVeighs acted improperly, to an extreme degree, at the Jan. 8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rest of the board has our complete respect, trust, and admiration. Thank you for the amazing job you have all done in spite of the continual contention, even from within your own ranks.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 we, as rate-payers, with a vested interest in the efficient operation of the GBID, sit idly by while hundreds of hours are wasted on the misguided mission that the McVeigh's have embarked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would suggest at this time that the community has heard enough from the McVeighs. We would also ask the McVeighs to cease and desist, there has been enough drama. Whether they are genuinely concerned citizens, or this is how they entertain themselves, there comes a point when it has to stop, a point when it goes beyond ridiculous. We are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Sincerely Yours,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Kathleen Boeriu George (Ted) Boeriu</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7790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Stein v. Waddell, [2020] B.C.J. No. 283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17,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S1910042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Cheryl Stein, Plaintiff, and Ms. Lindsay Waddell, Mr. Daniel McBain, Conrad G. Keebler, Lois Keebler, Moore Edgar Lyster LLP, Mr. John Doe, and ABC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jc w:val="both"/>
        <w:rPr>
          <w:rFonts w:ascii="arial" w:eastAsia="arial" w:hAnsi="arial" w:cs="arial"/>
          <w:sz w:val="20"/>
          <w:lang w:val="en-US" w:eastAsia="en-US" w:bidi="ar-SA"/>
        </w:rPr>
      </w:pPr>
      <w:bookmarkStart w:id="68" w:name="Counsel_18"/>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C. 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Lindsay Waddell, Daniel McBain and Moore Edgar Lyster LLP: T. Hinkson, E. Magnussen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Conrad Keebler, appearing in person: C. Keebler.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Lois Keebler, appearing in person: L. Keebler.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18"/>
      <w:bookmarkEnd w:id="69"/>
      <w:r>
        <w:pict>
          <v:line id="_x0000_s1092" style="position:absolute;z-index:251732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J.M. GROPPER J."/>
            <w:bookmarkEnd w:id="70"/>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Conrad G. Keebler and Lois Keebler ("the Keeblers"), Lindsay Waddell and Daniel McBain ("the defendant lawyers"), and Moore Edgar Lyster LLP apply to strike Ms. Stein's amended notice of civil claim filed November 14, 2019, without leave to amend, and that the plaintiff's claim against them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amended notice of civil claim also names the anonymous John Doe and ABC Company defendants. It is not clear whether service has been effected on the anonymous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October 29, 2019, Ms. Stein filed a notice of application seeking anonymity for the strike and adjournment applications and civil claim and an order for document disclosure concerning, particularly, MSP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For the reasons that follow, I strike Ms. Stein's amended notice of civil claim and dismiss her action against the defendants. I also dismiss Ms. Stein's notice of application on three bases: first, she did not seek leave to make this application as she is required to do as a vexatious litigant; second, the application for document disclosure arises only in the context of her amended notice of civil claim, which I have dismissed; and, third, the anonymization application rests on grounds substantially similar to those rejected by Madam Justice Fitzpatrick in </w:t>
      </w:r>
      <w:r>
        <w:rPr>
          <w:rFonts w:ascii="arial" w:eastAsia="arial" w:hAnsi="arial" w:cs="arial"/>
          <w:i/>
          <w:color w:val="000000"/>
          <w:sz w:val="20"/>
          <w:lang w:val="en-US" w:eastAsia="en-US" w:bidi="ar-SA"/>
        </w:rPr>
        <w:t>Stein v. British Columbia (Human Rights Tribunal</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2020 BCSC 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Stein's litigation has a long and arduous history. I will not repeat that history here. It was extensively reviewed in a decision of Mr. Justice Milman in the matter of </w:t>
      </w:r>
      <w:r>
        <w:rPr>
          <w:rFonts w:ascii="arial" w:eastAsia="arial" w:hAnsi="arial" w:cs="arial"/>
          <w:i/>
          <w:color w:val="000000"/>
          <w:sz w:val="20"/>
          <w:lang w:val="en-US" w:eastAsia="en-US" w:bidi="ar-SA"/>
        </w:rPr>
        <w:t>Stein v. Allan</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2019 BCSC 1734</w:t>
        </w:r>
      </w:hyperlink>
      <w:r>
        <w:rPr>
          <w:rFonts w:ascii="arial" w:eastAsia="arial" w:hAnsi="arial" w:cs="arial"/>
          <w:color w:val="000000"/>
          <w:sz w:val="20"/>
          <w:lang w:val="en-US" w:eastAsia="en-US" w:bidi="ar-SA"/>
        </w:rPr>
        <w:t>. In that case, Milman J. granted the defendants Elizabeth Allan and Norton Rose Fulbright Canada LLP's application to strike Ms. Stein's claim against them and to have Ms. Stein declared a vexatious litigant and barred from commencing any further proceedings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Stein is a registered cardiology technologist ("CT"). She graduated from a college with a diploma in cardiology technology in 2009. Ms. Stein worked in the Keeblers' medical office as a CT between December 12, 2011 and February 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Stein's allegations are summarized by Milman J.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Stein's central allegation against the Keeblers is that they forced her to administer too many stress tests, as many as ten or twelve per day, after promising in September 2012 or earlier to accommodate her by limiting the number of stress tests she must administer each day to eight. She alleges that the excess work that she was made to do in this way caused her various kinds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Stein is the appellant in two matters that are currently before the Court of Appeal:</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Cheryl Stein v. Conrad Keebler, Lois Keebler and the British Columbia Human Rights Tribunal</w:t>
      </w:r>
      <w:r>
        <w:rPr>
          <w:rFonts w:ascii="arial" w:eastAsia="arial" w:hAnsi="arial" w:cs="arial"/>
          <w:color w:val="000000"/>
          <w:sz w:val="20"/>
          <w:lang w:val="en-US" w:eastAsia="en-US" w:bidi="ar-SA"/>
        </w:rPr>
        <w:t>, BCCA File No. CA 46329 (the "Accommodation Complaint Proceedings Appeal");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Cheryl Stein v. Conrad G. Keebler, Lois Keebler and ABC Company</w:t>
      </w:r>
      <w:r>
        <w:rPr>
          <w:rFonts w:ascii="arial" w:eastAsia="arial" w:hAnsi="arial" w:cs="arial"/>
          <w:color w:val="000000"/>
          <w:sz w:val="20"/>
          <w:lang w:val="en-US" w:eastAsia="en-US" w:bidi="ar-SA"/>
        </w:rPr>
        <w:t>, BCCA File No. CA 46330 (the "Keebler #2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law firm of Moore Edgar Lyster LLP is retained to represent the Keeblers in the appeals. Lindsay Waddell is counsel of record and Daniel McBain is assisting her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September 6, 2019, the defendant lawyers effected service on Ms. Stein in the appeals by posting certain documents to her apartment door in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Stein commenced this action on September 9, 2019. She alleges that the defendants harassed her by filing a "late cross-appeal", "lying to the registry to get it filed" and serving her by "putting it blatantly on her door of her apartment, no envelope at all to conceal privacy etc, and timed it when she wasn't home, gaining access into her secure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October 30, 2019, all of the parties appeared before Madam Justice Fitzpatrick on this application. Fitzpatrick J. adjourned the application on conditions, including that pending the hearing of this application there be a stay of proceedings, preventing Ms. Stein from taking any steps within this action except any amendment that the plaintiff may make to the notice of civil claim, conditional on her filing and serving it on the defendants on or before November 14, 2019 at 5:00 p.m. The remaining conditions included requirements for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her amended notice of civil claim, Ms. Stein advances claims of intentional infliction of mental suffering due to alleged harassment and invasion of privacy by the manner of service of the appeal documents on September 6,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particulars in the amended notice of civil claim describe three occasions where the defendant lawyers and the Keeblers are alleged to have intentionally inflicted mental suffering on the plaintiff. On each occasion, mental suffering was allegedly inflicted by placing "exposed materials, not in an envelope, on Ms. Stein's apartment door without notice of courier or service and exposing her to her building manager and other tenants". The amended notice of civil claim also alleges this conduct was "flagrant and outrageous", "calculated to harm the plaintiff" and "caused the plaintiff to suffer a harmful and provable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amended notice of civil claim also disputes the vexatious litigant declaration made by Milman J. on October 10,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application is brought under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assert that Ms. Stein's pleadings disclose no reasonable cause of action and are therefore bound to fail, or that the claim has no reasonable prospect of success and should be struck in accordance with Rule 9-5(1)(a). They assert there is no freestanding tort of harassment in Canadian law: </w:t>
      </w:r>
      <w:r>
        <w:rPr>
          <w:rFonts w:ascii="arial" w:eastAsia="arial" w:hAnsi="arial" w:cs="arial"/>
          <w:i/>
          <w:color w:val="000000"/>
          <w:sz w:val="20"/>
          <w:lang w:val="en-US" w:eastAsia="en-US" w:bidi="ar-SA"/>
        </w:rPr>
        <w:t>Merrifield v. Canada (Attorney General)</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2019 ONCA 205</w:t>
        </w:r>
      </w:hyperlink>
      <w:r>
        <w:rPr>
          <w:rFonts w:ascii="arial" w:eastAsia="arial" w:hAnsi="arial" w:cs="arial"/>
          <w:color w:val="000000"/>
          <w:sz w:val="20"/>
          <w:lang w:val="en-US" w:eastAsia="en-US" w:bidi="ar-SA"/>
        </w:rPr>
        <w:t xml:space="preserve"> at para. 105, leave to appeal ref'd, </w:t>
      </w:r>
      <w:hyperlink r:id="rId403" w:history="1">
        <w:r>
          <w:rPr>
            <w:rFonts w:ascii="arial" w:eastAsia="arial" w:hAnsi="arial" w:cs="arial"/>
            <w:i/>
            <w:color w:val="0077CC"/>
            <w:sz w:val="20"/>
            <w:u w:val="single"/>
            <w:shd w:val="clear" w:color="auto" w:fill="FFFFFF"/>
            <w:lang w:val="en-US" w:eastAsia="en-US" w:bidi="ar-SA"/>
          </w:rPr>
          <w:t>[2019] S.C.C.A. No. 174</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2019 CanLII 86846</w:t>
        </w:r>
      </w:hyperlink>
      <w:r>
        <w:rPr>
          <w:rFonts w:ascii="arial" w:eastAsia="arial" w:hAnsi="arial" w:cs="arial"/>
          <w:color w:val="000000"/>
          <w:sz w:val="20"/>
          <w:lang w:val="en-US" w:eastAsia="en-US" w:bidi="ar-SA"/>
        </w:rPr>
        <w:t xml:space="preserve"> (SCC). It is also settled law that a lawyer does not owe a duty of care to opposing litigants: </w:t>
      </w:r>
      <w:r>
        <w:rPr>
          <w:rFonts w:ascii="arial" w:eastAsia="arial" w:hAnsi="arial" w:cs="arial"/>
          <w:i/>
          <w:color w:val="000000"/>
          <w:sz w:val="20"/>
          <w:lang w:val="en-US" w:eastAsia="en-US" w:bidi="ar-SA"/>
        </w:rPr>
        <w:t>Pearlman v. Critchley</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2012 BCSC 1830</w:t>
        </w:r>
      </w:hyperlink>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Referring to Rule 9-5(1)(b), the defendants argue that Ms. Stein's claims in the amended notice of civil claims are scandalous, frivolous or vexatious. They are brought for an improper purpose, including the harassment and oppression of the other parties in these various proceedings, rather than the assertion of legitimate rights. Ms. Stein's claim merely repeats or supplements issues she has raised in previous actions. She has also brought actions against the lawyers who have acted for or against her in earlier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respect of Rule 9-5(1)(d), the defendants suggest that an abuse of process may be found where the process of the court is employed for an improper purpose, where the proceedings have no foundation, or where there are multiple or successive proceedings that are likely to cause vexation.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argue that the rule that material facts in a notice civil claim must be taken as true does not mean allegations based on assumptions and speculation must be taken as true. Rather, the court is entitled to subject such allegations to a skeptical analysis to determine their true character: </w:t>
      </w:r>
      <w:r>
        <w:rPr>
          <w:rFonts w:ascii="arial" w:eastAsia="arial" w:hAnsi="arial" w:cs="arial"/>
          <w:i/>
          <w:color w:val="000000"/>
          <w:sz w:val="20"/>
          <w:lang w:val="en-US" w:eastAsia="en-US" w:bidi="ar-SA"/>
        </w:rPr>
        <w:t>Green v. Proline Management Limited</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2017 BCSC 1656</w:t>
        </w:r>
      </w:hyperlink>
      <w:r>
        <w:rPr>
          <w:rFonts w:ascii="arial" w:eastAsia="arial" w:hAnsi="arial" w:cs="arial"/>
          <w:color w:val="000000"/>
          <w:sz w:val="20"/>
          <w:lang w:val="en-US" w:eastAsia="en-US" w:bidi="ar-SA"/>
        </w:rPr>
        <w:t xml:space="preserve"> at paras. 35-38.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also argue that in order to make a claim of intentional infliction of mental suffering ("IIMS"), Ms. Stein must prove three elements per </w:t>
      </w:r>
      <w:r>
        <w:rPr>
          <w:rFonts w:ascii="arial" w:eastAsia="arial" w:hAnsi="arial" w:cs="arial"/>
          <w:i/>
          <w:color w:val="000000"/>
          <w:sz w:val="20"/>
          <w:lang w:val="en-US" w:eastAsia="en-US" w:bidi="ar-SA"/>
        </w:rPr>
        <w:t>Young v. Borzoni et al</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paras. 24, 35-39: flagrant or outrageous conduct; calculated to produce harm; resulting in a visible and provable illness. The defendants assert that insufficient material facts have been pleaded to support each of the elements of the cause of action and thus the action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Finally, the defendants argue that since they served the notice of appeal and other documents to Ms. Stein's address for service in British Columbia (her apartment in Vancouver), Ms. Stein was served in accordance with Rule 39 of the </w:t>
      </w:r>
      <w:r>
        <w:rPr>
          <w:rFonts w:ascii="arial" w:eastAsia="arial" w:hAnsi="arial" w:cs="arial"/>
          <w:i/>
          <w:color w:val="000000"/>
          <w:sz w:val="20"/>
          <w:lang w:val="en-US" w:eastAsia="en-US" w:bidi="ar-SA"/>
        </w:rPr>
        <w:t>Court of Appeal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297/2001</w:t>
      </w:r>
      <w:r>
        <w:rPr>
          <w:rFonts w:ascii="arial" w:eastAsia="arial" w:hAnsi="arial" w:cs="arial"/>
          <w:color w:val="000000"/>
          <w:sz w:val="20"/>
          <w:lang w:val="en-US" w:eastAsia="en-US" w:bidi="ar-SA"/>
        </w:rPr>
        <w:t>. As such, their compliance with Rule 39 cannot give rise to a claim in harassment, intentional infliction of mental suffering, invasion of privacy or any other claim that may be advanced by Ms. Stein in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Stein asserts that her claims are very serious: she is a victim injured by the defendants. She asserts that she is seeking justice and an apology.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Stein says that the Court of Appeal documents were served against her explicit warnings to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Stein complains that she is not being heard. She asserts that serving documents by posting them on her apartment door without an envelope is flagrant conduct, made to cause her harm. Ms. Stein says she was on medical leave at the time and was not of sound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Stein adds that she is standing up for the mentally ill and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Stein v. Allan</w:t>
      </w:r>
      <w:r>
        <w:rPr>
          <w:rFonts w:ascii="arial" w:eastAsia="arial" w:hAnsi="arial" w:cs="arial"/>
          <w:color w:val="000000"/>
          <w:sz w:val="20"/>
          <w:lang w:val="en-US" w:eastAsia="en-US" w:bidi="ar-SA"/>
        </w:rPr>
        <w:t>, Mr. Justice Milman canvassed the case authorities addressing Rule 9-5(1). It is therefore unnecessary for me to review the law on this rule. I refer to Milman J.'s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9-5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paras. 45-46, Milman J. set out the principles relevant to Ms. Stein's claim against the defendant lawyers: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court is to assume that facts pleaded are true, it does not mean that allegations based on assumption and speculation must be taken as true: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19.</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viability of claims against opposing lawyers was addressed in </w:t>
      </w:r>
      <w:r>
        <w:rPr>
          <w:rFonts w:ascii="arial" w:eastAsia="arial" w:hAnsi="arial" w:cs="arial"/>
          <w:i/>
          <w:color w:val="000000"/>
          <w:sz w:val="20"/>
          <w:lang w:val="en-US" w:eastAsia="en-US" w:bidi="ar-SA"/>
        </w:rPr>
        <w:t>Singh v. Nielsen</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2016 BCSC 2420</w:t>
        </w:r>
      </w:hyperlink>
      <w:r>
        <w:rPr>
          <w:rFonts w:ascii="arial" w:eastAsia="arial" w:hAnsi="arial" w:cs="arial"/>
          <w:color w:val="000000"/>
          <w:sz w:val="20"/>
          <w:lang w:val="en-US" w:eastAsia="en-US" w:bidi="ar-SA"/>
        </w:rPr>
        <w:t>, where Mr. Justice Verhoeven pointed out that the only party to whom a lawyer owes an actual duty is his or her client. Notably, at para. 20, Verhoeven J.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particular, allegations that counsel for the opposing party has misled or intentionally deceived the court resulting in decisions or rulings unfavourable to the claimant do not found actionable breaches of any private duty owed to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Milman J. concluded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light of these authorities, it is apparent that Ms. Stein can have no valid claim against the defendants [lawyer Elizabeth Allan and Norton Rose Fulbright Canada LLP] in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having been no contract between them and no duty of care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Stein v. Allan</w:t>
      </w:r>
      <w:r>
        <w:rPr>
          <w:rFonts w:ascii="arial" w:eastAsia="arial" w:hAnsi="arial" w:cs="arial"/>
          <w:color w:val="000000"/>
          <w:sz w:val="20"/>
          <w:lang w:val="en-US" w:eastAsia="en-US" w:bidi="ar-SA"/>
        </w:rPr>
        <w:t xml:space="preserve">, Ms. Stein has no claim against the defendant lawyers in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Nor do the defendant lawyers owe Ms. Stein an actual duty that could ground an actionable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also find that Ms. Stein's assertion that the defendants' service of the documents in accordance with the </w:t>
      </w:r>
      <w:r>
        <w:rPr>
          <w:rFonts w:ascii="arial" w:eastAsia="arial" w:hAnsi="arial" w:cs="arial"/>
          <w:i/>
          <w:color w:val="000000"/>
          <w:sz w:val="20"/>
          <w:lang w:val="en-US" w:eastAsia="en-US" w:bidi="ar-SA"/>
        </w:rPr>
        <w:t>Court of Appeal Rules</w:t>
      </w:r>
      <w:r>
        <w:rPr>
          <w:rFonts w:ascii="arial" w:eastAsia="arial" w:hAnsi="arial" w:cs="arial"/>
          <w:color w:val="000000"/>
          <w:sz w:val="20"/>
          <w:lang w:val="en-US" w:eastAsia="en-US" w:bidi="ar-SA"/>
        </w:rPr>
        <w:t xml:space="preserve"> constitutes harassment must also be struck as disclosing no reasonable claim. It is not harassment for an opposing party to follow the </w:t>
      </w:r>
      <w:r>
        <w:rPr>
          <w:rFonts w:ascii="arial" w:eastAsia="arial" w:hAnsi="arial" w:cs="arial"/>
          <w:i/>
          <w:color w:val="000000"/>
          <w:sz w:val="20"/>
          <w:lang w:val="en-US" w:eastAsia="en-US" w:bidi="ar-SA"/>
        </w:rPr>
        <w:t>Court of Appeal Rules</w:t>
      </w:r>
      <w:r>
        <w:rPr>
          <w:rFonts w:ascii="arial" w:eastAsia="arial" w:hAnsi="arial" w:cs="arial"/>
          <w:color w:val="000000"/>
          <w:sz w:val="20"/>
          <w:lang w:val="en-US" w:eastAsia="en-US" w:bidi="ar-SA"/>
        </w:rPr>
        <w:t xml:space="preserve"> for service of documents in an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Further, no tort of harassment has been recognized in Canada: </w:t>
      </w:r>
      <w:r>
        <w:rPr>
          <w:rFonts w:ascii="arial" w:eastAsia="arial" w:hAnsi="arial" w:cs="arial"/>
          <w:i/>
          <w:color w:val="000000"/>
          <w:sz w:val="20"/>
          <w:lang w:val="en-US" w:eastAsia="en-US" w:bidi="ar-SA"/>
        </w:rPr>
        <w:t>Merrifield</w:t>
      </w:r>
      <w:r>
        <w:rPr>
          <w:rFonts w:ascii="arial" w:eastAsia="arial" w:hAnsi="arial" w:cs="arial"/>
          <w:color w:val="000000"/>
          <w:sz w:val="20"/>
          <w:lang w:val="en-US" w:eastAsia="en-US" w:bidi="ar-SA"/>
        </w:rPr>
        <w:t xml:space="preserve"> at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Moreover, Ms. Stein has failed to establish two elements necessary for a claim of IIMS per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at para. 24. No facts in her claim show flagrant or outrageous conduct on the part of the defendants that is calculated to produce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If a pleading omits a material fact that is essential to formulate a complete cause of action, a cause of action is not effectively pleaded: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therefore strike Ms. Stein's claim under Rule 9-5(1)(a) for disclosing no reasonable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9-5(1)(b)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Milman J. also set out the jurisprudence in respect of Rules 9-5(1)(b) and (d) extensively in his reasons for judgment. He determined that Ms. Stein's successive claims supported a finding that the claim in that case was vexatious. He noted, at para. 64, that the claim in that case was "another iteration of [her] seemingly endless campaign to establish the validity of her original complaint, now dismissed many times, about the number of stress tests she was made to administer while working for the Keeblers." He found that the repetition of her unsuccessful applications amounted to her re-litigating her original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Milman J. points out at para. 66: "[t]he same factors also justify characterizing this action as an abuse of process for the purpose of Rule 9-5(1)(d)", citing </w:t>
      </w:r>
      <w:r>
        <w:rPr>
          <w:rFonts w:ascii="arial" w:eastAsia="arial" w:hAnsi="arial" w:cs="arial"/>
          <w:i/>
          <w:color w:val="000000"/>
          <w:sz w:val="20"/>
          <w:lang w:val="en-US" w:eastAsia="en-US" w:bidi="ar-SA"/>
        </w:rPr>
        <w:t>Behn v. Moulton Contracting Ltd.</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 xml:space="preserve"> at paras. 39-41, where Justice LeBel describes the doctrine of abuse of process as engaging "the inherent power of the court to prevent the misuse of its procedure, in a way that would be manifestly unfair to a party to the litigation before it or would in some other way bring the administration of justice into disrepute"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Stein v. Allan</w:t>
      </w:r>
      <w:r>
        <w:rPr>
          <w:rFonts w:ascii="arial" w:eastAsia="arial" w:hAnsi="arial" w:cs="arial"/>
          <w:color w:val="000000"/>
          <w:sz w:val="20"/>
          <w:lang w:val="en-US" w:eastAsia="en-US" w:bidi="ar-SA"/>
        </w:rPr>
        <w:t>, Ms. Stein's present claim is further iteration of her history of successive claims re-litigating her original complaint. This supports a finding that her claim is vexatious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the amended notice of civil claim filed in this proceeding does not disclose a reasonable claim, is unnecessary, scandalous, frivolous or vexatious and is otherwise an abuse of the process of the court. I therefore strike the claim under Rules 9-5(1)(a), (b) and (d).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Stein's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Because the notice of civil claim is struck, Ms. Stein's application in respect of document disclosure cannot be entertained: there is no context in which to make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Regarding her application for anonymization, Ms. Stein seeks anonymity as her "health has been seriously impacted by all this internet exposure" and to protect her "dignity and life as exposure remains detrimental." The basis of Ms. Stein's application is substantially similar to the one rejected by Fitzpatrick J. in </w:t>
      </w:r>
      <w:r>
        <w:rPr>
          <w:rFonts w:ascii="arial" w:eastAsia="arial" w:hAnsi="arial" w:cs="arial"/>
          <w:i/>
          <w:color w:val="000000"/>
          <w:sz w:val="20"/>
          <w:lang w:val="en-US" w:eastAsia="en-US" w:bidi="ar-SA"/>
        </w:rPr>
        <w:t>Stein v. British Columbia (Human Rights Tribunal</w:t>
      </w:r>
      <w:r>
        <w:rPr>
          <w:rFonts w:ascii="arial" w:eastAsia="arial" w:hAnsi="arial" w:cs="arial"/>
          <w:color w:val="000000"/>
          <w:sz w:val="20"/>
          <w:lang w:val="en-US" w:eastAsia="en-US" w:bidi="ar-SA"/>
        </w:rPr>
        <w:t>) at paras. 87 - 104.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At para. 87, Fitzpatrick J. explained that the test for an anonymization order is the same as the test for a publication ban set out in </w:t>
      </w:r>
      <w:r>
        <w:rPr>
          <w:rFonts w:ascii="arial" w:eastAsia="arial" w:hAnsi="arial" w:cs="arial"/>
          <w:i/>
          <w:color w:val="000000"/>
          <w:sz w:val="20"/>
          <w:lang w:val="en-US" w:eastAsia="en-US" w:bidi="ar-SA"/>
        </w:rPr>
        <w:t>R v. Mentuck</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2001 SCC 76</w:t>
        </w:r>
      </w:hyperlink>
      <w:r>
        <w:rPr>
          <w:rFonts w:ascii="arial" w:eastAsia="arial" w:hAnsi="arial" w:cs="arial"/>
          <w:color w:val="000000"/>
          <w:sz w:val="20"/>
          <w:lang w:val="en-US" w:eastAsia="en-US" w:bidi="ar-SA"/>
        </w:rPr>
        <w:t xml:space="preserve"> at para. 32. This test is met where: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an order is necessary in order to prevent a serious risk to the proper administration of justice because reasonably alternative measures will not prevent the risk;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salutary effects of the publication ban outweigh the deleterious effects on the rights and interests of the parties and the public, including the effects on the right to free expression, the right of the accused to a fair and public trial, and the efficacy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dismissing Ms. Stein's anonymization application, Fitzpatrick J. provided the following reasons: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Stein failed to provide medical evidence demonstrating a real risk to her health should the application be denied: para. 92.</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important public interest in identifying those who have a history of problematic litigation, including vexatious litigants: paras. 96-97.</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little utility in anonymizing a single decision, given the number of public decisions identifying Ms. Stein by name: paras. 98-103.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reasons Fitzpatrick J. provided are equally applicable to Ms. Stein's present application. I would add that Ms. Stein has also not provided evidence of any harm to her "dignity and life" that would justify the extraordinary relief she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Applying the test in </w:t>
      </w:r>
      <w:r>
        <w:rPr>
          <w:rFonts w:ascii="arial" w:eastAsia="arial" w:hAnsi="arial" w:cs="arial"/>
          <w:i/>
          <w:color w:val="000000"/>
          <w:sz w:val="20"/>
          <w:lang w:val="en-US" w:eastAsia="en-US" w:bidi="ar-SA"/>
        </w:rPr>
        <w:t>Mentuck</w:t>
      </w:r>
      <w:r>
        <w:rPr>
          <w:rFonts w:ascii="arial" w:eastAsia="arial" w:hAnsi="arial" w:cs="arial"/>
          <w:color w:val="000000"/>
          <w:sz w:val="20"/>
          <w:lang w:val="en-US" w:eastAsia="en-US" w:bidi="ar-SA"/>
        </w:rPr>
        <w:t>, I find there is no basis upon which to grant Ms. Stein's anonymization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dismissing her notice of application, I also note Ms. Stein did not obtain leave to file the notice of application as she was required to do under the order of Mr. Justice Milman.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order that the amended notice of civil claim filed on November 14, 2019 be struck without leave to amend. The claims against the defendants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also dismiss Ms. Stein's notice of application filed October 29,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dispense with the requirement for Ms. Stein's approval as to the form of the final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Finally, the defendants are granted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Strata Plan LMS 3851 v. Homer Street Developments Ltd., [2007] B.C.J. No. 539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Truscott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13,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15, 2007.</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S76792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539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BCSC 362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156 A.C.W.S. (3d) 802</w:t>
      </w:r>
    </w:p>
    <w:p>
      <w:pPr>
        <w:spacing w:before="120" w:line="260" w:lineRule="atLeast"/>
        <w:rPr>
          <w:lang w:val="en-US" w:eastAsia="en-US" w:bidi="ar-SA"/>
        </w:rPr>
      </w:pPr>
      <w:r>
        <w:rPr>
          <w:rFonts w:ascii="arial" w:eastAsia="arial" w:hAnsi="arial" w:cs="arial"/>
          <w:color w:val="000000"/>
          <w:sz w:val="20"/>
          <w:lang w:val="en-US" w:eastAsia="en-US" w:bidi="ar-SA"/>
        </w:rPr>
        <w:t>Between The Owners, Strata Plan LMS 3851, Chong Ping Wong and others, Plaintiffs, and Homer Street Developments Limited Partnership, (formerly Cressey (Homer) Limited Partnership) and others, Defendants, and O'Neill Hotels &amp; Resorts Ltd. and others,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jc w:val="both"/>
        <w:rPr>
          <w:lang w:val="en-US" w:eastAsia="en-US" w:bidi="ar-SA"/>
        </w:rPr>
      </w:pPr>
      <w:bookmarkStart w:id="71" w:name="Counsel_19"/>
      <w:bookmarkEnd w:id="7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4" style="position:absolute;z-index:2516828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B.W. Dixon, S.T. Warnett.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Homer Street Development Ltd. Partnership et al (The "Developers"): G.N. Corson.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MM&amp;R Valuation Services, Inc.: G.M. Nijman.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parties O'Neill Hotels &amp; Resorts Ltd. and OHR Grand Management Robert F. O'Neill and John C. O'Neill: D.G.S. Rae, Q.C..</w:t>
      </w:r>
      <w:r>
        <w:rPr>
          <w:lang w:val="en-US" w:eastAsia="en-US" w:bidi="ar-SA"/>
        </w:rPr>
        <w:cr/>
      </w:r>
    </w:p>
    <w:p>
      <w:pPr>
        <w:spacing w:after="240"/>
        <w:rPr>
          <w:lang w:val="en-US" w:eastAsia="en-US" w:bidi="ar-SA"/>
        </w:rPr>
      </w:pPr>
      <w:bookmarkStart w:id="72" w:name="Judgment_19"/>
      <w:bookmarkEnd w:id="72"/>
      <w:r>
        <w:pict>
          <v:line id="_x0000_s1095" style="position:absolute;z-index:25173401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73" w:name="TRUSCOTT J."/>
            <w:bookmarkEnd w:id="73"/>
            <w:r>
              <w:rPr>
                <w:rFonts w:ascii="arial" w:eastAsia="arial" w:hAnsi="arial" w:cs="arial"/>
                <w:b/>
                <w:color w:val="000000"/>
                <w:sz w:val="30"/>
                <w:lang w:val="en-US" w:eastAsia="en-US" w:bidi="ar-SA"/>
              </w:rPr>
              <w:t>TRUSCOTT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have provided to the defendants and to the court a statement of what they consider to be the issues involved in their claims for the purpose of the stage one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take issue with one of the issues being involved and with the framing of some of the other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developer defendants take issue with the involvement of alleged representations in the marketing brochure and auditor's report dated November 8, 1996 due to plaintiffs' counsel's concession in the past that these alleged representations were no different than the representations alleged in the disclosure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Plaintiffs' counsel says there should be no objection to including these alleged representations in the marketing brochure and auditor's report as long as there is no involvement of any issue of who received these documents nor who relied upon these documents, as part stage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this basis I agree that the alleged representations in the marketing brochure and the auditor's report will form part of the stage one trial to the extent of determining who is responsible for those representations, who owed a duty of care with respect to them, whether they were material, whether they were false, and whether the developers, directors or OHR were fraudulent or negligent in making those representations, all as are presently alleged against these three defendants through the disclosure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collective defendants disagree with any determination that their conduct might be considered to be fraudulent or negligent in making the representations as they say that is a conclusion only and the proper question is to determine whether they breached a standard of care in making the representations. Their concern appears to be that such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might involve an inference that there was reliance by one or more of the plaintiffs on this conduct when the issue of reliance has been reserved completely for a second stage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Plaintiffs' counsel points out that in framing the issues as he has he has followed the wording of the issues as used by Wedge J. in her language in </w:t>
      </w:r>
      <w:r>
        <w:rPr>
          <w:rFonts w:ascii="arial" w:eastAsia="arial" w:hAnsi="arial" w:cs="arial"/>
          <w:b/>
          <w:i/>
          <w:color w:val="000000"/>
          <w:sz w:val="20"/>
          <w:lang w:val="en-US" w:eastAsia="en-US" w:bidi="ar-SA"/>
        </w:rPr>
        <w:t>Sharbern Holdings Ltd. v. Vancouver Airport Centre Ltd. et al,</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2005 BCSC 896</w:t>
        </w:r>
      </w:hyperlink>
      <w:r>
        <w:rPr>
          <w:rFonts w:ascii="arial" w:eastAsia="arial" w:hAnsi="arial" w:cs="arial"/>
          <w:color w:val="000000"/>
          <w:sz w:val="20"/>
          <w:lang w:val="en-US" w:eastAsia="en-US" w:bidi="ar-SA"/>
        </w:rPr>
        <w:t xml:space="preserve">, Reasons for Judgment, June 16, 2005. As well he points to the wording of these issues as set out in </w:t>
      </w:r>
      <w:r>
        <w:rPr>
          <w:rFonts w:ascii="arial" w:eastAsia="arial" w:hAnsi="arial" w:cs="arial"/>
          <w:b/>
          <w:i/>
          <w:color w:val="000000"/>
          <w:sz w:val="20"/>
          <w:lang w:val="en-US" w:eastAsia="en-US" w:bidi="ar-SA"/>
        </w:rPr>
        <w:t>The Queen v. Cognos Inc.</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as well as in </w:t>
      </w:r>
      <w:r>
        <w:rPr>
          <w:rFonts w:ascii="arial" w:eastAsia="arial" w:hAnsi="arial" w:cs="arial"/>
          <w:b/>
          <w:i/>
          <w:color w:val="000000"/>
          <w:sz w:val="20"/>
          <w:lang w:val="en-US" w:eastAsia="en-US" w:bidi="ar-SA"/>
        </w:rPr>
        <w:t>Seaboard Life Insurance Co. v. Bank of Montreal</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[2002] B.C.J. No. 599</w:t>
        </w:r>
      </w:hyperlink>
      <w:r>
        <w:rPr>
          <w:rFonts w:ascii="arial" w:eastAsia="arial" w:hAnsi="arial" w:cs="arial"/>
          <w:color w:val="000000"/>
          <w:sz w:val="20"/>
          <w:lang w:val="en-US" w:eastAsia="en-US" w:bidi="ar-SA"/>
        </w:rPr>
        <w:t>,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my view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conclusion from a finding of a breach of a duty of care which involves a finding of a breach of a standard of care and in my opinion all of these findings are involved in the stage one trial and none of them will involve any consideration of issues of reliance that are reserved for a stage two trial. I am content to leave the plaintiffs' issues in this regard as framed.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consider that the issue outlined in the plaintiffs' list under (a)(iii) dealing with duty of care to the investors in respect to the representations applies not only to the representations in the disclosure statement but also to the same representations in the marketing brochure and the auditor's report in (a)(ii).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must say that when the matter of the plaintiffs delivering a statement of issues was first discussed, I had in mind a list only of the general issues that the plaintiffs contemplated, and not a list of the necessary ingredients of each issue from the plaintiffs' perspective.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hearing counsel for the developers and MM&amp;R agreed that an issue between the two of them in third party proceedings dealing with a limit on the exposure of MMR or HVS to the developer will not go ahead at the first stage trial. Those two parties also agree that the issue of any consultation between the developer and HVS as alleged in [paragraph] 31(h) of the Second Further Amended Statement of Claim will form part of the third party proceedings between them at stage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Any issue in the third party proceedings of MM&amp;R relying upon faulty occupancy rate figures being given to it by OHR or the developers is presently a matter of discussions amongst the third parties as to whether it is intended to be part of stage one. Plaintiffs' counsel is to be notified of the result of those discussions.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issue of whether the investors are deemed to have relied on the representations, pursuant to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and whether that results in any liability of the developers and directors to compensate the investors will be argued at the stage one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TRUSCOTT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11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Tench v. Van Bugnum, [2019] B.C.J. No. 2075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8-12 and 15-17,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M170199, M187621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2075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1877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Leah Kathleen Tench, Plaintiff, and Richard Nicholas Van Bugnum, Defendant And between Leah Kathleen Tench, Plaintiff, and Bhagwant Singh Sidhu and Tejinderpal Kaur Sidhu,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(242 paras.)</w:t>
      </w:r>
    </w:p>
    <w:p>
      <w:pPr>
        <w:jc w:val="both"/>
        <w:rPr>
          <w:rFonts w:ascii="arial" w:eastAsia="arial" w:hAnsi="arial" w:cs="arial"/>
          <w:sz w:val="20"/>
          <w:lang w:val="en-US" w:eastAsia="en-US" w:bidi="ar-SA"/>
        </w:rPr>
      </w:pPr>
      <w:bookmarkStart w:id="74" w:name="Counsel_20"/>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7"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Venegas, G.L. Canniff.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G.A. Krueger, D.S. Jarrett.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5" w:name="Judgment_20"/>
      <w:bookmarkEnd w:id="75"/>
      <w:r>
        <w:pict>
          <v:line id="_x0000_s1098" style="position:absolute;z-index:2517350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PRELIMINARY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ACCIDENT-RELATED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Salvian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Caillier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Black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Karim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Physiotherapy Treatment/Symptom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Exercise Instruction/Active Rehabilitation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Injections/Medications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Body Pillow/Heating Pad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Ergonomic Assessment/Equipment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Housekeeping and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6" w:name="M.L. FLEMING J."/>
            <w:bookmarkEnd w:id="76"/>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Leah Tench, now 29 years old, seeks damages for injuries arising from two motor vehicle accidents that occurred on February 7, 2015 and February 16, 2018. Ms. Tench alleges the first accident caused soft tissue injuries to her neck, upper back, shoulders and low back, resulting in chronic myofascial pain, emotional and psychological problems, and chronic thoracic outlet syndrome ("TOS") involving significant sensory symptoms in both arms and hands. Ms. Tench alleges the second accident aggravated the myofascial pain as well as the TOS and also caused a jaw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first accident, Ms. Tench had almost completed an undergraduate degree and was planning to attend a graduate program. After the accident she completed a Master's degree in English, while working part-time as a teaching assistant ("TA"), and teaching English as a second language ("ESL"). Ms. Tench asserts her symptoms affected her academic performance and prevented her from pursuing a PhD. Ultimately she decided on the goal of high school teaching. Her admission to a one-year teaching program was confirmed by the end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very capable, confident, energetic and outgoing young woman before the accidents, Ms. Tench describes her ongoing symptoms and limitations as undermining all aspects of her life, including her ability to work full-time, perform housework and participate in most activities, her involvement with family and friends, and her relationship with her now husband Thomas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to non-pecuniary damages, Ms. Tench seeks damages for the cost of future care, past and future loss of housekeeping capacity, and past and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admit their liability for the accidents, but dispute the nature and extent of Ms. Tench's injuries and ongoing symptoms, arguing she has largely recovered and will continue to improve. They suggest her psychological complaints were not caused by the accidents. In addition to disputing most of her claim for past loss of earning capacity, the defendants also submit she has not established any future loss. Similarly they suggest Ms. Tench is not entitled to a pecuniary award for loss of housekeeping capacity and she has not proven her claim for most of the cost of future care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to her own evidence, Ms. Tench relied upon the testimony of a number of other witnesses, including Mr. Smith, his mother Carol Smith, long time friend Heidi Buhler, friend and former co-worker Robert Brookes, youth pastor Bryce Elderman, current and former employers, and retired high school teacher Paul Milette. Each of these witnesses, excepting Mr. Milette, gave evidence regarding the impact of her injuries. Mr. Milette testified about the demands of teaching high school both as a full-time teacher and also as a teacher on call, as well as the salaries earned in particular school districts.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Tench also relies upon the expert opinion evidence of vascular surgeon Dr. Anthony Salvian, her treating physical medicine and rehabilitation specialist Dr. Lisa Caillier, and occupational therapist Cheryl Black who prepared a functional capacity evaluation and cost of future care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evidence includes particular entries from some of the clinical records and the expert opinion evidence of cardiothoracic surgeon Dr. Shahzad Karim. Dr. Karim reviewed the reports of Drs. Salvian and Caillier, Ms. Tench's diagnostic testing, and portions of her clinical records, but did not examine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the defendants suggest the court should place less weight on the evidence of some of the lay witnesses, they were not critical of Ms. Tench's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proper approach to assessing the truthfulness of any interested witness's testimony was articulated many years ago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factors identified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 186-87, also play an important role in assessing whether the evidence of a witness is not only truthful, but accurate:</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capacity and opportunity of the witness to observe the events at issue;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ability to remember those events;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witness to resist being influenced by his or her interest in recalling those events;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internal consistency of the witness's evidence, such as did his or her testimony change between direct and cross-examination, or are there inconsistencies in between prior statements, discovery evidence and his or her evidence at trial;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external consistency of the witness's evidence, or whether the witness's evidence harmonizes with or is contradicted by other evidence, particularly independent or undisputed evidence;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his or her evidence seems unreasonable, improbable or unlikely, bearing in mind the probabilities affecting the case;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he or she has a motive to misrepresent the events;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demeanour, meaning the way he or she presents while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Applying the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approach and considering the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factors, I find Ms. Tench's evidence to be very credible, meaning I accept that she testified both truthfully and accurately. Obviously intelligent, articulate and precise, she displayed an excellent memory and provided very detailed, consistent evidence both internally and externally. Her testimony was also consistent with that of the lay witnesses and what she reported to Drs. Salvian and Caillier, as well as Ms. Black. Ms. Tench was direct and reasonable in both direct and cross-examination. In cross-examination, she listened and responded carefully. She did not avoid acknowledging circumstances that did not align with her interest. Although quite willing to identify her talents and achievements, I was never concerned that Ms. Tench was exaggerating her symptoms or their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submit the credibility of Ms. Tench's friends and family members is undermined by the relationships they share with her and for some, their lack of knowledge of her current condition. However, the defendants do not suggest that the evidence of the lay witnesses was inconsistent with the probabilities affecting the case, nor flawed based on the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factors. The reality is each of them testified reasonably, responsively, and with apparent sincerity and gave consistent evidence. Consequently, I also find all of them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Accident-Related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Tench testified at some length about her circumstances for many years prior to the first accident. Raised in a close, religious family, she was the only girl among four children. The family lived on large property in Abbotsford. Her father, a contractor, often worked away from home, and her mother, a bookkeeper, was the homemaker. Both from large families, her parents often hosted extended family dinners, always a significant undertaking. Ms. Tench and her mother were primarily responsible. Ms. Tench also helped with housework, yard work and home maintenance. Having watched her father and her mother over the years, Ms. Tench became quite handy.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Family activities included regular camping holidays that involved swimming, hiking, and "quading".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Tench and her family attended a Pentecostal church. She was always very involved, helping with the "child ministry", teaching Sunday school, participating in a youth group, attending worship sessions, summer camps, retreats and various extra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Tench described herself as very active, but not particularly athletic growing up. A voracious reader, she loved literature and collected fiction. She was also creative. She liked to sew and make costumes. Over time, Ms. Tench became very interested in fashion, makeup, and home decorating. She and her friends shopped frequently and organized clothing swaps. Ms. Tench also really enjoyed spending time on her hair, make up and nails, experimenting she said, on a daily basis. She took pride in her appearance, her extensive shoe and book collections, and a curated wardrobe and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Tench attended Yale Secondary School where she participated in musical theatre and student leadership. She achieved excellent marks, "almost all straight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she completed the full range of academic courses, she most enjoyed the humanities, such as English, English literature, creative writing and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Tench decided to travel and work after graduating in 2007. She worked as a as a cashier at Rona, and then in 2008 travelled to Germany and Ethiopia with a Christian missionary organization, which she found deeply fulfilling. In 2009, she returned to Rona, and became a youth group leader at her church supporting young people in grades nine through 12. Ms. Tench emphasized the significance of this role for herself, describing it as "very foundational to who [she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to weekly youth nights that took place in a gym and involved playing physical games, there were many other youth group events such as an annual leader retreat, a winter retreat, an annual "all nighter", an annual convention, summer events, and other informal gatherings.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Rona, Ms. Tench performed different cashier positions. Regular cashier work included emptying products from baskets or moving them from carts on the counter without a conveyor belt. At the end of each shift she counted and deposited the money float which involved carrying trays. Three months after starting there, and able to recognize building materials, Ms. Tench was "promoted" to the lumber till located in the building material section. Describing herself as faster and more accurate than the other cashiers, and motivated to learn as much as possible about the store, Ms. Tench also took on supervisory shifts in various sections of the store to gain knowledge. Sometimes the work was quite physical, for example consolidating pallets of products weighing 20 pounds each. Ms. Tench had no difficulty with these tasks. In addition, she would perform "super shifts" which involved covering breaks for every front end position and therefore understanding those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Tench made a close group of friends at Rona and found it to be a fun, supportive work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2010, she had a second job as an administrative assistant for a blinds company. In addition to performing administrative tasks, she also helped load the blinds into the delivery van and with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September 2011, Ms. Tench started attending the University of the Fraser Valley ("UFV") in Abbotsford. She remained "heavily involved" in the youth group. In her first term at UFV, she took three classes and kept working at the blinds company and Rona. In the second term, she took four classes and worked 20 hours per week at Rona. During the "summer", she worked more, "upwards of 40 hours". After her first year at UFV, she continued working at Rona while attending classes and attempted to graduate early in December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2014, she was approached by a professor about acting in a play he had written. Ms. Tench agreed, taking on a leading role. In addition to attending rehearsals two or three times per week, Ms. Tench helped with costumes and props.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 future husband was also involved in the play. The two began dating shortly after it was performed in the late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Around that same time, Ms. Tench received a scholarship for exceptional work in English. Her plan by then was to pursue a graduate degree in English. She wanted to be involved in the "academy" and saw herself as having a bent for teaching, having helped other students at UFV including her friend Ms. Buhler.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taking her final course in January 2015, Ms. Tench worked at Rona more, about 30 hours per week, and was asking for additional shifts. She told the managers she would take anything and recalled spending one eight-hour shift reorganizing the power tools in a back room. Ms. Tench indicated the opportunity for more hours was fairly good at that point because there were lots of work available related to a renovation of the store.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7, 2015, Ms. Tench had the day off and was planning to attend an event with Mr. Smith and his family in the evening, a birthday celebration for his grandfather. In the afternoon, she stopped at Rona to pick-up her schedule, on her way to Mr. Smith's parents' home. Around 1:00 p.m., Ms. Tench came to a full stop while driving her 1998 Jeep in the right turning lane before attempting to turn right on a red light, describing traffic as very busy and very fast. As she watched traffic approaching from the left, she crept forward a little in order to see better and then stopped again. Suddenly, Ms. Tench felt a "big" force as her vehicle was hit from behind, a Ford F-series pickup truck. At the time her hands were on the steering wheel, and her feet on the clutch and brake. She recalled her whole body lurching forward and her neck snapping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exchanging information and taking photos, Ms. Tench drove to Mr. Smith's parents' home, located less than five minutes away. She recalled feeling very shaken, jittery and anxious. His parents urged her to call ICBC right away but she felt she needed time to gather herself. Ms. Tench remembered her back hurting. During the birthday event that evening, pain spread to her shoulders and neck. She found she could not move her neck at all after dinner. Moving itself was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next morning, Ms. Tench was scheduled to work as the head cashier at Rona, which involves opening the store. She went, but left early. Hoping a pain killer would allow her to work, she found she was not able to carry any cash tills although she usually carried three. She also could not empty a customer's basket. Picking up any weight caused a great deal of pain in her shoulders. Standing too was really 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Without a family doctor, Ms. Tench attended a walk-in medical clinic that day. The doctor at the clinic reassured her, told her to rest and take a couple of weeks off which she did. She sat at home, used heating pads, and took pain killers. Expecting to feel better, she did not. After obtaining a medical note to take another few weeks off, she took a leave of absence from Rona.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Tench testified the pain she experienced in the days and weeks after the first accident was excruciating. She found everything painful, sitting, standing, walking, and sleeping. She woke up every hour or so. She described a sharp jabbing pain around the centre of her back, a lot of lower back pain, and "tremendous" pain all through both shoulders and her neck, as well as a couple of headaches. Ms. Tench identified her most significant symptoms as neck and shoulder pain. She found she could not do anything without aggravating it and there was no relief in the first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that, in addition to pain, Ms. Tench noticed tingling and numbness in her hands. Reaching up made it worse. Washing her hair resulted in total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Tench continued to see the same doctor at the walk-in clinic. Early on, he recommended physiotherapy which she attended. The physiotherapist used a transcutaneous nerve stimulation ("TENS") machine, some massage and recommended stretches. He told her that rather than rest, she should get up and move. Ms. Tench followed his advice and did stretches. She took extra strength Advil twice daily to manage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few months after the first accident she started massage therapy. By the summer of 2015 she was also receiving chiropractic treatments and participating in active rehabilitation which involved strengthening and stretching exercises. The massages were painful. She felt more freedom of movement afterwards but was very sore. The chiropractic treatments helped with her mid and low back pain. Lifting overhead weights and some stretching exercises caused numbness in her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Tench returned to the youth group a few weeks after the first accident, but could not really participate. She was not able to help with the set up or play sports and games with the other leaders and youth. She also had a difficult time sitting during group discussions. Even attending church services was uncomfortable because she could not raise her hands, a common practice during Pentecostal services, without them going numb.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June 2015, because of her condition, Ms. Tench ended her role as a youth group leader, which left her feeling she was letting down the young girls she had been 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Bryce Edelman, the youth pastor responsible for the youth group program testified about Ms. Tench's involvement, describing her interactions with others as "awesome". She was very outgoing, loved by the other participants, he said, and someone who rallied those around her. After the accident, Mr. Edelman confirmed she was unable to participate in games. He noticed she seemed disconnected and focused on other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Seven months after the first accident, in September 2015, Ms. Tench went back to work at Rona. Unable to manage regular cashier duties, she worked at an outside till in the lumber yard, where the shifts were limited to four hours, for about three days per week. There she was not required to pull things out of baskets or carts and drag them through the till, and there was no lifting. She could also alternate between standing and sitting on a stool.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Heather Krentz, a former supervisor at the Clearbrook Rona from 2013 onward, gave evidence about Ms. Tench's employment before and after the first accident. Describing her as very capable, diligent and precise in her work, happy and outgoing, a go-getter, and polite and courteous with customers and co-workers before, Ms. Krentz also testified about Ms. Tench's hours of work. Ms. Krentz estimated she worked four to eight hour shifts one or two days a week when she was attending school and 24 to 30 hours a week when she was not. However, Ms. Krentz agreed the employment record for November 2013 through February 10, 2015 was accurate. It shows Ms. Tench worked on average 31.5 hours when not in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Krentz confirmed Ms. Tench's evidence about how she was accommodated when she returned in September 2015, including placing her at the "back gate" or lumber yard, where she did not have to physically handle the products. Ms. Krentz observed her to be trying, but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friend and co-worker at Rona, Mr. Brooks, gave similar evidence about Ms. Tench's performance. After operating his own business in Calgary for 34 years, Mr. Brooks retired and moved to Mission. He met Ms. Tench the day he started at Rona. He admired Ms. Tench from the outset, describing her as a very impressive person who was excellent with customers, a self-starter, and very helpful to him. Mr. Brooks was at work the morning after the first accident. He could see Ms. Tench was in distress and told her she needed to go home. He testified it was obvious she was struggling when she came back in September. He found her very subdued. Her perkiness was gone and he noticed she was having trouble with her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fall of 2015, Ms. Tench began teaching ESL at E&amp;E Education in South Surrey, taking over a class that was four hours per week. She found her hands would go numb when she wrote on the board. She adapted by writing short notes and then discussing them, preparing more handouts and giving more verbal instructions. In November 2015, she also started working for another ESL school called Chinese Village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her family moved from Abbotsford to South Langley, Ms. Tench made several attempts to find a position with the Rona store in Langley. She said the manager was initially very positive and welcoming, assuring her she could transfer, but she was later told there was no position available. Ms. Tench went through the same process with a Surrey Rona located on Fraser Highway. She attributed the responses to knowledge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Tench stopped working at Rona in January 2016, stating the long commute from South Langley to the Clearbrook store for a four hour shift was not sustainable.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April 2016, she found a job working full-time at Starbucks. After five days of training, and her second day "on the floor", she quit because there was lots of lifting, some of it quite heavy, reaching down, moving heavy carafes around, and wiping tables, all of which aggravated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Throughout this period, Ms. Tench continued with treatment including massage, physiotherapy and chiropractic treatment, and performing exercises. She also continued to take pain medication and anti-inflammatories. She said she remained quite hopeful she would recover until one year passed. At that point however, she began to think she might not recover, which terrified her. In April 2016, she was prescribed Cipralex, an antidepressant for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July 2016, Ms. Tench began receiving intramuscular stimulation ("IMS") from a physiotherapist in Coquitlam, a form of treatment she still receives.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By then, she had been accepted to the graduate studies program at Simon Fraser University ("SFU") and moved to an apartment in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Tench started the program in September 2016. The course requirements included six classes and two seminars. Ms. Tench estimated that classes occupied seven or eight hours per week. She also worked as a TA for about six hours per week, spending another four preparing and marking. In addition, Ms. Tench continued teaching ESL classes eight to ten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found the TA marking very difficult. Reading and assessing papers and writing comments for 20 to 30 students required her to look down for extended periods, straining her neck and shoulders. Ms. Tench coped by limiting herself to two hours at a time. Even when essays were available online and marking involved looking at a screen, typing comments made her hands go numb.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Tench described managing the demands of work and school poorly. She said she could not keep up. Used to being prepared and meeting deadlines, she recalled teaching books she had not read, relying instead on what she learned during the lectures, not being able to read everything for her own classes, and asking for extensions on most of her assignments, as well as a deferred grade in one course. In her view, working for short intervals coupled with difficulty focusing and concentrating due to pain and discomfort, affected her performance. Reviewing her transcript, she indicated her marks were not as high as she had hoped they would be, stating graduate students are expected to earn A's, A-'s are less than okay and a B is unfathomable. The average grade in one of her theory courses attended by a mix of Master's and PhD students, however, was a B+. Ms. Tench's grade was an A-, which she attributed to being familiar with the material already unlike most of the other Master's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Tench finished the program on time in September 2017. She did not pursue a PhD, stating she did not consider her work to be exceptional and doubted her physical capacity. Initially she hoped if she took a year off, she could apply the following year. Ultimately she abandoned the idea, indicating the pain she was dealing with made even getting through the day a struggle.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Tench and Mr. Smith married on November 4, 2017. She described their wedding as lovely but minimalist, despite all the big ideas she had had for years about all sorts of details, indicating her symptoms prevented her from putting much time or effort into planning and decorating. After the wedding, she and Mr. Smith took a cruise to Mexico for their honeymoon. Ms. Tench found the trip difficult physically. Both of them were disappointed because she was unable to participate in most of the adventure activities that Mr. Smith wanted to 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second accident occurred on February 16, 2018, while Ms. Tench was driving to work at Ask College. A black SUV leaving a parking lot drove straight into the passenger side of her vehicle, a Toyota Yaris as she was driving along 103A Avenue in Surrey, B.C. Ms. Tench described the impact as "really big". Her entire car along with her body jerked to the left. She recalled struggling to keep the wheels straight, her hands going numb immediately and pins and needles sensation in the whole of her left arm. She pulled over, got out of her vehicle and took pictures of the damage to both her car and the SUV. Her employer called because she was late by then. After their phone call she drove to the school, describing herself as really shaken up and in tears. Another teacher took on her students. Ms. Tench remembered sitting in the staff room trying to calm down and making phone calls for quite some time. The next morning she went to her doctor's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Asked how she felt after the second accident, Ms. Tench said all of her symptoms were sharp and fresh again, including pain in her mid and low back, pain across the whole shoulder area, pain down her arms and pain radiating up from her neck. She also developed jaw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By that time, she and Mr. Smith were living in a two-bedroom basement suite in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Tench gave detailed evidence about how her symptoms have prevented her from doing housework since the second accident, all of which Mr. Smith confirmed, describing himself taking on almost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She is unable to transfer loads of wet laundry from the washer to the dryer; lifting wet laundry causes shoulder pain and leads to numbness. Bending over the machine causes a sharp pain in her back. She has tried doing smaller loads but that involves more repetition, leading to the same symptoms. She does put the dirty clothes into the washer and will occasionally fold towels and facecloths. She has tried, but finds it painful to clean the bathroom, describing any back and forth motion with pressure as causing numbness. She is able to wipe counters and rinse the sink. Cleaning the bathtub, the glass panel door or scrubbing the tile causes pain and numbness. She is not able to get down on her hands and knees because it strains her back and puts too much weight on her hands. The same problems limits what she can do in the kitchen. She is not able to clean out the fridge. A capable cook and baker, she seldom prepares meals, using frozen food and bagged salads when she does, and has baked only a couple of times with Mr. Smith's help. Ms. Tench said she finds constant stirring, grating cheese and chopping hard vegetable difficult if not very difficult and she has trouble lifting full pans out of the oven. They have organized the kitchen so the things she needs are accessible. Mr. Smith takes care of the garbage and recycling. Ms. Tench says the weight and awkwardness of the containers put a strain on her shoulders. He does all of the daily tidying, and makes the bed. In addition to doing the laundry, he puts her clothes and other items away. The two of them grocery shop together about once a month. She finds pushing the cart makes her hands go numb. Each of them does day-to-day shopping on their way home from work. Ms. Tench is able to manage a bag of groceries.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Tench identified her current condition as including daily pain in the shoulders and neck, numbness and tingling in her hands, intermittent head aches, mid and low back pain, as well as feelings of depression and anxiety. In cross-examination she agreed there has been some improvement since the second accident and she has good and bad days. Her mid-back pain has largely resolved; her low back pain can be excruciating but it is intermittent and variable, as is her shoulder pain. She denied that the numbness and tingling in her hands feels different from before the second accident, describing her symptoms as exacerbated, and adding she has pain in arms and hands when she wakes up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Tench was taken to some entries in the clinical records which record her reporting improvement in her symptoms on particular days after the second accident. She did not dispute their accuracy for the most part, but maintained her evidence about her current symptoms. I note that many of those entries included objective findings. On September 26, 2018, for example, Ms. Tench apparently reported: "Better - less achiness in L arm" but the objective findings included: "R scalenes tight++". When asked about the effect of Cipralex, she denied reporting on September 20, 2018 that she had no concerns with anxiety, recalling that what was discussed is that she found the medication beneficial, consistent with my reading of the clinical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Since the summer of 2018, Ms. Tench has been treated by Dr. Lisa Caillier who on October 1, 2018 and again in January 2019 provided Ms. Tench with Botox injections. She found that after a week or so, the numbness and tingling in her arms and hands, and her neck symptoms were alleviated for about six to eight weeks. Dr. Caillier's report states that in December 2018, Ms. Tench reported 60% improvement. Cross-examined on this point, Ms. Tench said she was not referring to all of her symptoms. She also specified that after the first injections, she felt less numbness, and some "slight relief" in her neck that gradually wore off in December. After the second injections, she again experienced less numbness that wore off by the end of February or early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By the time of the trial, Ms. Tench had completed three separate rounds of active rehabilitation in 2015, 2016 and 2018. All sessions involved strengthening exercises for the muscles in her back, shoulders and neck. Some involved lifting weights. She found she was not able to lift weights overhead or do some of the stretching exercises without her hands going numb. According to Ms. Tench, each kinesiologist advised her to stop in those circumstances, recommended modifications and gave her exercises to do at home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addition to treatment and performing her exercises, Ms. Tench said she manages her pain by taking over-the-counter medications, as well as some natural supplements for inflammation and other symptoms, and using bath salts. She relies on heating pads at home and in the classroom to help with neck stiffness, tightness, and pain. She uses foam rollers and a rubber ball to massage her muscles and other equipment to stretch and exercise at home. She has a sit-stand desk that Mr. Smith obtained for her when she started at SFU because she looking down while seated at regular desk increased the pain and tightness in her neck. She also relies on a body pillow to reduce her symptoms while sleeping. Ms. Tench said she spends eight or nine hours in bed at night, but sleeps for only six or seven.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After the second accident, Ms. Tench continued to teach ESL classes at Ask College in Surrey, E&amp;E in South Surrey and BL Education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Tench decided to pursue teaching high school, describing it as a second choice for her. Her preference is to teach English, humanities and social justice. In January 2019, she returned to UFV to complete three prerequisite courses for the one year teaching program. She said her performance in those courses has been disappointing and embarrassing, anticipating they would be easy. Just as she did during her Master's program, she has been falling behind and struggling to keep up with readings. She described breaking down one night during the trial as she was trying to finish an assignment, because she could not feel her hands. Mr. Smith sent an email to the professor on her behalf asking for additional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the time of the trial, her schedule involved working 20 to 25 hours per week over seven days at Ask College, E&amp;E and BL Education in Richmond and attending classes two days a week. She was also attending physiotherapy, but no other treatments, stating there was no time. At most, she was teaching four hours in a row while taking breaks throughout the day. Ms. Tench said when she taught for longer, it took her days to recover. Typically, each class is two hours with a break half way through. She tries to minimize her writing on the board, finding she drops markers as she writes. Erasing is as difficult for her as writing. She wears a backpack instead of a bag to carry her laptop and books because it distributes the weight. Ms. Tench finds she is able to prepare and mark during classes. She also engages the students in peer review. The ESL classes do not involve tests or report cards. If a parent wants a written assessment, she will write a paragraph. Ms. Tench indicated she often rests and even naps during long breaks at work or school. She is particularly tired on the days she receives IMS treatment. She spends down time in the evenings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Asked whether she could work less, Ms. Tench said she is not compensated when students cancel, which happens quite often. To make enough money, in other words, she has to book more hours to accommodate cancellations. However, Mr. Smith's evidence established that she also worked more while he was unemployed for about six months in 2018 out of financial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Ms. Tench acknowledged there were other reasons her hours varied. For example, E&amp;E shuts down for the summer and ESL teachers generally work less in the summer. She also agreed that when she returned to UFV in January 2019 she had to give up some classes because of scheduling conflicts. Asked why she had not taken more shifts at BL Education, which pays much more, Ms. Tench said it was the relatively distant Richmond location, she prefers to teach on weekends when traffic is lighter, and she also felt a sense of commitment to the schools she started with and their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Tench confirmed she told Dr. Caillier that in August 2018 she was working 25 to 30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Tench described her performance as an ESL teacher as "sufficient". She said she knows her students like her classes but she thinks she could be providing more. Although she really enjoys teaching, she does not find it stimulating or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Hak Soo Kang, the owner of Ask College, described her teaching much more positively. He testified she is a very good teacher, the students love her, and before the second accident she was very bright, energetic and very responsible. Since then however, she has not had a lot of energy, seemed upset and has been complaining of pain, although she has remained responsible and skilful. He confirmed that she naps at the college, is always using a heating pad and had turned down offers to teach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Tench identified many other negative changes in her life that have resulted from her injuries and symptoms in addition to dealing with the symptoms themselves, including limited contact with friends, very little socializing, spending much less time with family and an inability to engage in almost all of her previous activities and hobbies. She estimated gaining about 30 pounds which bothers her. It also bothers her that it bothers her, not wanting to contribute to "fat shaming". Her personal grooming and the way she dresses, both previously very important to her, have also been greatly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Smith and Ms. Buhler confirmed, if not amplified, much of Ms. Tench's evidence about the impact of her injuries and symptoms and her ongoing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Tench and Ms. Buhler met at the youth group. The two of them became "each other's person" in grade nine and they remained very close friends. They were not only youth group leaders together but also attended the UFV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Buhler described Ms. Tench as exceptional: very smart, very high energy, vivacious, outgoing, very fun, very organized and a person who loved planning. The two of them used to do a lot of activities together such as hiking, walking, shopping, canoeing and while at university, fitness classes, going to the gym and hosting dinner parties. Ms. Tench would also help her with writing assignments. Ms. Buhler indicated Ms. Tench had no emotional or mental health issues before the first accident. In fact, she was the strong one, Ms. Buhler describing herself as in "a puddle" by the end of the university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the first accident, they spent much less time with one another. Ms. Buhler attributed this to Ms. Tench "putting her all" into getting better and an inability to do a lot of their previous activities. Even shopping was a problem because trying on clothes was difficult for her. Ms. Buhler described a significant change in Ms. Tench's demeanour over time as her hope for a full recovery diminished, indicating she became a little bitter, not as lively, and quieter. Ms. Buhler recalled helping Ms. Tench with a move to Coquitlam in 2016. Unable to do much herself, she stood aside and directed Ms. Buhler and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Buhler commented that Ms. Tench's current schedule and her condition leave her with no time or energy for anything other than work. Ms. Buhler also confirmed Ms. Tench's evidence about changes in her appearance. Ms. Buhler has noticed Ms. Tench no longer makes an effort regarding her appearance, with dark circles under her eyes and weight gain. There to watch the development of her relationship to Mr. Smith, Ms. Buhler described things as being strained between them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Smith said much the same during his evidence. He testified with palpable sadness about essentially having lost the young woman he fell in love with. An excellent student who loved learning, he saw the world as her oyster, and was attracted to her charisma, enthusiasm, energy and what he characterized as her selflessness. Being very social and family oriented, they both spent lots of time with family and friends, often attending multiple events in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recalled Ms. Tench arriving at his parents' home soon after the first accident very quiet and reserved, not her usual life-of-the-party self. Throughout the evening she was grimacing in pain and holding her back. By the next day, he said it was obvious she had "pretty severe" injuries to her neck, back and shoulders. After that the two of them stayed in a lot. Ms. Tench was very distracted by pain and discomfort. Being in a car made her anxious and she would try to take the shortest route. But Ms. Tench was also very determined to stay on top of her treatment and exercises, expecting her condition to be short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After she returned to work in the fall of 2015, getting better remained her priority. Mr. Smith noticed that over time she learned to manage her symptoms better, what her limits were, and to avoid certain activities. He described the time during her Master's program as a big strain on their relationship. Ms. Tench was so busy with school and working that her only free time was spent on treatment. Describing her as often in a lot of pain, she could not drive to see him in Abbotsford. When he visited her he helped with laundry and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two of them did not live together until after the wedding. Although they wanted to share the housework as equally as possible, her injuries prevented that. Before the second accident, he did most of the heavier tasks but they shared the laundry, cooking, and making the bed. She was able to mop the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the day of the second accident, Mr. Smith recalled finding Ms. Tench in a lot of pain, lying down, very frustrated and disappointed. Since then she has displayed a lot of anxiety in the car. She is more pessimistic and much harder on herself, and even less able to carry things. Already receiving IMS, chiropractic treatment and massage, he said she booked more appointments after the second accident. Asked about her IMS treatment, he said the appointments "take her out", and have left her with bruises on her arms, back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confirmed that Botox treatments seem to alleviate some of her symptoms. She does not drop things as often and seems a bit more confident about carrying things. Much as she stated, he said the improvement lasts for a couple of months. But even during that time she still is not very capable physically. Once her symptoms return she is back to dropping things, grabbing her arms because they feel numb, and her mood deteriorates.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Regarding household tasks, Mr. Smith said he has essentially taken on everything since the second accident because Ms. Tench has been in so much pain and discomfort, confirming her evidence about what and why she finds various tasks difficult. He also indicated she has incredibly high standards and has been very hard on him about his less-than-perfect cleaning, demeaning and belittling him at times. He described her behaviour as wearing on his patience and self-confidence. He estimated that he spends two hours cleaning and four on laundry each week. Describing himself as still learning to cook he said he spends an additional 10 to 15 hours preparing their meals. He also makes the bed, puts clothes away and does general tidying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Smith identified other ways in which Ms. Tench's condition has affected their lives and forced them to have a very different relationship. Physically things are very different between them. Even cuddling on the couch, putting his arm around her, or holding her hand causes pain or discomfort. He identified her mood as drastically impacted. He said they fight a lot more and he feels as though he is tiptoeing through a minefield sometimes. They almost never do recreational activities together. In contrast to her evidence, he indicated she no longer walks with any regularity and did not view her as comfortably able to manage a two-hour walk, indicating she has very little energy and is mostly on the couch. Also describing her as very easily overwhelmed, he organizes their calendar. They see only a few friends regularly. They also spend much less time with family members despite the importance of family to both of them. Mr. Smith specified Ms. Tench is simply not able to host a gathering.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 major concern for the two of them is how Ms. Tench would manage caring for children. Ms. Tench said she always imagined becoming a parent. It was never a question but now she is terrified at the thought. She is not able to hold her infant nieces unless she is sitting down. She fears dropping them if her hands go numb. She wonders how she could bathe a baby, carry a car seat or push a stroller. Referring to what he described as her severe and constant neck pain, Mr. Smith said he is afraid she would not be able to safely care for an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Regarding the future, both Ms. Tench and Mr. Smith testified about their desire to own a home. Mr. Smith has spoken with his father about helping them with a down payment. They also discussed renting his grandmother's townhome once she goes into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Smith has an undergraduate degree in English with an extended minor in theatre. Although he intended to pursue a career in theatre and worked in community theatre, he has held a variety of other less than full-time jobs before and after graduating in 2018. He turned down some acting projects after the second accident because he needed to be home more and available to Ms. Tench. In addition to housework, he sometimes drives her to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January 2019, he started working full-time for a valuation company doing asset appraisals with a view to Ms. Tench scaling back her hours and returning to school. His salary is not high and his plan was to try to obtain a position with the Canada Revenue Agency through its job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After completing the teacher program, Ms. Tench's goal is to teach at a high school in Langley. She expressed concern about her ability to work full-time. She intends to return to massage and chiropractic treatment, and carry on with physiotherapy. She testified that chiropractic treatment had helped her back pain although she still has it some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testimony of Mr. Milette and Ms. Buhler, both teachers in the public school system, indicated the demands of teaching full-time in the public school system are much greater and the opportunities for regular breaks less than those involved in ESL teaching identified by Ms. Tench. Mr. Milette taught for 37 years at the same secondary school in Langley before retiring and now works as an on-call teacher in elementary and high schools throughout the Langley School District. He testified in some detail to the typical timetable for a high school teacher at his Langley high school where students attend eight blocks every two days. The average class is 70 to 80 minutes long. There is a five to seven minute break between classes and then a short lunch break. A teacher is usually required to teach five separate courses but it could be as many as seven. In his last year before retiring, he was only required to teach three. A typical schedule involves teaching seven of the eight blocks. The eighth block is for preparation, although some teachers working less than full-time under term contracts do not receive any preparation time. Teachers with a continuing position may or may not have their own classroom. Based on a maximum of 30 students per class, approximately 210 students are taught in two days. There are also meetings to attend during the work day. Mr. Milette testified in some detail about his daily schedule, which involved arriving at 7:00 a.m. and staying until 5:00 p.m. Acknowledging not all of his colleagues kept those same hours, he identified the tasks involved in preparing for courses and marking assignments, projects, quizzes and tests, and preparing report cards. He estimated spending 25 to 30 hours on formal report cards three times during the school year and an additional 15 to 20 hours twice on interim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Milette testified that new teachers typically start as teachers on call. Although they have some input regarding the subjects they teach, he has taught kindergarten to grade 12 classes working as a teacher on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Asked about the availability of technology in the classroom, he described it as sporadic and haphazard. He also said every school is different and there are no guarantees. In all his years as a teacher, he has observed little accommodation for teachers with medical issues, excepting perhaps a continuing teacher with an acute problem, such as broken leg, for example. In addition to teaching, Mr. Milette served as an elected staff representative with the Langley Teacher's Association for many years. In that role, other teachers would approach him about their need for accommodations. Typically he would direct them to an executive member or contact that person on their behalf. Mr. Milette was not familiar the B.C. Teachers' Federation's ("BCTF") health and wellness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also provided evidence about the pay grid for Langley teachers contained in the collective agreement for the current contract ending June 2019. Mr. Milette testified that while each district negotiates its own contract, the BCTF and the Ministry of Education try to ensure teachers' salaries in different districts are similar. He was not challenged on this point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Buhler teaches band to grade six students at a middle school in Abbotsford. She gave similar evidence about the weekly teaching schedule. She indicated she has about two hours of preparation time each week, which is often interrupted; she teaches over 200 students and spent three full days preparing 200 report cards in her first year. Ms. Buhler described the physical demands of teaching as challenging. She is constantly on the go and has few opportunities to sit down. In cross-examination she testified the availability of technology depends on the classroom, and some innovations are being phased out because they tended to break down. Many teachers use laptops. She agreed that teachers can move around the classroom.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Unlike Mr. Milette she was aware of the program available for teachers with difficulties, describing it as hit or miss for colleagues who have tried to access it. Although she acknowledged that the demands of teaching have eased a little bit as she had gained experience over the last four years, according to Ms. Buhler, things are "still 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I have indicated, Ms. Tench relies upon the expert opinion evidence of Drs. Salvian and Caillier, and Ms. Black regarding her functional capacity evaluation. The defendants rely on Dr. Karim's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Salvian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Salvian is a vascular surgeon with a long-standing subspecialty interest and a great deal of experience in the diagnosis and treatment of all types of TOS. He estimated "seeing" more than 2,000 patients with TOS as well as more than 2,000 with whiplash-type injury of the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Salvian prepared three reports dated April 3, 3017, May 30, 2017, and January 6,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his first report, he expressed the opinion that Ms. Tench suffered a whiplash injury in the first accident, that resulted in chronic myofascial pain syndrome affecting the muscles and ligaments of the neck and upper back, particularly the scalene, trapezius and pectoralis minor muscles, as well as secondary post-traumatic TOS affecting the lower nerves of the brachial plexus, worse on the left than the right. He also opined that she may have developed some degree of "double crush" syndrome involving secondary sensitivity of the ulnar nerve at the elbow level, but her main symptoms were related to the post-traumatic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When Dr. Salvian first met with her, Ms. Tench complained to him of pain and tightness on both sides of her neck that radiated into her shoulders, and more specifically constant stiffness and tightness along with intermittent severe pain. She also described numbness and tingling and paresthesia radiating down both arms, into the fourth and fifth fingers of the hands, which were more severe on the left than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During his examination of Ms. Tench, he found multiple areas of tenderness to palpation. Palpation of the left scalenes caused radiation into the shoulder and the back of the arm. Ms. Tench had full power in all the arm muscle groups and normal bulk and tone. Ulnar flexion testing caused numbness and tingling into both hands. Multiple thoracic outlet tests led to increased numbness and tingling, and pain symptoms in certain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first report included an extensive review of clinical records, that included a number of normal X-ray results, a magnetic resonance ("MR") angiogram noting mild compression of the subclavian veins in the "arms up" but not the "arms down" position, "normal" nerve conduction study results, and thoracic outlet testing done in August 2016 by physiatrist Dr. Li. Dr. Salvian remarked on consistent clinical findings of paraspinal muscle spasm, particularly in the trapezius, scalenes and pectoralis minor muscles, and consistent positive objective and subjective findings for TOS. Referring to the MR angiogram, he reiterated that Ms. Tench's numbness, tingling and paresthesias down the arms and into the fourth hands was caused by compression of the lower nerves of the brachial plexus, due to injury and irritation of the scalene muscles, not arterial or venous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Noting that patients who develop TOS generally have a congenital propensity, and assuming Ms. Tench had no prior problems with her arms and neck or symptoms of numbness and tingling, Dr. Salvian concluded the whiplash trauma caused by the first accident damaged her scalene muscles which led to the onset of brachial plexus irritation. He also commented that Ms. Tench's accident and post-accident history was typical for patients who develop TOS following whiplash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Regarding further treatment, Dr. Salvian expressed the view that Ms. Tench was not currently a candidate for surgery. He favoured monitoring how she managed with conservative therapy. He recommended exercises and stretches to help with myofascial pain and positive trigger points, ongoing treatment from a rehabilitation specialist and consideration of tripper point, as well muscle injections of Botox. Noting the research had not shown significant benefit from Botox, he indicated many of his patients had experienced a benefit. Dr. Salvian identified good ergonomics as the most important component of managing Ms. Tench's post-traumatic TOS. In his opinion she needed assistance at work with heavy lifting or tasks involving overhead use of the arms, should avoid prolonged sitting and standing and typing for longer than 30 to 40 minutes, and required frequent breaks to get up, move around and stretch. His other recommendations are addressed below under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Regarding Ms. Tench's prognosis, Dr. Salvian commented his experience has been patients with well-established TOS are never cured. However, with conservative therapy, i.e. avoiding heavy lifting or repetitive use of the arms, particularly in an elevated position, a reasonable quality of life is possible. At the same time, he viewed Ms. Tench as at risk of exacerbating her myofascial pain and thoracic outlet symptoms from further neck muscle spasms, caused by further trauma or even simple events such as sleeping in the wrong position, prolonged typing, driving or heavy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his second report, Dr. Salvian wrote that his opinions were not changed by a review of the clinician records of Dr. Li which included normal results from nerve conduction studies. Based on those studies, Dr. Li had reported there was no evidence of neurogenic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Salvian clarified there are two separate types of neurogenic compression within TOS. "True" neurogenic TOS results from "relentless" compression of the lower nerves of the brachial plexus causing permanent injury to the nerves and positive indications for severe nerve damage with nerve conductions studies. The second type, which Dr. Salvian views Ms. Tench as suffering from, is post-traumatic or myogenic TOS involving intermittent compression such as when the scalene muscles are tense, or the arms are elevated. It does not result in permanent damage to the nerves. Consequently the results of Dr. Li's studies are negative and there is no wasting of the hand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Salvian's third report includes an updated opinion about Ms. Tench's ongoing symptoms following the second accident. Although the report is dated January 6, 2019, he examined Ms. Tench on June 27, 2018. That day she reported infrequent headaches that seemed related to neck stiffness; bilateral neck pain that seemed to be deep in the muscles, which radiated into the shoulders and shoulder blade region, and was worsened by any movement of the neck or use of the arms; and intermittent bilateral symptoms of numbness, tingling and pain in both arms going into the hands. Although the distribution of numbness and tingling did not change after the second accident, the symptoms came on faster and more intensely than before. Consistent with her evidence, Ms. Tench also described her sleep as poor, six or seven hours per night with frequent waking due to arm numbness and neck pain, significant restrictions in her ability to do house work and uncertainty about whether she could continue to teach ESL for 30 to 35 hours per week, despite significant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During his examination, Dr. Salvian noted marked tenderness with some fullness and tension in the right trapezius muscles and tenderness with significant fullness on the right, consistent with spasm in those muscles; very tender scalene muscles on the right radiating into the neck and anterior chest; tenderness in the right pectoralis minor and some radiation into the axilla, consistent with positive trigger points; and tenderness on the left too which she described as being like a spasm. Again, her arm examination showed normal bulk, tone and full power, and normal grip strength but diminished sensation to pin prick, fine touch and cold in both forearms and the fourth and fifth fingers. The elbow examination showed some tenderness on both sides, and the ulnar flexion test was positive as was much of the thoracic outlet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Salvian expressed the opinion that Ms. Tench's neck, upper back and shoulder pain is due to chronic myofascial pain syndrome involving the same soft tissues and particular muscles as before with positive trigger points in these muscles, as well as ongoing chronic muscle spasm. Ongoing headaches were related to tension and spasm in the muscles that insert at the base of the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also opined that Ms. Tench had developed a degree of chronic pain syndrome, explaining the chronic stimulation of muscle fibres due to ongoing muscle spasm had resulted in a decreased threshold to the pain stimuli. He clarified that most of her neck and shoulder symptoms were due to muscle and ligament injury. Describing her post-traumatic TOS as severely symptomatic, he specified her TOS symptoms of bilateral numbness, tingling and pain in both arms and hands and the fourth and fifth fingers were significantly exacerbated by the second accident but had been a chronic condition before then. In his opinion, the exacerbation was caused by the acute and chronic exacerbation of the underlying post-traumatic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Salvian continued to recommend Ms. Tench be referred to a rehabilitation specialist with expertise in managing chronic myofascial pain syndrome, particularly with respect to injection therapy, identifying Dr. Caillier specifically. In addition to outlining Ms. Tench's need for assistance at home, exercise, therapies, and medications, he also addressed her limitations as an ESL teacher, identifying an inability to use the blackboard, difficulty with sitting and standing, prolonged typing and writing, and her need for an understanding employer. It was his opinion she will need to take frequent breaks every 40 to 50 minutes to stretch and change position and avoid prolonged static positions; she will not be able to do any overhead activities with the arms; she should avoid repetitive activities; and she will need an ergonomic workstation.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Salvian continued to advise conservative management instead of surgery, although he also said Ms. Tench might be a surgical candidate in the future. He clarified that even successful surgery would not result in a return to normal function. He also expressed the view that she will require assistance at home with heavy seasonal housework, wall washing, window washing, painting, shovelling or raking, a good bed and pillow, and may need sleep aids. Emphasizing the need for her to be fit and well conditioned, he recommended a gym or pool pass and adequate sessions with a personal trainer or kinesiologist to develop an exercise program, which allows her to optimize her BMI and fitness. He also wrote she would continue to require some physiotherapy and occasional massage when she has increased muscle spasm, and may benefit from anti-inflammatories and muscle relaxants when she has increased spasm, and vocationally she will need an ergonomic workstation.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Regarding the prognosis for her myofascial pain syndrome, Dr. Salvian predicted Ms. Tench would continue to have ongoing chronic myofascial pain syndrome with positive trigger points. Her symptoms are likely to wax and wane with activity and stress on the neck, but it is unlikely her neck would ever be pain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Regarding the prognosis for TOS, he remarked that after the first accident her symptoms improved but were still present, and were well established when the second occurred. Noting the relatively short time frame since the second accident, he nonetheless expressed the opinion Ms. Tench will continue to have ongoing symptoms of TOS that will vary depending on strenuous arm activity, resulting in a lifelong disability with respect to heavy lifting, overhead use of her arms and repetitive activities. Dr. Salvian also commented that in his experience patients like Ms. Tench are only able to work part-time, taking frequent breaks each day and often longer mid-week breaks to recover and have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remained his opinion she was at risk of exacerbating her TOS through further scalene muscle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None of his opinions were undermined in cross-examination. Confronted with magnetic resonance imaging ("MRI") done March 1, 2019, which showed Ms. Tench's brachial plexus was unremarkable, Dr. Salvian testified the result changed nothing in his view. He explained that although scar tissue, compression, edema or inflammation might be found in a patient with her diagnosis of chronic TOS, he would not expect any abnormality.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Caillier is Ms. Tench's treating physical medicine and rehabilitation specialist. In addition to subspecialty qualifications in electrodiagnostic medicine, like Dr. Salvian, Dr. Caillier has a great deal of experience in diagnosing and treating patients with TOS. Botox injections are a form of treatment she has been providing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Her report dated January 8, 2019, discusses the diagnoses and prognoses for Ms. Tench's accident-related injuries and "issues", as well as recommendations for further treatment and care, all of which are consistent with those of Dr. Salvian. Dr. Caillier also provides opinions regarding the effect of Ms. Tench's current condition on her physical abilities and limitations. Most of her recommendations related to the cost of future care are discussed under that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relation to the first accident, Dr. Caillier diagnosed Ms. Tench with soft tissue injuries involving the neck, upper back, lower back and shoulder girdle resulting in chronic soft tissue pain; and chronic bilateral TOS resulting in sensory symptoms, as well as fatigue involving the arms and secondary pain radiating into the arms. Dr. Caillier specified Ms. Tench's chronic neck pain is likely secondary to the TOS but also states the TOS likely arose due to spasm and tenderness in the scalene muscles, caused by the soft tissue injury to the neck. In addition, Dr. Caillier diagnosed Ms. Tench with post-traumatic headaches that are likely cervicogenic, emotional and psychological symptoms requiring medication for anxiety and depression, and sleep disruption secondary to her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her opinion, Ms. Tench has a decreased ability to participate in activities at home, work and recreationally that involve repetitive reaching and sustained posturing at or above shoulder level, heavier lifting and carrying, heavier pushing and pulling, and awkward positioning caused by the chronic pain involving the neck, upper back, and shoulder girdle as well as the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Regarding the second accident, Dr. Caillier diagnosed Ms. Tench with aggravations of the chronic pain and TOS, resulting in increased difficulties at home, work and recreationally. Dr. Caillier noted that by August 29, 2018 Ms. Tench had not returned to what she was like before the second accident, but there had been some improvements. Consistent with the complaints set out in Dr. Salvian's third report, at that time Ms. Tench reported constant pain involving her neck, upper back and shoulders, similar on both sides, intermittent numbness and tingling involving both upper arms radiating down toward the hands, mainly the three outer fingers, triggered by repetitive activities, particularly those above the shoulder level, or overhead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With respect to prognosis, Dr. Caillier described the likelihood of Ms. Tench becoming pain-free as poor, based on the "chronicity" of her symptoms before the second accident, and the lack of significant improvement despite an ongoing exercise program, physiotherapy, massage and chiropractic treatment. Dr. Caillier also opined that absent the second accident, Ms. Tench likely would have continued to experience ongoing pain, made worse when she engaged in sustained posturing, and "heavier-based" or repetitive arm motion activities. Predicting Ms. Tench's current pain complaints could improve to the point reached before the second accident if she benefits from the recommendations made, Dr. Caillier also expressed the opinion that Ms. Tench will be left with ongoing pain that will likely fluctuate in intensity on a daily basis depending on her activities at work, home and recreationally, specifying heavier-based or repetitive activities involving the shoulder girdle region, or activities that involve the arms, sustained posturing of the head, neck, upper back and shoulder girdle will likely aggravate her pain. Further, according to Dr. Caillier, Ms. Tench is at increased "susceptibility and vulnerability to worsening of pain" if she were to sustain further trauma to the same areas, which in turn would worsen her ability to function at work, home and recreationally.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Caillier provided a very similar prognosis regarding Ms. Tench's chronic bilateral TOS. Her symptoms are likely to continue, but improve to where they were before the second accident if Ms. Tench receives and benefits from recommended treatments, such as ongoing Botox injections. Even with the ongoing use of Botox, Ms. Tench is likely to continue experiencing restrictions and limitations related to her TOS. Absent a return to her condition prior to the second accident, Dr. Caillier predicted Ms. Tench will likely experience increased symptoms involving her arms. In other words she is likely to improve to a certain extent with treatment, or get worse. Again, Ms. Tench is likely more vulnerable to further injury and aggravation of her TOS from further injury to the neck region and again worsening symptoms that would further limit her functional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Caillier's report also stated that Ms. Tench faces an increased risk that either the chronic pain or the TOS will worsen to a point where her symptoms become quite debilitating. This is likely to occur when engaged in activities that require repetitive actions that are at or above shoulder level, heavier lifting and carrying, heavier pushing and pulling, or sustained posturing of the shoulders, neck and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Caillier's opinions are based on a range of factual assumptions drawn from the clinical records, Dr. Salvian's first two reports and Ms. Black's functional capacity evaluation and cost of future care report, the history provided by Ms. Tench and her treatment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When Dr. Caillier first met with Ms. Tench on August 29, 2018, Ms. Tench reported working 25 to 30 hours as an ESL teacher with five to seven hours for additional planning. By then she planned to complete the teacher training program. Ms. Tench had not returned to her condition prior to the second accident but there had been some improvements. She reported constant pain involving her neck, upper back and shoulders, that was similar on both sides. She also reported intermittent numbness and tingling involving both arms radiating down towards the hands mainly the three outer digits, triggered by repetitive activities, particularly above the shoulder level or overhead activities, that could wake her at night. Dr. Caillier describes her examination of Ms. Tench that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revealed positive [TOS] testing bilaterally with diminution of pulse on Adson's, Allen's as well as upper limb tension as well as reproduction of symptoms. Roo's testing revealed pallor involving the right greater than left hand. There was tenderness to palpation involving the neck, back, lower back as well as posterior shoulder girdle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Tench's electrodiagnostic studies also done August 29, 2018, were normal. At that time, Dr. Caillier recommended kinesiology and a trial of Botox. On October 1, 2018, Botox was injected into the anterior and middle parts of the right and left scalene muscles. Dr. Caillier wrote that when Ms. Tench contacted her office on December 12, 2018 she reported a flare in her symptoms for three or four days after the injections and then for about eight weeks she felt 60%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During her testimony, Dr. Caillier identified three types of TOS that present completely differently. She specified Ms. Tench suffers from neurogenic TOS which involves the scalene muscles irritating the nerves of the brachial plexus when they become tight and spasm. Similar to Dr. Salvian, she expressed that it is rare to see abnormalities on electrodiagnostic studies, indicating they are sometimes present in extreme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During her testimony, Dr. Caillier clarified that Botox injections are a management tool for TOS, not a cure. Botox is injected into the scalene muscles to weaken and reduce spasm, thereby lessening the irritation of the nerves. Dr. Caillier indicated they are among the highest risk injections she performs. So far Ms. Tench has experienced about eight weeks of benefit. Typical patients are helped for longer. Dr. Caillier indicated she may also inject Ms. Tench's pectoralis muscles because they too are very tight, but she would not inject them and the scalenes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her report, Dr. Caillier opined that Ms. Tench is limited and restricted in activities that require repetitive overhead reaching, sustained posturing at or above shoulder level, heavier pushing and pulling, heavier lifting and carrying, and weight bearing through the shoulder girdle regions. Regarding work, Dr. Caillier viewed Ms. Tench as capable of working as a teacher as she was at that time (25 to 30 hours per week), and completing the teaching program. But, she recommended an ongoing ergonomic set up of her workstation and the ability to take breaks and be flexible about how she teaches to ensure there is no undue stress on the muscles of her neck, back and shoulders and to help with the management of her chronic pain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Asked in cross-examination if she had treated other teachers, Dr. Caillier said she had and they usually worked less than full-time, between 50% and 80%. In her experience, the availability of breaks and other accommodations depended on the school and the subjects they taught as well as having a permanent classroom. She agreed that technological accommodations such as an electronic blackboard with an automatic erasure would be beneficial, and identified the need for an occupational health nurse within the school system to be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Confronted with some of the same clinical entries put to Ms. Tench in cross-examination, Dr. Caillier made it clear they did not change her opinion. She would expect chronic pain and TOS symptoms to fluctuate. She also emphasized Ms. Tench will not be pain free even with more Botox, proper ergonomics and compliance with other recommendations, although her symptoms may be better managed.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Black's functional/work capacity evaluation and cost of future care report was prepared before the second accident. Dated November 20, 2017, the evaluation involved all-day testing on October 11, 2017, an at-home assessment on October 25, 2017, and a review of Dr. Salvian's first and second reports, as well as many of the clinical records. Ms. Black concluded the testing results, which also included a number of work simulation and home-based testing results, accurately represented Ms. Tench's capacity because she provided a high degree of physical effort and accurate estimates of her capabilities and disabilities. In cross-examination Ms. Black described Ms. Tench as "highly reliable", accurate and very detailed-oriented.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At the time of the evaluation, Ms. Tench was still working as a TA and had three different part-time ESL positions. Ms. Black summarised her work demands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Tench is currently working in a number of different teaching positions and as such, is required to perform both one to one tutoring as well as classroom teaching. She is also required to complete marking and lesson preparation work outside of her direct teaching time. Ms. Tench reports that in her current positions, she has the flexibility to adapt her teaching approach and incorporate postural breaks as needed. For example, Ms. Tench limits her exposure to sustained/repetitive reaching at shoulder level and above by reducing the amount of time that she writes on white boards/blackboards and incorporating alternate teaching methods. She also reported that she employs alternate marking methods and assigns limited amounts of written homework in order to decrease her marking/correcting responsibilities and therefore reduce exposure to neck flexion demands. When marking assignments, Ms. Tench states that she uses pacing techniques however this approach constrains her efficiency and as a result, such tasks take extra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Regarding her capacity for the work she was doing at the time, Ms. Black expressed the opinion that "as long as the current conditions remain in place", Ms. Tench will be able to manage her teaching positions. However, in light of her "symptom reactivity" to sustained neck flexion with concurrent desktop reaching and her difficulty tolerating neck flexion postures and prolonged task intensive sitting during testing, as well as her report that she needs extra time for marking due to her symptom response (which is consistent with her evidence), Ms. Black was of the view Ms. Tench will likely require "continued opportunity" to employ pacing techniques, modify her teaching approaches, structure her day to minimize her exposure to prolonged "task intensive" sitting and neck flexion, and extra time for marking. Ms. Black noted that while some teaching settings will allow her to incorporate these adaptations, they may not be as feasible in others, limiting her productivity to some degree. Ms. Black predicted, without the flexibility to incorporate them, Ms. Tench's neck, upper trapezius and upper extremity reactivity will likely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Regarding her general vocational capacity, Ms. Black's report notes that Ms. Tench demonstrated difficulty tolerating repetitive and resistant reaching, strength demands, prolonged task-intensive sitting, and non-neutral neck postures. Ms. Black opined that Ms. Tench was not well-suited to work with rigorous demands for repetitive reaching with concurrent neck flexion and would be most durable in positions that included periods of task-intensive sitting with concurrent inner-range reaching and dexterity functions limited to no more than 20 to 30 minutes, and the flexibility to alternate between sitting and standing throughout the day. Ms. Black further specified: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Requirements for a primary neck flexion posture should not exceed overall periods of approximately 20-30 minutes at a time while neck extension postures should be limited to no more than approximately 5-10 seconds at a time on an intermittent basis. I recommend that reaching at or above shoulder level be limited to a few minutes at a time intermittently throughout the day the day and not tied to productivity demands. I further recommend that resisted reaching be limited to periods of a few minutes at a time on an intermittent basis and should not be subject to productivity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Overall, Ms. Black was of the view that with these requirements and guidelines in place, Ms. Tench was capable of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When giving evidence, however, Ms. Black commented that during testing, Ms. Tench needed breaks to manage her symptoms and she could not complete certain tasks, some of which were required in her current work. In cross-examination, Ms. Black said she was aware from assessing other teachers, that the demands of classroom teaching can be more rigorous and not as flexible as the small group teaching Ms. Tench had been doing, due to for example, deadlines, curriculum expectations, exam marking and report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Regarding housekeeping, Ms. Black's findings based on functional testing, including home-based tests, are consistent with Ms. Tench's report to her that she has difficulty managing some of the more physically demanding cleaning tasks. Similar to her opinion about vocational limitations, Ms. Black's view is Ms. Tench will have difficulty with cleaning tasks that require non-neutral neck postures, strength demands, repetitive reaching and the application of force, but through the use of pacing, postural modification and symptom management breaks, she will be able to manage some regular or light housecleaning tasks for short durations constrained by her symptoms. Ms. Black also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believe that she is likely to be limited in her ability to effectively perform some deeper/heavier cleaning tasks at a productive pace, especially in the event she moves to a larger home. Specifically I would anticipate that neck and upper trapezius/spinal region symptom reactivity would constrain her tolerance for cleaning functions requiring repetitive reaching and application of force. Furthermore many seasonal cleaning functions will require increased strength and postural tolerances for lengthier periods in relation to those required with weekly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Similarly, Ms. Black also opined that if Ms. Tench has children in the future, she will likely experience some degree of symptom reactivity to task intensive postures and lifting and carrying demands associated with caring for children, indicating Ms. Tench will likely have to use modified postures and task approaches.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Karim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Karim, a cardiothoracic surgeon, prepared a report dated January 18, 2019 at the request of the defendants. His report, CV and his evidence show that his experience in diagnosing and treating TOS is limited when compared to Drs. Salvian and Caillier. He last performed TOS surgery more than 10 years ago and although he assesses and treats patients with TOS, they constitute less than 10% of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Karim disagreed with the diagnosis of TOS as the cause of Ms. Tench's ongoing symptoms of numbness and tingling, based on a review of the clinical records and the first and second reports of Dr. Salvian. Regarding neurological TOS, Dr. Karim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MR angiogram does not demonstrate any abnormal bands or compression of any structures in this area. Specifically, it does not comment on any abnormality of the brachial plexus with no compression, edema or inflammation in that area. One would expect some abnormality considering the length of duration of the symptoms. She has not had a formal MRI of the thoracic outlet, which would be beneficial to document any further abnormalities.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her neurological exam has been documented as normal, with no abnormalities in any of the small muscles of the hand which are innervated by the same nerves. She has had some thoracic outlet testing done, which is positive, however, thoracic outlet manoeuvers have a very poor sensitivity, especially with regards to the diagnosis. The diagnosis of [TOS] suggests an anatomic abnormality which has not been documented or demonstrated in any of the investigations provided. It appears that the cause of her ongoing symptoms may be multifactorial.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He went on to state that chronic pain symptoms are often multifactorial, referring to a number of complex psychobiological factors and "other stressors" responsible for the persistence and progression of chronic symptoms. Dr. Karim did not dispute however the nature, severity or chronicity of Ms. Tench's symptoms, the diagnosis of chronic myofascial pain syndrome or the prognoses of Drs. Caillier and Salvian. Nor did he provide an alternative diagnosis for the chronic symptoms underlying their diagnoses of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During his testimony, in contrast to Dr. Salvian, Dr. Karim expressed the view Ms. Tench's MRI result was significant. During cross-examination he disagreed that intermittent pressure of the nerves does not normally lead to abnormality, stating that when it occurs over a prolonged period one would expect to see some pathological signs or changes in the distribution of the nerves innervating the muscles of the arm and hand, and some changes in the musculature such as loss of muscle bulk, spasms, and decreased strength and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this case, the conflict in the expert evidence regarding the diagnosis of TOS is easily resolved based on the much superior expertise and experience of Drs. Salvian and Caillier in diagnosing and treating TOS. Further, the strength of Dr. Karim's opinion is significantly undermined by the fact that he did not examine Ms. Tench. There is no suggestion here that her TOS symptoms are susceptible to proper assessment by objective measures alone. Drs. Salvian and Caillier's evidence made clear that their examinations and clinical testing of Ms. Tench played an important role in their diagnoses of her TOS. In any event, Dr. Karim's opinion ultimately is of little to no assistance to the court, because it offers no explanation, prediction or recommendations with respect to any of Ms. Tench's ongoing and significant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Therefore, I accept the entirely consistent expert opinions of Drs. Salvian and Caillier, along with their examination findings. I also largely accept the opinions and findings of Ms. Black regarding Ms. Tench's functional capacity prior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Having found Ms. Tench and the lay witnesses credible and their evidence regarding the nature, trajectory and impact of her pain and TOS symptoms on her functioning and quality of life being remarkably consistent and her evidence also being consistent with what she reported to the medical experts, I also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Without limiting the factual findings that flow from this acceptance, my findings include: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accident caused injuries to the soft tissues of Ms. Tench's neck, shoulder girdle and back as described by Dr. Caillier, resulting in acute and significant pain in those areas, as well as neurologic TOS, likely the result of ongoing spasm and tightness in the scalene muscles. Her condition involves significant sensory symptoms including numbness and tingling and some pain in her arms and hands. Her pain and TOS symptoms improved somewhat but were chronic by the time of the second 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accident also caused the emotional and psychological symptoms Ms. Tench has experienced since then. In other words, I reject the defendants' assertion her psychological complaints are not causally linked to the accident and are perhaps attributable to other potential causes, namely a genetic predisposition. I note that in cross-examination Ms. Tench was asked to confirm that two particular family members suffer from anxiety or depression, which she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Regarding factual causation, Ms. Tench is required to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the sole or predominant cause, but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cause of her injuries and loss, applying the "but-for" test: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It is well-established and must be remembered that cause in fact is determined in a "robust common sense fashion". Scientific proof is not required. Inferences drawn from proven facts may suffice: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9; and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the but-for test, the opinion evidence of Dr. Caillier and the fact evidence of Mr. Smith, Ms. Buhler and Ms. Tench amply establish that the emotional and psychological symptoms she has experienced after the first and second accidents were caused by them. The causal mechanisms likely included the impact of the accidents themselves, her ongoing pain and sensory symptoms and their consequences for her, including poor sleep.</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Tench's physical symptoms interfered with her ability to work at Rona, prevented her from continuing to work at Starbucks, and significantly affected how she carried out her ESL teaching and TA responsibilities. Her symptoms also undermined her participation in graduate school. Whether or not the grades she obtained were significantly lower than they would have been absent her injuries, it is clear her pain and TOS symptoms prevented her from focusing, concentrating, reading and typing for sustained periods, undermining her ability to keep up with preparation and course work.</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most part, I accept Ms. Black's opinion about Ms. Tench's functional vocational and non-vocational capacity shortly before the second accident. Based the fact evidence, I find Ms. Tench could not have worked more than she was at that time or by the time of the trial. It is clear that working as much as she did left her with little energy for anything else including her marriage and her relationships with family and friends. In other words, she was essentially exhausting herself.</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Accepting Ms. Tench's TOS symptoms were somewhat, but not significantly better before the second accident, I also accept that she had learned to better manage all of her symptoms and was experiencing less emotional distress and preoccupation with her physical condition by then.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clinical findings of Dr. Salvian and Dr. Caillier, and the evidence of Ms. Tench and Mr. Smith regarding her pain and TOS symptoms since the second accident, I am satisfied it significantly aggravated both conditions and she has not been able to durably perform anything other than light housekeeping, working as much as she has been. Although antidepressant medication has lessened her anxiety and allowed her to feel more calm, she is easily overwhelmed and her outlook is quite pessimistic. Her psychological and emotional symptoms include not just low mood but also reactivity.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aggravation of her chronic pain condition and chronic TOS caused by the second accident, and accepting Ms. Tench was struggling to manage the demands of working part-time at three ESL positions while completing three prerequisite courses at the time of the trial, I find that her functional capacity deteriorated after the second accident.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Botox injections provide temporary relief from some of her neck and TOS symptoms but limited improvement in function. Although she is better able to carry light objects without the same fear of dropping them, she must still avoid aggravating her condition by engaging in the problematic activities and postures identified by Dr. Salvian, Dr. Caillier and Ms. Black.</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Tench's prognosis is poor. Her chronic myofascial pain syndrome and chronic TOS are likely permanent. Accepting it is probable she will improve to where she was before the second accident, this outcome would still leave her with significant ongoing pain in her neck and shoulders, that will fluctuate in intensity based on her activities, and intermittent but significant symptoms of numbness and tingling in her arms and hands, along with some pain. She also faces an increased risk her conditions will worsen, and is vulnerable in particular to an aggravation of her TOS caused by further injury to her neck or even ongoing scalene spasm as explained by Dr. Salvian. I also accept however that implementing many of the recommendations of Dr. Salvian, Dr. Caillier and Ms. Black, and working less than full-time will allow Ms. Tench to better manage 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caused by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amount of the award is not determined by the nature or seriousness of the plaintiff's injuries alone. Additional factors including the plaintiff's age; the severity and duration of the pain; disability; emotional suffering; impairment of family, marital and social relationships; impairment of physical and mental abilities; and loss of lifestyle must also be considered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An appreciation of the plaintiff's loss is the key: see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The law requires the compensation to be fair and reasonable to both parties. Fairness is measured against awards made in comparable cases although they provide only rough guidance, given that each case is fact-driven and to some extent unique: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Tench seeks an award in the range of $110,000 to $175,000, arguing her injuries and symptoms, namely chronic TOS, chronic pain, sleep disturbance, exhaustion, anxiety, and depression, have had profound and likely permanent effects on all aspects of her life, also emphasizing her young age, as well as the exceptional opportunities available to her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defendants take the position $65,000 to $75,000 is reasonable, submitting the injuries Ms. Tench has sustained have caused her pain and discomfort but they have not "held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support of her position Ms. Tench relies upon </w:t>
      </w:r>
      <w:r>
        <w:rPr>
          <w:rFonts w:ascii="arial" w:eastAsia="arial" w:hAnsi="arial" w:cs="arial"/>
          <w:i/>
          <w:color w:val="000000"/>
          <w:sz w:val="20"/>
          <w:lang w:val="en-US" w:eastAsia="en-US" w:bidi="ar-SA"/>
        </w:rPr>
        <w:t>Sharma v. MacDonald</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2017 BCSC 2121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Downey v. O'Connor</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2017 BCSC 1459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MacLeod v. Whittemore</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2018 BCSC 1082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Sharma</w:t>
      </w:r>
      <w:r>
        <w:rPr>
          <w:rFonts w:ascii="arial" w:eastAsia="arial" w:hAnsi="arial" w:cs="arial"/>
          <w:color w:val="000000"/>
          <w:sz w:val="20"/>
          <w:lang w:val="en-US" w:eastAsia="en-US" w:bidi="ar-SA"/>
        </w:rPr>
        <w:t>, the plaintiff was 23 when she was injured. Her injuries resulted in numbness and tingling in one arm, as well as pain in her neck and back. By the time of the trial she had returned to a number of her activities and was able to work. Finding she was suffering from TOS, but all of her symptoms were steadily improving, the court awarded her $100,000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Downey</w:t>
      </w:r>
      <w:r>
        <w:rPr>
          <w:rFonts w:ascii="arial" w:eastAsia="arial" w:hAnsi="arial" w:cs="arial"/>
          <w:color w:val="000000"/>
          <w:sz w:val="20"/>
          <w:lang w:val="en-US" w:eastAsia="en-US" w:bidi="ar-SA"/>
        </w:rPr>
        <w:t>, the plaintiff, only 18 when she was injured in the second of two motor vehicle accidents, suffered pain in her knee, neck, left shoulder, left arm to elbow, numbness and tingling in her fingers and left hand, and discomfort in her jaw and headaches, affecting her mood. Her lifestyle, career and personal opportunities had all been drastically impacted. She had an abortion because she was concerned about her ability to care for a baby largely because of her pain. Non-pecuniary damages of $110,000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MacLeod</w:t>
      </w:r>
      <w:r>
        <w:rPr>
          <w:rFonts w:ascii="arial" w:eastAsia="arial" w:hAnsi="arial" w:cs="arial"/>
          <w:color w:val="000000"/>
          <w:sz w:val="20"/>
          <w:lang w:val="en-US" w:eastAsia="en-US" w:bidi="ar-SA"/>
        </w:rPr>
        <w:t>, the plaintiff was 24 and working as a dental assistant at the time of the accident, which caused injuries to her neck, mid back and left shoulder. She developed intermittent TOS symptoms and chronic myofascial pain syndrome with trigger points in the scalene muscles and experienced numbness in both hands and suffered from anxiety, sleeplessness, sadness and irritability. The court found a 30% possibility her symptoms would improve. Her recreational life was almost non-existent, and her marriage and social life had been affected. The award for non-pecuniary damages was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the plaintiff had surgery for TOS which relieved 80% of the symptoms, leaving him with neck and mid back pain, between the shoulder blades, neck and back stiffness and constant headaches. Significantly, he was no longer able to enjoy life of his ranch were he lived and worked. He was awarded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defendants rely upon: </w:t>
      </w:r>
      <w:r>
        <w:rPr>
          <w:rFonts w:ascii="arial" w:eastAsia="arial" w:hAnsi="arial" w:cs="arial"/>
          <w:i/>
          <w:color w:val="000000"/>
          <w:sz w:val="20"/>
          <w:lang w:val="en-US" w:eastAsia="en-US" w:bidi="ar-SA"/>
        </w:rPr>
        <w:t>Kodelja v. Johal</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2017 BCSC 164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Jawanda v. Samra</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2013 BCSC 138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Harry v. Powar</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2018 BCSC 845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Kodelja</w:t>
      </w:r>
      <w:r>
        <w:rPr>
          <w:rFonts w:ascii="arial" w:eastAsia="arial" w:hAnsi="arial" w:cs="arial"/>
          <w:color w:val="000000"/>
          <w:sz w:val="20"/>
          <w:lang w:val="en-US" w:eastAsia="en-US" w:bidi="ar-SA"/>
        </w:rPr>
        <w:t xml:space="preserve">, the 40 year old plaintiff suffered soft tissue injuries and headaches, as well as a temporary worsening of a pre-existing hip/pelvis injury. She was awarded non-pecuniary damages of $80,000. In </w:t>
      </w:r>
      <w:r>
        <w:rPr>
          <w:rFonts w:ascii="arial" w:eastAsia="arial" w:hAnsi="arial" w:cs="arial"/>
          <w:i/>
          <w:color w:val="000000"/>
          <w:sz w:val="20"/>
          <w:lang w:val="en-US" w:eastAsia="en-US" w:bidi="ar-SA"/>
        </w:rPr>
        <w:t>Jawanda</w:t>
      </w:r>
      <w:r>
        <w:rPr>
          <w:rFonts w:ascii="arial" w:eastAsia="arial" w:hAnsi="arial" w:cs="arial"/>
          <w:color w:val="000000"/>
          <w:sz w:val="20"/>
          <w:lang w:val="en-US" w:eastAsia="en-US" w:bidi="ar-SA"/>
        </w:rPr>
        <w:t>, the 35 year old plaintiff suffered mild to moderate chronic pain as well as TOC with intermittent symptoms. The non-pecuniary damage award was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Harry</w:t>
      </w:r>
      <w:r>
        <w:rPr>
          <w:rFonts w:ascii="arial" w:eastAsia="arial" w:hAnsi="arial" w:cs="arial"/>
          <w:color w:val="000000"/>
          <w:sz w:val="20"/>
          <w:lang w:val="en-US" w:eastAsia="en-US" w:bidi="ar-SA"/>
        </w:rPr>
        <w:t>, the plaintiff was in her early 30s when she was injured in two motor vehicle accidents. She suffered from headaches, chronic myofascial pain, cervical and lumbar facet joint syndromes, and was awarded $85,000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MacLeod</w:t>
      </w:r>
      <w:r>
        <w:rPr>
          <w:rFonts w:ascii="arial" w:eastAsia="arial" w:hAnsi="arial" w:cs="arial"/>
          <w:color w:val="000000"/>
          <w:sz w:val="20"/>
          <w:lang w:val="en-US" w:eastAsia="en-US" w:bidi="ar-SA"/>
        </w:rPr>
        <w:t xml:space="preserve"> appears most similar to the facts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Once a thriving, dynamic, energetic young woman with very bright future, Ms. Tench has been left struggling to manage chronic, significant pain and TOS symptoms that have cast a shadow over all aspects of her life. Since the accidents she has worked and studied in significant pain, discomfort and distress. Coping with her physical symptoms and the demands of work and school have left her with little energy for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Accepting her condition played some role in her decision not to pursue a PhD, she lost the chance to fulfill her dream of a richly intellectual work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Her relationship with Mr. Smith has been deeply affected. Even physical affection causes her difficulty. She fears being unable to care for the children they hope to have in the future. No longer able to contribute much at home, Ms. Tench has lost the sense of fulfillment she derived from cooking, baking, decorating and entertaining, and maintaining her own fastidious standards. She is also unable to participate meaningfully in almost all of her other previous hobbies and activities. Close to her family, extremely social and very active in her church before the accidents, Ms. Tench is now quite isolated.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Sadly, her pain and TOS conditions are permanent. Although Botox injections offers serial temporary relief of some of her symptoms, they are not a cure. The prospect of some improvement although probable is less than certain. She could improve to the point she reached prior to the second accident, but she also faces the risk of worsening symptoms. Better management of pain is the most realistic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Based on all of these circumstances, particularly Ms. Tench's young age, I award $120,000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Claims for past loss of earnings and future loss of earning capacity are subject to the same legal principles. Both involve claims for the loss of the value of the work the injured person was unable to perform because of the injury: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39, aff'd </w:t>
      </w:r>
      <w:hyperlink r:id="rId442"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.The plaintiff must demonstrate that the injuries and symptoms caused by the accidents have impaired her capacity to earn income, resulting in a past or future pecuniary loss. While actual past events must be proven on a balance of probabilities, hypothetical events including those in the past, will be considered where there is a real and substantial possibility they would occur. Where proven, a hypothetical event must be given weight according to its relative likelihood and compensation must be awarded based on an estimation of the chance the event would have occurred or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The onus is not a heavy one, but it must be met in order to justify a pecuniary award: see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plaintiff is entitled to compensation based on what she would have, not could have, earned but for the injuries caused by the accidents: see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 xml:space="preserve"> at para. 169. The loss or impairment of her earning capacity is valued using either an earnings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The earnings approach is viewed as more appropriate where the plaintiff has a history of earnings and the loss is more easily measured. The capital asset approach is typically used when she has no clear earnings history, although it is not restricted to this circumstance. Applying the capital asset approach involves considering a number of factors including whether the plaintiff has been rendered less capable overall of earning income from all types of employment, is less marketable or attractive as a potential employee, has lost the ability to take advantage of all job opportunities that might otherwise have been available to her, and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Under either approach, the court is required to quantify the financial harm accruing to the plaintiff from the loss or impairment of her earning capacity, taking into account the relevant and realistic contingencies: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and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183. The assessment is an exercise of judgment, not a mathematical calculation, firmly grounded in the particular facts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defendants acknowledge Ms. Tench suffered past wage loss from the date of the first accident until her return to work at Rona on September 7, 2015. They take the position that beyond this "initial period", there is insufficient evidence to support an award for past loss of earning capacity. Based on my findings however it is clear that Ms. Tench's injuries and symptoms impaired her earning capacity and resulted in past loss of income up to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question is, what is the value of her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Ms. Tench proposes various </w:t>
      </w:r>
      <w:r>
        <w:rPr>
          <w:rFonts w:ascii="arial" w:eastAsia="arial" w:hAnsi="arial" w:cs="arial"/>
          <w:i/>
          <w:color w:val="000000"/>
          <w:sz w:val="20"/>
          <w:lang w:val="en-US" w:eastAsia="en-US" w:bidi="ar-SA"/>
        </w:rPr>
        <w:t>gross</w:t>
      </w:r>
      <w:r>
        <w:rPr>
          <w:rFonts w:ascii="arial" w:eastAsia="arial" w:hAnsi="arial" w:cs="arial"/>
          <w:color w:val="000000"/>
          <w:sz w:val="20"/>
          <w:lang w:val="en-US" w:eastAsia="en-US" w:bidi="ar-SA"/>
        </w:rPr>
        <w:t xml:space="preserve"> amounts for her past loss of earning capacity, for various time frames.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When the first accident occurred, she was working at Rona earning $14.62 per hour. Submitting she would have worked 31.5 hours per week on average from the date of accident until her return to work on September 7, 2015, absent her injuries, she claims a loss of $13,861.96.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defendants do not dispute her earning capacity was impaired during this period, but suggest the amount of the loss is $8,000, based on a work week of one or two days during the university term and 24 to 30 hours from May to September. Although this was her schedule before January 2015, Ms. Tench had only one course to complete by February 2015. I accept she was therefore working more at that point, about 30 hours per week and asking for additional shifts. Her employment records establish she worked an average of 31.5 hours per week when not in school. Accepting she would have continued to work at least 30 hours, I find therefore her gross wage loss from the date of the first accident until September 7, 2015 is $13,283.31.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After returning to Rona on September 8, 2015 and until January 28, 2016 when she quit, Ms. Tench worked a reduced schedule due to her injuries and ongoing symptoms that involved four-hour shifts, 12 to 16 hours per week, and total earnings of $3,481.94. She submits she would have earned $9,541.40 at Rona absent her injuries, but she mitigated this loss with earnings of $2,800 from ESL tutoring, resulting in a gross loss for that period of $3,187.06.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Again, I accept Ms. Tench's injuries and symptoms prevented her from working at least 30 hours per week at Rona during this period. It is clear she was a highly valued employee before the first accident, capable of performing almost any shift. Because her symptoms prevented her from doing regular cashier work, she was only suitable for the lumber yard, where the shifts were limited to four hours. My calculation of the loss however differs slightly from hers. At 30 hours per week over 20 weeks 2 days, and an hourly wage of $14.62, she would have earned $8,897.31. Less what she did earn, her gross loss of earnings during this period were $2,615.37.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also accept that absent the first accident Ms. Tench would have carried on working 30 hours at Rona until September 2016 when she began the Master's program at SFU. Instead, she earned $7,300 teaching ESL. I note she would have earned even less had she remained at Rona working approximately the same reduced hours she did before quitting. I am satisfied she did not have the functional capacity to work at Starbucks instead of Rona and working part-time as an ESL teacher was still a challenge, given her pain and TOS symptoms. I calculate the amount of her gross loss of income during that period at $6,171.29.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Between September 2016 and September 2017, Ms. Tench was completing the Master's program, working part time at three ESL schools and as TA. To the extent she makes a claim for this period, I do not accept she suffered a pecuniary loss, meaning that although I accept her physical symptoms impaired her earning capacity, I do not accept that absent those symptoms she would have worked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After she completed the Master's program and until the second accident on February 16, 2018, Ms. Tench continued working as a TA and an ESL teacher. She earned $19,000 during this period working approximately 20 to 30 hours per week. Had it not been for her ongoing symptoms she says she would have worked full-time and earned $24,000. Her calculation assumes 35 hours of ESL teaching at $25 per hour (an average of her three hourly rates), plus her TA contract earnings for the time, which she did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Accepting she is a much-valued ESL teacher despite her limitations, and the evidence she turned down additional ESL teaching hours due to her symptoms, I accept this portion of her claim and find her gross income loss for this period was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Between the second accident and the trial, Ms. Tench worked approximately 25 to 30 hours per week until in or about January 2019 when she began taking three prerequisite courses. At that point she reduced her hours somewhat, to 20 to 25 hours per week due to scheduling conflicts. She submits that absent her injuries and symptoms she would have worked full-time hours and earned $60,000. Instead she earned $37,000.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While I accept her earning capacity was more impaired after the second accident due to the aggravation of her physical symptoms, I am not persuaded her pecuniary loss amounts to $23,000. I say this because of the evidence that ESL teachers typically work less during the summer months and E&amp;E, one of her three employers, did not operate in the summer. I am also not satisfied Ms. Tench would have worked 40 hours a week while completing three courses. That was not her pattern before the first accident and although since then she has become financially independent and married, I expect she would have worked approximately 30 hours from January to the date of trial. I note also that by January 2019, Mr. Smith was employed full-time and there was no longer the pressing need for her to earn as much income as possible. Accordingly, I assess that absent her injuries Ms. Tench would have earned $51,035.71. Therefore, I find her gross income loss during this period was $14,035.71.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defendants have not challenged her use of the earnings approach. I agree it is appropriate even though Ms. Tench does not yet have an established earnings history, given the degree of certainty regarding her career trajectory.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Tench claims a loss of future earning capacity relies on the earnings approach which the defendants did not challenge, although they dispute her entitlement to an award under this head of damages. I am satisfied the earnings approach is appropriate although Ms. Tench does not yet have an established earnings history, given the degree of certainty regarding her career trajectory.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Broadly speaking her claim rests on the assertion she has suffered a permanent impairment of her capacity to work full-time as a high school teacher. Based on the ongoing effects of her chronic pain and chronic TOS, she estimates her remaining capacity at 80% of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All of the parties assume she will find employment as high school teacher after completing the one year teaching program. She has now been admitted to that program. Her undergraduate and Master's degree in English amply qualify her. The defendants seem to accept if not rely upon the presence of a positive job market for teachers. Nor have they challenged the likelihood of her specific goal, which is to teach in or near Langley to minimize the time she spends commuting.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Milette's evidence indicates it is likely Ms. Tench's first position will be as a teacher on call, but I accept she will progress to teaching at a high school located in reasonable proximity to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Suggesting the earnings approach is appropriate here, Ms. Tench relies on Statistics Canada's 2016 census data tables introduced during final submissions. They show average full-time earnings of $70,075 in 2015 for female secondary school teachers in BC. Ms. Tench calculates the present value of those earnings over a period of 35 years, using the present value tables from Appendix E of The Civil Jury Instruction ("CIVJI"), and the discount rate of 1.5%, at $1,896.835, which does not include inflation rates or loss of pensionable service. Based on 80% employment, she calculates her future loss of earning capacity at $379,367.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Tench argues the data tables are admissible under the public documents exception to the hearsay rule. Alternatively, she suggests the court can take judicial notice of the statistical information the tables contain. Whether they can be properly characterized as admissible hearsay evidence or facts subject to the doctrine of judicial notice, the problem lies with the timing of their introduction. The data tables certainly are not analogous to a legal authority and should have been adduced as part of Ms. Tench's case. Absent any application to re-open, I am not prepared to consider the data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Ms. Tench also relies however on Mr. Milette's evidence and a salary grid prepared by the BCTF, that reflects salaries and increases with years of experience under the six year collective agreement for teachers in the Langley School district ending June 2019, that he identified and explained. Mr. Milette specified that teachers with a Master's degree fall within category six. In 2019, the grid shows that new category six teachers earn a salary of $54,015. By year ten they earn $87,253. As I have said, Mr. Milette testified that while each district negotiates its own contract, the BCTF and the Ministry of Education try to ensure consistency. He was not challenged on this point in cross-examination. I note the Surrey salary grid, also in evidence, shows very similar although not identical salaries. I find his evidence on his point along with the salary grids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Stepping back, the defendants argue Ms. Tench has not demonstrated an impairment of her future earning capacity, based on a view of the evidence I have rejected. They also argue she has failed to establish a real and substantial possibility that a diminished earning capacity will result in a future pecuniary loss. Without denying she has ongoing symptoms and limitations, the defendants submit Ms. Tench has and will continue to "find work-arounds" being a person who is determined and committed to achieving her goals. Emphasizing there is no specific vocational assessment showing she is unable to work as a teacher, the defendants also suggest the opinions of Dr. Caillier and Ms. Black lead to the conclusion that Ms. Tench is capable of full-time teaching with some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disagree. My findings of fact based on the expert evidence of Dr. Salvian, Dr. Caillier and Ms. Black along with the fact evidence establish there is not only a real and substantial possibility but a likelihood Ms. Tench will suffer an ongoing future loss of earnings from teaching arising from her chronic pain condition and chronic TOS. Again, I found Ms. Tench capable of teaching ESL as much as she was at the time of Ms. Black and Dr. Caillier's reports, which was less than full-time. Ms. Black assessed her functional capacity prior to the second accident. I have found the second accident aggravated her chronic pain condition and chronic TOS, causing some deterioration in her functional capacity. It is also my view, as I have said, that Ms. Tench had been essentially exhausting herself working as much as she was up to the time of the trial. Although I have found it probable that Ms. Tench will improve to the point she reached before the second accident and become better able to manage her conditions, I have also found she faces a risk of deteriorating even further. Among other things, this means that she is unlikely to be able to work any more than she was before the second accident, and there is a risk her capacity may have at some point become even more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also do not accept the defendants' additional suggestion that an expert was required regarding "the state of the teaching profession in the Lower Mainland". Expert evidence is not necessary for me to draw inferences about the basic demands of teaching high school. Nor do I accept the companion suggestion that the fact evidence of Mr. Milette and Ms. Buhler regarding their own experience has "virtually no probative value". In my view, Mr. Milette's testimony regarding the demands at his former high school was probative if not highly probative, bearing in mind that although the approach to scheduling (semester versus all year courses) may vary from one school to another, many of the other significant variables likely do not. They include the length of the school day, the number of school days, the size of classrooms, and the curriculum, marking, and report card requirements. Mr. Milette's evidence regarding his recent experience as a teacher on call throughout the Langley School District is similarly helpful here, accepting that almost all new teachers start off in this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Thus far, Ms. Tench has managed to teach ESL less than full-time over seven days. Her schedule and the nature of her teaching responsibilities have allowed her to take frequent short breaks (every hour), to move about the classroom, change her position and use a heating pad as needed. She has also been able to arrange for long rest periods throughout the week and rely upon teaching techniques that minimize the time she spends writing on the white board, for example by using handouts. She is also required to do very little preparation and marking, which she completes during classes. There are no report cards. Even with all of this flexibility and accommodation, Ms. Tench is left with very little energy, significant pain and discomfort and the need to rest and recover at the end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have no trouble finding that teaching high school full-time involves much greater day-to-day work demands and less flexibility both inside and outside the classroom. The outside demands include preparing for and marking assignments, tests and projects for several potentially different classes, each with as many as 30 students, not the four to six she has now, preparing report cards, attending meetings, and communicating with parents, as well as students on a regular if not daily basis. While technological accommodations may be available to reduce the need for writing on a board or erasing, and it may be that high school teachers can change their position from sitting to standing as needed in the classroom, frequent hourly breaks are unlikely to be an option, nor are the regular longer breaks Ms. Tench relies on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Based on the evidence of Mr. Milette and Ms. Buhler, I accept that "down time" during the teaching day incudes a fairly short lunch hour and some, but not a great deal of preparation time during the school week. Without a designated classroom, an ergonomic workstation such as a suitable chair and desk seems unlikely. Accepting that many full-time teachers may not work as long a day as Mr. Milette did throughout his career, at a minimum they need to arrive before the start of school and stay at least briefly after school each day. Marking and report card preparation involve significant but fluctuating amounts of additional time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With respect to an on-call teacher position, and based on the evidence of Mr. Milette, I am satisfied there are fewer demands particularly outside the classroom, absent an extended placement. On the other hand ergonomic accommodations, excepting mobile equipment, strike me as even more unlikely to be in place, given that on call teachers can be offered placements in any classroom at any grade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To be clear, I am satisfied that Ms. Tench does not and will not have the capacity to teach high school full-time and her impaired capacity is likely to result in a future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light of the nature and magnitude of her ongoing physical symptoms caused by what I have accepted are permanent conditions, and weighing the risk she will deteriorate further against the probability she will improve to the state she reached before the second accident, I view a 20% impairment as entirely reasonable. In reaching that conclusion, I have considered that Ms. Tench may be able to work more initially as an on-call teacher because it is generally much less demanding. I have also considered that once in a continuing or permanent position, she may struggle to work 80% for a period of time, inferring a substantial learning curve that would require her to spend more time preparing, marking and completing report cards for the first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Neither party made submissions about positive or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defendants have not disputed Ms. Tench's reliance on the present value tables from the CIVJI. The discount rate of 1.5% for income loss is statutorily prescribed. A more precise calculation relying upon the Langley salary grid would calculate the loss of earnings over 35 years taking into account the increases in salaries over ten years. The current contract has now expired as will any number of subsequent contracts over the next 35 years. It seems likely that a series of minor salary increases will be negotiated during that time. Having found the data table inadmissible, I am satisfied that using an annual salary of $69,597, the average of those set out in the grid, provides a fair and reasonable method for calculating Ms. Tench's future loss of earning capacity. I therefore award damages under this head in the amount $376,878.06.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her to her pre-accident condition insofar as that is possible and to preserve and promote her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78 (S.C.), aff'd </w:t>
      </w:r>
      <w:hyperlink r:id="rId451"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aff'd </w:t>
      </w:r>
      <w:hyperlink r:id="rId453"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test for assessing an appropriate award is an objective one based on the medical evidence. An item of future care must be medically justified, not medically necessary, and reasonable, to be recoverable: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An evidentiary link between the physician's assessment of pain, disability and recommended treatment and the care recommendations of a qualified health care professional is required: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Ms. Tench's cost of future care claim relies upon Ms. Black's cost of future care report, which addresses Dr. Salvian's recommendations, the recommendations of Dr. Caillier, along with the report of economist Christiane Clark, which sets out high and low present value calculations for the cost of recommended care items and services. Ms. Tench proposes an award of $264,524, the average of the two calculations.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Physiotherapy Treatment/Symptom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Salvian recommended access to therapy when Ms. Tench experiences muscle strain. Based on this, and her ongoing symptom reactivity to functional stressors at the time of her assessment, Ms. Black recommended 12 physiotherapy and 12 chiropractic sessions for one year, followed by 10 to 12 sessions annually for management of symptom flare-up in response to functional stressors at home or at work, suggesting a budget of $500 to $900 per year. Dr. Caillier agreed with this recommendation specifying the purpose of therapy as assisting with flare-ups in symptoms of both chronic soft tissue pain but also TOS, although they should not be used in lieu of an active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Clearly, the recommendation is medically justified. Although the defendants suggest ongoing treatment is excessive, in my view it is reasonable based on my findings regarding Ms. Tench's current condition and her prognosis. Ms. Clark's low calculation for the first year is based on 36 sessions, not 24, which exceeds what is recommended. I award $1,386 for the first year but accept her low present value calculation for ongoing treatment: $16,073.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Exercise Instruction/Active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Noting Dr. Salvian recommended Ms. Tench participate in an exercise program and be provided with a gym pass to maintain her overall fitness while avoiding further muscle injuries, and commenting on Ms. Tench's limited tolerances and demonstrated symptom reactivity in her neck and upper spinal region during the evaluation, Ms. Black recommends an exercise program developed by a physiotherapist and monitored by a kinesiologist, as well as an annual fitness pass. Specifically, she recommends three or four sessions with a physiotherapist to develop an independent exercise and stretching routine, periodic re-assessments to adapt the program if her physical condition changes, and eight to ten kinesiology sessions over her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Caillier's recommendation is somewhat different: at least 16 to 18 kinesiology sessions and an additional four to six sessions per year for the next three to four years to allow for a progression of Ms. Tench's exercises and to "troubleshoot" as required. Dr. Caillier explains access to further kinesiology sessions will likely assist in the management of Ms. Tench's pain, as well as further improve her physical conditioning, increase her endurance and tolerance for activities, and ensure she is progressing and not causing further harm or injury. Dr. Caillier agrees with the gym pass recommendation, opining that Ms. Tench will need to continue stretching regularly if not daily, and to participate in a gym based program at least three or four times per week in order to facilitate long-term management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Based on her particular expertise and explanation, I prefer Dr. Caillier's recommendation, although both are reasonable. I award the amounts set out in the low cost present value calculations of Ms. Clark. Specifically in year one: $998 and years two, three and four: $719; for the gym pass: $12,105 to age 60 and $3,929 from age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Black recommends four to six sessions with an occupational therapist to educate Ms. Tench about pain management strategies as well as to develop modified task approaches to enhance her function and durability for tasks at home at a cost that ranges from $404 to $726. Although Dr. Caillier does not comment on this recommendation, it is clear from her opinions and other recommendations, as well as those of Dr. Salvian that better pain management and avoiding further muscle spasm are essential to improving Ms. Tench's quality of life and preventing further deterioration. I am therefore satisfied this item is both medically justified and reasonable. I award the high estimate for this item, $726, recognizing that Ms. Tench has deteriorated since she was assessed by Ms. Black and the need for effective pain management strategies is now enhanced, particularly as she faces new and different circumstances such as classroom teaching and the prospect of caring for an infant at some point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Injections/Medications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Caillier recommends Ms. Tench continue to have access to Botox injections for TOS every three to four months, specifying the need for 200 units at an approximate cost of $800 each time for bilateral injections. The present value calculation of this cost for her lifetime is significant: $106,034. The defendants argue this is excessive, relying upon another case where the court awarded the value of ten years of injections instead. The difficulty here is there is no contrary evidence about the duration of treatment, and Botox injections have provided Ms. Tench with temporary relief of her TOS symptoms and neck pain. Thus far Botox injections, unlike trigger point injections and the medical treatment involved in providing the injections, are not covered by the provincial medical services plan. Accepting negative contingencies such as a change in coverage or treatment over time can reasonably be expected, I award $80,000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Based on Ms. Tench's current medication use, which includes over the counter analgesics, an anti-inflammatory and antidepressant medication, Ms. Clark provides for life present value costs of $2,712, $208 and $6,284. Although the evidence establishes Ms. Tench has been taking the antidepressant medication since April 2016 and she continues to experience psychological symptoms, absent medical evidence, I am not satisfied she will need to continue taking it for the remainder of her life. Although I award the amount for the other two items as calculated by Ms. Clark, I reduce the award for Cipralex to $3,000.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Body Pillow/Heating Pad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Ms. Black recommends the provision of a body pillow to be replaced every two to three years, based on Ms. Tench's report that it has helped her to sleep better, by assisting her with positioning her upper extremities. Ms. Tench also gave that evidence along with evidence about her difficulty sleeping when without the pillow, all of which I accept. Ms. Black also recommends the cost of a heating pad to be replaced every three to five years, again based on Ms. Tench's report. Her evidence establishes she uses a number of heating pads daily at home and work to manage her symptoms. Therefore, I accept that both items are medically justified and the present value low cost calculation is entirely reasonable. I award $1,657 and $360 for the body pillow and heating pad, respectively.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Ergonomic Assessment/Equipment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Based on her home assessment, Ms. Black recommends an ergonomic assessment to ensure an optimal workstation set up at home to enhance Ms. Tench's work durability, and assist in managing her neck, upper spinal region and arm symptom reactivity to work demands, as well as an adjustable keyboard tray and an adjustable chair. Dr. Caillier makes the same recommendation. The low cost estimates for these items are modest. Being medically justified and reasonable, I award them: $297 (assessment of home office); $554 (adjustable chair); and $388 (other equipment).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Housekeeping and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Ms. Black's findings and opinion regarding Ms. Tench's limitations with respect to housekeeping are set out above. Recognizing her future needs are difficult to predict because her future living arrangements are uncertain, Ms. Black recommends three to four hours of housecleaning services per month to assist with more intensive/deeper housecleaning. In doing so Ms. Black assumes Ms. Tench would have performed all of these tasks independently until the age of 75, and relies on quoted costs that ranged from $25 to $35 per hour. Much like Dr. Salvian, Dr. Caillier also expressed the opinion that Ms. Tench is capable of doing lighter activities around the home but she will likely benefit from assistance with heavier cleaning, deferring to Ms. Black or another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Ms. Black's recommendation is based on Ms. Tench's somewhat higher level of function before the second accident. Ms. Tench seeks compensation for a future loss of housekeeping capacity in part because of this gap. I have no trouble concluding Ms. Black's recommendation is not only medically justified but entirely reasonable. I award the average between the high and low present value calculations: $39,251.50.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Ms. Black also recommends an amount for home maintenance. Given Ms. Tench does not currently own a home, Ms. Black relies upon Statistics Canada data showing that women spend on average 30 hours annually maintaining and repairing their homes. I do not know if this average relates to detached homes or all homes. Given the typically heavier and repetitive nature of these tasks, Ms. Tench proposes replacement services for 75% of 30 hours per year at an hourly rate that varies from $60 to $73.50.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Regarding yard work, Ms. Black opines that Ms. Tench is able to manage some intermittent yard work tasks with pacing and breaks, but not heavier tasks, repetitive or resisted lifting, or those involving sustained neck flexion postures, in the event she owns a property with a yard in future. Ms. Black recommends 20 to 25 hours per year, at a cost of $40 per hour, again until age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Ms. Tench and Mr. Smith live in rental accommodation and have a tentative plan to rent his grandmother's townhouse in the foreseeable future. Although they hope to buy a house and there has been some discussion about assistance with a down payment, in my view it is at least probable, given Mr. Smith's education and work history thus far and Ms. Tench's career plan, that they will not be able to afford to purchase a detached home with a yard. I accept however that a townhome is likely to be affordable for them, which may or may not have a small yard or outdoor space, requiring some maintenance and yard work. I expect any requirement to maintain any outdoor space at Mr. Smith's grandmother's townhome to be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Uncertain of the assumptions underlying Ms. Black's estimates, I award 50% of the low-cost present value estimate of home maintenance and the same for yard assistance, both starting five years from now. These amounts are $17,168.50 and $10,174,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total award for the cost of future care is $191,706.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An award for loss of housekeeping capacity provides compensation for the value of the housekeeping the plaintiff would have done but was or will be incapable of performing because of the injuries caused by the accident. It does not depend on replacement costs actually being incurred. Loss of housekeeping capacity reflects the loss of personal capacity, an asset, and is therefore compensable as a pecuniary loss. In some circumstances, however, it can be compensated by a non-pecuniary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McTavish v. McGillivray</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suggests the loss of housekeeping capacity should be treated as non-pecuniary where the plaintiff is still able to perform household tasks with difficulty or has decided they need not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paras. 33-34, the Court of Appeal returned to the question of how to properly characterize and value a loss of housekeeping claim, concluding: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Whichever option a court chooses, when valuing these different types of awards, courts should pay heed to the differing rationales behind them. In particular, when valuing the pecuniary damages for the loss of capacity suffered by a plaintiff, courts may look to the cost of hiring replacement services, but they should ensure that any award for that loss, and any deduction to that award, is tied to the actual loss of capacity which justifies the award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upheld an award of $418,000 for the loss of housekeeping capacity. Aspects of the claim for the cost of future care related to household chores and yard work were disallowed because they duplicated the loss of housekeeping capacity award: </w:t>
      </w:r>
      <w:hyperlink r:id="rId458" w:history="1">
        <w:r>
          <w:rPr>
            <w:rFonts w:ascii="arial" w:eastAsia="arial" w:hAnsi="arial" w:cs="arial"/>
            <w:i/>
            <w:color w:val="0077CC"/>
            <w:sz w:val="20"/>
            <w:u w:val="single"/>
            <w:shd w:val="clear" w:color="auto" w:fill="FFFFFF"/>
            <w:lang w:val="en-US" w:eastAsia="en-US" w:bidi="ar-SA"/>
          </w:rPr>
          <w:t>2016 BCSC 2405</w:t>
        </w:r>
      </w:hyperlink>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The Court of Appeal has commented more than once on the distinction between loss of housekeeping capacity and the future cost of care, as well as the potential for overlap.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Justice Kirkpatrick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As explained by Professor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2d ed. (Scarborough: Carswell, 1996) at 315, the claims for loss of home making capacity and for cost of future care are distinct: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for loss of homemaking capacity is for the loss of the value of work which would have been rendered </w:t>
      </w:r>
      <w:r>
        <w:rPr>
          <w:rFonts w:ascii="arial" w:eastAsia="arial" w:hAnsi="arial" w:cs="arial"/>
          <w:i/>
          <w:color w:val="000000"/>
          <w:sz w:val="20"/>
          <w:lang w:val="en-US" w:eastAsia="en-US" w:bidi="ar-SA"/>
        </w:rPr>
        <w:t>by the plaintiff</w:t>
      </w:r>
      <w:r>
        <w:rPr>
          <w:rFonts w:ascii="arial" w:eastAsia="arial" w:hAnsi="arial" w:cs="arial"/>
          <w:color w:val="000000"/>
          <w:sz w:val="20"/>
          <w:lang w:val="en-US" w:eastAsia="en-US" w:bidi="ar-SA"/>
        </w:rPr>
        <w:t xml:space="preserve">, but which because of the injuries cannot now be performed. The plaintiff has lost the ability to work in a manner that would have been valuable to her- or himself as well as to others. The claim is not the same as that under future cost of care, which is for the value of services that must now be rendered </w:t>
      </w:r>
      <w:r>
        <w:rPr>
          <w:rFonts w:ascii="arial" w:eastAsia="arial" w:hAnsi="arial" w:cs="arial"/>
          <w:i/>
          <w:color w:val="000000"/>
          <w:sz w:val="20"/>
          <w:lang w:val="en-US" w:eastAsia="en-US" w:bidi="ar-SA"/>
        </w:rPr>
        <w:t>to the plaintiff</w:t>
      </w:r>
      <w:r>
        <w:rPr>
          <w:rFonts w:ascii="arial" w:eastAsia="arial" w:hAnsi="arial" w:cs="arial"/>
          <w:color w:val="000000"/>
          <w:sz w:val="20"/>
          <w:lang w:val="en-US" w:eastAsia="en-US" w:bidi="ar-SA"/>
        </w:rPr>
        <w:t>. It is true that the two claims may overlap - just as the normal claim for loss of earnings and cost of care may do so - because the cost of care claim may include items which the plaintiff-homemaker would have performed but for the accident. However, a large portion of homemaking involves the performance of work for others, namely, the family unit, and in many cases the claim for loss of homemaking capacity is wholly distinguishable from that for cost of care ... The loss is a "negative" loss, in the sense that it is the loss of something the plaintiff would have had (her homemaking work) but which she now does not have because of the accident. This places it squarely under the head of loss of working capacity. In contrast, the expense of services provided by others to care for the plaintiff are "positive" losses - the addition of an extra expense - and they clearly fall under cost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As the defendants point out, duplication has been the subject of recent comment. In </w:t>
      </w:r>
      <w:r>
        <w:rPr>
          <w:rFonts w:ascii="arial" w:eastAsia="arial" w:hAnsi="arial" w:cs="arial"/>
          <w:i/>
          <w:color w:val="000000"/>
          <w:sz w:val="20"/>
          <w:lang w:val="en-US" w:eastAsia="en-US" w:bidi="ar-SA"/>
        </w:rPr>
        <w:t>Firman v. Asadi</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2019 BCSC 270</w:t>
        </w:r>
      </w:hyperlink>
      <w:r>
        <w:rPr>
          <w:rFonts w:ascii="arial" w:eastAsia="arial" w:hAnsi="arial" w:cs="arial"/>
          <w:color w:val="000000"/>
          <w:sz w:val="20"/>
          <w:lang w:val="en-US" w:eastAsia="en-US" w:bidi="ar-SA"/>
        </w:rPr>
        <w:t>, Justice Verhoeven remarked: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[236] Duplication in the award must be avoided. Where potential costs for housekeeping assistance are awarded, in the context of costs of future care, then the case for a separate pecuniary award for loss of housekeeping capacity is lessened and perhaps eliminated, depending on the specific facts of the case. In this case a minor award for housekeeping assistance has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Ms. Tench seeks $22,815 for a past loss of housekeeping capacity based on one hour per day at hourly rate of $15.00 from the date of the first accident to the first day of trial, and a substantial award, $323,866, for her future loss, based again on one hour per day for five years post trial, 1.5 hours to age 50, and then one hour to age 75. The proposed increase to 1.5 hours is based on a likelihood she will have children and own a home within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Although I accept that Ms. Tench suffered an impairment of her housekeeping capacity up to the date of the trial, and that after her marriage, and the second accident, Mr. Smith performed many and then most of the housekeeping duties, the non-pecuniary damage award accounts for the "pain and suffering" Ms. Tench has and will experience arising from her inability to continue maintaining a pristine home environment. Recognizing there is a further pecuniary component to her past loss on account of the impairment in her ability to perform necessary household tasks, particularly once the second accident occurred, I award a modest amount,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Regarding her future loss of housekeeping capacity claim, Ms. Tench takes the position she will suffer a significant future pecuniary loss arising from a profound loss of capacity to perform housekeeping, home maintenance and yard work and an impairment of her ability to care physically for the children she expects to have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Pointing out Ms. Black's cost of care estimates for housekeeping do not account for the aggravation of her chronic myofascial pain and chronic TOS caused by the second accident, she asserts her future loss of housekeeping claim does not overlap with cost of future care items, based as they are on her needs and restrictions prior to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defendants argue Mr. Smith is able to support her with housekeeping duties and she is able to perform lighter activities around the home, and there is no evidence Ms. Black's opinions and recommendations do not capture the full extent of the loss caused by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While I agree that Ms. Tench can perform some lighter tasks around the home, I have already found that Ms. Tench's capacity deteriorated to some extent after the second accident. Essentially her capacity has been very limited since that time. Further, a reasonable assessment of her loss properly assumes Mr. Smith will perform an equal share but not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Based on Ms. Tench's ongoing symptoms, her physical limitations, the prospect of improvement to the degree of function she had prior to the second accident offset modestly by a risk of deterioration, I am satisfied that Ms. Tench has a much reduced capacity to engage in the physical care of infant and toddler aged children. Again, Mr. Smith is expected to contribute equally but not more than that. There is no potential for overlap with respect to a loss of housekeeping capacity related to child care which is not included in the cost of care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Regarding the other aspects of her future loss of housekeeping capacity claim, I accept there is a gap, although much less than Ms. Tench suggests, between the level of support provided for by the cost of future care award and her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Further, while I accept it is likely she will have at least one child, this is not a certainty. The same is true, as I have already said, with respect to future home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Bearing in mind all of the circumstances and contingencies, the amount she proposes must be significantly discounted. Accordingly, I view $100,000 as fair and reasonable and award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By consent I award Ms. Tench $13,951.52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Unless there are circumstances I am unaware of, Ms. Tench is entitled to "regular"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7821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Tessier v. Vancouver (City), [2002] B.C.J. No. 3405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B991258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3405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1938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C.C.L.I. (2d) 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CarswellBC 3343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205 A.C.W.S. (3d) 543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Rita Tessier, Plaintiff, and City of Vancouver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jc w:val="both"/>
        <w:rPr>
          <w:rFonts w:ascii="arial" w:eastAsia="arial" w:hAnsi="arial" w:cs="arial"/>
          <w:sz w:val="20"/>
          <w:lang w:val="en-US" w:eastAsia="en-US" w:bidi="ar-SA"/>
        </w:rPr>
      </w:pPr>
      <w:bookmarkStart w:id="77" w:name="Counsel_21"/>
      <w:bookmarkEnd w:id="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 Turco.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Vancouver: T. Zworski.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D. Joyce.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21"/>
      <w:bookmarkEnd w:id="78"/>
      <w:r>
        <w:pict>
          <v:line id="_x0000_s1101" style="position:absolute;z-index:2517360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G. BARROW J. (orally)"/>
            <w:bookmarkEnd w:id="79"/>
            <w:r>
              <w:rPr>
                <w:rFonts w:ascii="arial" w:eastAsia="arial" w:hAnsi="arial" w:cs="arial"/>
                <w:b/>
                <w:color w:val="000000"/>
                <w:sz w:val="30"/>
                <w:lang w:val="en-US" w:eastAsia="en-US" w:bidi="ar-SA"/>
              </w:rPr>
              <w:t>G. BARROW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Insurance Corporation of British Columbia seeks to have the plaintiff's claim dismissed pursuant to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 76-year-old retired cashier, was driving westbound in the curb lane on Marine Way, in the City of Vancouver, on December 14, 1998 at approximately 9:30 in the morning. As the plaintiff was driving westbound on Marine Way, a white delivery van, a cube van as it has been described, was following her too closely in her opinion. As a result, she moved from the curb lane to the middle of the three westbound lanes. The van passed her, accelerating quickly. Shortly thereafter, the plaintiff noticed what she described in her affidavit as a shower of small debris falling from the trees adjacent to the curb lane. It appeared to her as if the top of the white cube van had struck some overhanging trees. The next thing apparent to the plaintiff was a large branch or a tree trunk bouncing off the pavement in the curb lane and onto the hood of her car and eventually through her windshield. The impact broke the windshield and pushed the steering wheel into the plaintiff's chest, effectively pinning her in her car. The white van did not stop and has never been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Joan Smith was driving westbound on Marine Way on the day in question. She was immediately in front of the plaintiff in the middle lane. She did not notice any trucks in the vicinity, but did notice numerous branches striking her windshield and damaging her car. She stopped when this occurred and remained at the scene for some time. She has deposed that, while at the scene, a witness was present who had come from the lumber mill located immediately south of the accident scene. The identity of this witness has never been determined. Whether he witnessed a collision or simply attended the scene in the aftermath is also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Caleb Berg witnessed the accident. He was proceeding westbound on Marine Way in the passing or fast lane when he saw a white cube van clip the overhanging trees. As a result, branches fell onto the ground and eventually collided with the plaintiff's motor vehicle. Mr. Berg felt the driver of the van may not have been aware of what occurred and, in any event, the van simply continued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understandably quite shaken and upset by these events. She remained pinned in her car until firemen pried the door open after which she was transported to the hospital by ambulance. The plaintiff did not speak to the police at the scene but she did complete an accident report that day and provided it to the police who spoke with her at the hospital. I am advised she dealt with I.C.B.C. promptly after the accident. I do not know what the extent of the plaintiff's injuries were, but she was driving again within a week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City of Vancouver is named as a defendant in these proceedings because the trees adjacent to Marine Way are their responsibility. There is evidence that in August, 1998 the City was made aware by its arborist, Bill Steven, of the significant hazard posed by these trees on the City's road allowance. They had matured to the point where they were no longer stable and were as a result, in Mr. Steven's words, a "severe threat" to motorists.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Insurance Corporation of British Columbia seeks to have this claim dismissed on two grounds. Firstly, it argues that the plaintiff has not established that the cube van hit the trees in question or, if it did hit the trees, that the driver of that van was negligent in doing so. Further, it argues that if the driver of the van hit the trees, it has not been established that there was any causal connection between that act and the injuries ultimately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effect, the Insurance Corporation of British Columbia argues that the sole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giving rise to this accident is that of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Secondly, the defendant Insurance Corporation of British Columbia argues that the plaintiff's claim should be dismissed because the plaintiff did not make the efforts required by section 24(5)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to ascertain the identity of the unknown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to the first issue, I am not satisfied that it is appropriate to dismiss the plaintiff's claim in the context of a Rule 18A application on that basis. There is, at best from the defendants' point of view, conflicting evidence as to whether the van hit the overhanging branches. There is some evidence upon which a trier of fact may conclude that there was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driver of that van. The branches were large and presumably there to be seen. I am not satisfied to the extent necessary to conclude that the plaintiff's claim should be dismissed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second issue is more troublesome. Section 24(5)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provides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an action against the corporation as nominal defendant, a judgment against the corporation must not be given unless the court is satisfied that</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extends to persons involved in hit and run accidents a cause of action against the Insurance Corporation of British Columbia. Section 24(5) imposes an obligation on plaintiffs who seek to take advantage of the avenue of recovery created by section 24. It limits the availability of the benefits of that section to those who have complied with section 24(5). In the words of Taylor, J.A. in </w:t>
      </w:r>
      <w:r>
        <w:rPr>
          <w:rFonts w:ascii="arial" w:eastAsia="arial" w:hAnsi="arial" w:cs="arial"/>
          <w:i/>
          <w:color w:val="000000"/>
          <w:sz w:val="20"/>
          <w:lang w:val="en-US" w:eastAsia="en-US" w:bidi="ar-SA"/>
        </w:rPr>
        <w:t>Leggett v. Insurance Corporation of British Columbia</w:t>
      </w:r>
      <w:r>
        <w:rPr>
          <w:rFonts w:ascii="arial" w:eastAsia="arial" w:hAnsi="arial" w:cs="arial"/>
          <w:color w:val="000000"/>
          <w:sz w:val="20"/>
          <w:lang w:val="en-US" w:eastAsia="en-US" w:bidi="ar-SA"/>
        </w:rPr>
        <w:t xml:space="preserve"> reported at </w:t>
      </w:r>
      <w:hyperlink r:id="rId468" w:history="1">
        <w:r>
          <w:rPr>
            <w:rFonts w:ascii="arial" w:eastAsia="arial" w:hAnsi="arial" w:cs="arial"/>
            <w:i/>
            <w:color w:val="0077CC"/>
            <w:sz w:val="20"/>
            <w:u w:val="single"/>
            <w:shd w:val="clear" w:color="auto" w:fill="FFFFFF"/>
            <w:lang w:val="en-US" w:eastAsia="en-US" w:bidi="ar-SA"/>
          </w:rPr>
          <w:t>(1992), 72 B.C.L.R. (2d) 201</w:t>
        </w:r>
      </w:hyperlink>
      <w:r>
        <w:rPr>
          <w:rFonts w:ascii="arial" w:eastAsia="arial" w:hAnsi="arial" w:cs="arial"/>
          <w:color w:val="000000"/>
          <w:sz w:val="20"/>
          <w:lang w:val="en-US" w:eastAsia="en-US" w:bidi="ar-SA"/>
        </w:rPr>
        <w:t xml:space="preserve"> at page 205: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overall purpose of the section is to limit the exposure of the corporation to claims brought by persons who, in the matter of seeking to identify those responsible for the accident, have done everything they reasonably could to protect what ordinarily would be their own interests, and which, by virtue of the section, become the interests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Justice Taylor continued, also at page 205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corporation's exposure under the section is limited to claims brought by those who could not have ascertained the identity of the parties responsible. It does not, in my view, extend to claims by those who have chosen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One, but only one of the purposes of the subsection, is to protect against the potential for fraudulent claims. Its broader purpose is as noted above. What constitutes all reasonable steps as contemplated by section 24(5) must be determined in light of the purpose of the section and the circumstances of the particular case in issue. The test which emerges from the purpose of the section is, again according to Taylor, J.A.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page 206: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the claimants had "pursued the investigation to identify the vehicle and its owner and driver as resolutely and resourcefully as they would have done in like circumstances" ... if the claimant intended to pursue any right of action which he or she might have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Likus v. Insurance Corporation of British Columbia</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[1996] B.C.J. No. 2224</w:t>
        </w:r>
      </w:hyperlink>
      <w:r>
        <w:rPr>
          <w:rFonts w:ascii="arial" w:eastAsia="arial" w:hAnsi="arial" w:cs="arial"/>
          <w:color w:val="000000"/>
          <w:sz w:val="20"/>
          <w:lang w:val="en-US" w:eastAsia="en-US" w:bidi="ar-SA"/>
        </w:rPr>
        <w:t xml:space="preserve">, Grannary, P.C.J. makes reference to </w:t>
      </w:r>
      <w:r>
        <w:rPr>
          <w:rFonts w:ascii="arial" w:eastAsia="arial" w:hAnsi="arial" w:cs="arial"/>
          <w:i/>
          <w:color w:val="000000"/>
          <w:sz w:val="20"/>
          <w:lang w:val="en-US" w:eastAsia="en-US" w:bidi="ar-SA"/>
        </w:rPr>
        <w:t>Rossiter v. Chiasson</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[1950] O.W.N. 265</w:t>
        </w:r>
      </w:hyperlink>
      <w:r>
        <w:rPr>
          <w:rFonts w:ascii="arial" w:eastAsia="arial" w:hAnsi="arial" w:cs="arial"/>
          <w:color w:val="000000"/>
          <w:sz w:val="20"/>
          <w:lang w:val="en-US" w:eastAsia="en-US" w:bidi="ar-SA"/>
        </w:rPr>
        <w:t>, in which Gale, J. defines "reasonable" in similar circumstances as being synonymous with "logical, sensible, and fair". It does not include, again according to Gale, J., efforts which are "absurd, whimsical or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Turning to the circumstances of this case, I am satisfied that this is not a case in which there is a risk of fraud. In </w:t>
      </w:r>
      <w:r>
        <w:rPr>
          <w:rFonts w:ascii="arial" w:eastAsia="arial" w:hAnsi="arial" w:cs="arial"/>
          <w:i/>
          <w:color w:val="000000"/>
          <w:sz w:val="20"/>
          <w:lang w:val="en-US" w:eastAsia="en-US" w:bidi="ar-SA"/>
        </w:rPr>
        <w:t>Johal v. Insurance Corporation of British Columbia</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[1992] B.C.J. No. 1169</w:t>
        </w:r>
      </w:hyperlink>
      <w:r>
        <w:rPr>
          <w:rFonts w:ascii="arial" w:eastAsia="arial" w:hAnsi="arial" w:cs="arial"/>
          <w:color w:val="000000"/>
          <w:sz w:val="20"/>
          <w:lang w:val="en-US" w:eastAsia="en-US" w:bidi="ar-SA"/>
        </w:rPr>
        <w:t>, it is suggested that the approach to "all reasonable efforts" might be relaxed when that is not the case. That is to say, when the risk of fraud is not present. Esson, C.J.S.C., as he then was, noted the test "should not be made so exacting that it cannot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satisfied that, given the plaintiff's age, the shocking circumstances of the accident, and the physical limitations it imposed upon her, her failure to make inquiries of or about potential witnesses while pinned in her car or on the gurney en route to the ambulance or while in the ambulance en route to the hospital is not a failure to make "all reasonable efforts". The plaintiff's obligation extends, however, beyond the time of the accident and its immediate aftermath. She was well enough within a week of the accident to drive again. In this case, the plaintiff did nothing to ascertain the identity of the driver or the owner of the cube van. In argument on her behalf, it was candidly conceded that she reported the matter to the police and relied on them to take reasonable steps to identify the driver or the owner of the van. In her examination for discovery, the plaintiff acknowledges that no other steps were taken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it would be rare to find circumstances in which simply notifying the police was sufficient to satisfy the requirements of section 24(5) and, in any event, this is not one of those cases. The accident occurred across the street from an industrial complex. It is not pure speculation to conclude that someone or some people within that facility may have witnessed the accident. At least one person came, apparently from that facility, and assisted at the scene. That person remains unidentified. Posting of a notice at the mill or seeking the mill's assistance in canvassing its employees may well have led to the identification of that witness or the identification of other witnesses. Doing so would not be prohibitively expensive, nor could it be described as a whimsical, absurd or unwarranted effort. Indeed, it seems to be a logical, sensible, and fair requirement. There may well be other steps which might have been taken such as advertising in the newspaper or posting notices in the vicinity.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conclude, however, that there was at least one reasonable avenue of investigation open to the plaintiff which was not pursued. In light of that conclusion, I cannot find that the plaintiff has taken all reasonable steps. Reluctantly, I cannot find that her efforts can be described as resolute as they might have been had she been left to pursue this action on her own behalf. I am therefore obliged to grant the defendant's application and dismiss the action as against the defendant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troubled by the issue of costs. If it had been established that the plaintiff had attended at the Insurance Corporation of British Columbia and dealt with its agents and that she, as an elderly woman, had not been advised of the requirements of section 24(5), an award of costs may well not have been made. In saying that I would not for a moment impose an obligation on the Insurance Corporation of British Columbia to advise someone as to how they might discharge the obligation of section 24(5). It does not, however, seem to me to be overreaching to simply point out the provisions to an unrepresented elderly claimant who to any reasonable observer may well be relying prudently or otherwise on the representations of the Insurance Company's employees. Counsel for the Insurance Corporation quite rightly points out that there is no obligation on the Insurance Company's employees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other hand, if that step is not taken, and I pause to note it does not appear to me to be a particularly onerous requirement, to remain silent and thereafter rely on the plaintiff's failure when seeking to be removed as a defendant in a subsequent lawsuit is not a circumstance, in my view, which would render an award of costs appropriate. I am unable to conclude on the circumstances before me that that is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result, I grant the defendant's application to have this action as against it, the Insurance Corporation of British Columbia,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7831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Tinaburri v. North Vancouver (District), [2014] B.C.J. No. 689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13, 2012; February 20 and 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S102371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M.P.L.R. (5th) 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240 A.C.W.S. (3d) 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1035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Guido Tinaburri, Joanna Tinaburri and Falesca Importing Ltd., Plaintiffs, and The Corporation of the District of North Vancouver,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(120 paras.)</w:t>
      </w:r>
    </w:p>
    <w:p>
      <w:pPr>
        <w:jc w:val="both"/>
        <w:rPr>
          <w:rFonts w:ascii="arial" w:eastAsia="arial" w:hAnsi="arial" w:cs="arial"/>
          <w:sz w:val="20"/>
          <w:lang w:val="en-US" w:eastAsia="en-US" w:bidi="ar-SA"/>
        </w:rPr>
      </w:pPr>
      <w:bookmarkStart w:id="80" w:name="Counsel_22"/>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Derek C. Creighton.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Alyssa D. Bradley.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1" w:name="Judgment_22"/>
      <w:bookmarkEnd w:id="81"/>
      <w:r>
        <w:pict>
          <v:line id="_x0000_s1104" style="position:absolute;z-index:2517370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2" w:name="W.G. BAKER J."/>
            <w:bookmarkEnd w:id="82"/>
            <w:r>
              <w:rPr>
                <w:rFonts w:ascii="arial" w:eastAsia="arial" w:hAnsi="arial" w:cs="arial"/>
                <w:b/>
                <w:color w:val="000000"/>
                <w:sz w:val="30"/>
                <w:lang w:val="en-US" w:eastAsia="en-US" w:bidi="ar-SA"/>
              </w:rPr>
              <w:t>W.G.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Relying on Rules 9-5, 9-6, 9-7 and 14-1;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Defendant Corporation of the District of North Vancouver ("the District") seeks the dismissal of all of the Plaintiffs' claims. In the alternative, the District seeks an order striking some paragraphs of the Amended Notice of Civil Claim; an order that the name of the Plaintiff Guido Tinaburri be struck from the Amended Notice of Civil Claim on the basis that he was deceased before commencement of the action; and an order that the Plaintiff Falesca Importing Ltd. be struck from the Amended Notice of Civil Claim on the basis that the pleadings disclose no claim by that Plaintiff. The Defendant's application was filed on October 18,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November 5, 2012, the Plaintiffs filed a cross-application seeking an order to abridge the time for the hearing of their application; an order that the Plaintiffs' application be heard on November 13, 2012 together with the Defendant's application; and an order that the Defendant be compelled to make Geoff A. Williams available to be examined for discovery by the Plaintiffs. During the hearing, I made an order abridging the time for hearing the Plaintiffs' application and it was heard together with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filed their original Writ of Summons and Statement of Claim on April 8, 2010. That Writ of Summons and Statement of Claim was never served on the District. An Amended Notice of Civil Claim ("the Amended Claim") was filed on April 7, 2011 and served on the District on April 8, 2011. The first paragraph of the Amended Claim states that Guido Tinaburri died on April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District filed its Response to Civil Claim on April 29, 2011. In paragraph 8 of the Response, the District pleaded that Guido Tinaburri should be removed as a party to the civil claim as he was deceased before commencement of the action. The Plaintiffs made no application to amend the style of cause to substitute the Estate, or representative of the Estate, of Guido Tinaburri as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Guido Tinaburri and Joanna Tinaburri (collectively "the Tinaburris") were, prior to Mr. Tinaburri's death, husband and wife. Accordingly to the Amended Notice of Civil Claim, Falesca Importing Ltd. is a British Columbia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various documents Mr. and Mrs. Tinaburri are described as "businessman" and "businesswoman" and there are references to a warehouse located on land owned by them in the District but the nature of their business enterprise or enterprises is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Some of the historical context to the issues raised by the pleadings in this action is complex, but is set out as succinctly as possible in the affidavit of Richard Parr, sworn April 17, 2012. Mr. Parr is presently a municipal solicitor with the District. I reproduce here paragraphs 3 through 11 of Mr. Parr's affidavit:</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1865, a survey was prepared of District Lot 193 ("DL 193"). In 1867, a Crown grant was issued to Hugh Burr for DL 193. From the survey, it appears that the Seymour River, which was adjacent to DL 193 was excluded from the Crown grant. Attached as Exhibit "A" to this my Affidavit is a true copy of the Crown grant issued in 1867 for DL 193 and a copy of a survey of DL 193 prepared in 1865.</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3, 1907, DL 193 was subdivided by Plan 1332, which included all of DL 193, except the Seymour River. From this plan it appears that between 1867 and 1907, the Seymour River changed course such that by 1907 it bisected DL 193. Attached as Exhibit "B" to this my Affidavit is a true copy of Plan 1332.</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9, 1907, a Certificate of Title No. 9992E was issued to Alexander F. Sutherland and Urquhart Mackenzie in respect of DL 193. There is a handwritten notation from the Register on the Register of Indefeasible Fees regarding DL 193 stating as follows: "This C.T. apparently contains D.L. 193, except part in Plan 1332 (bed of Seymour Creek new course)". Attached as Exhibit "C" to this my Affidavit is a true copy of the Register of Indefeasible Fees regarding DL 193.</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8, 1910, Certificate of Title No. 9992E for DL 193 appears to have been cancelled and two new titles were issued for DL 193: Title No. 9992E(1) in the name of Alexander F. Sutherland and Title No. 9992E(2) in the names of Alexander F. Sutherland and Mackenzie Urquhart.</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as Exhibit "D" to this my Affidavit is a true copy of a letter dated October 5, 1962 from the D. Nicholls, the Municipal Assessor to the Registrar of Titles regarding Certificate of Title No. 9992E as well as a letter dated October 18, 1962, the Deputy Registrar wrote in response to Mr. Nicholls' letter dated October 5, 1962.</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as Exhibit "E" to this my Affidavit is a true copy of a memorandum dated November 29, 1971 from W.N. Keeling to G.A. Williams, the District's Land Agent, regarding Certificate of Title No. 9992E for DL 193.</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18, 1972, Guido Tinaburri and Joanna Tinaburri (the "Tinaburris") became the registered owners in fee simple of Lots 16 &amp; 17, Block 6, District Lot 193, Group 1, New Westminster District, Plan 2850 in the District of North Vancouver. On or about January 24, 1973 Lots 16 &amp; 17, appear to have been consolidated to form Lot D, Block 6, District Lot 193, Plan 2850. Attached as Exhibit "F" to this my Affidavit are true copies of the Certificate of Indefeasible Titles for Lots 16 &amp; 17 and Lot D and a copy of Plan 2850.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31, 1979, the Tinaburris became the registered owners in fee simple of Lots 14 &amp; 15, Block 6, District Lot 193, Plan 2850. On or about August 28, 1979, Lot D was consolidated with Lots 14 &amp; 15 to form Lot F, Block 6, District Lot 193, Plan 17795 (the "Tinaburri Property"). Attached as Exhibit "G" to this my Affidavit are true copies of the Certificate of Indefeasible Titles for Lots 14 &amp; 15 and Lot F and a copy of Plan 17795.</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between 1907 and 1976, the natural boundary of the Seymour River appears to have moved westward, such that by 1976 there was land lying between the boundary of the Tinaburri Property as shown on Plan 17795 and the actual natural boundary of the Seymour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Sometime prior to March 22, 1976, Mr. and Mrs. Tinaburri hired lawyer Richard Sugden (now deceased) to act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March 22, 1976 Mr. Sugden wrote to Mr. Welsh, who was then the Municipal Manager for the District, stating that he was representing the owners of Lots A, C and D of Block 6, District Lot 193, Plan 2850. Mr. and Mrs. Tinaburri were the owners of Lot D at that time. In the letter, Mr. Sugden stated that he had applied on behalf of the Tinaburris and two other owners for relief under the </w:t>
      </w:r>
      <w:r>
        <w:rPr>
          <w:rFonts w:ascii="arial" w:eastAsia="arial" w:hAnsi="arial" w:cs="arial"/>
          <w:i/>
          <w:color w:val="000000"/>
          <w:sz w:val="20"/>
          <w:lang w:val="en-US" w:eastAsia="en-US" w:bidi="ar-SA"/>
        </w:rPr>
        <w:t>Quieting Titles Act</w:t>
      </w:r>
      <w:r>
        <w:rPr>
          <w:rFonts w:ascii="arial" w:eastAsia="arial" w:hAnsi="arial" w:cs="arial"/>
          <w:color w:val="000000"/>
          <w:sz w:val="20"/>
          <w:lang w:val="en-US" w:eastAsia="en-US" w:bidi="ar-SA"/>
        </w:rPr>
        <w:t>, seeking to have a strip of property along the Seymour River (also referred to in some of the documents as the "Seymour Creek") joined to three properties, including a property belonging to the Tinaburris. Mr. Sugden informed Mr. Welsh that the Registrar of Land Titles had refused to consent to the application and had indicated that if the Tinaburris and the other owners wished to proceed, the Registrar would require efforts to be made to find the heirs to the property then referred to as "the Seymour River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Sugden informed Mr. Welsh in the letter that the Registrar of Land Titles considered the matter to involve a "very serious question of law" and that it would take some time to resolve it. Mr. Sugden informed Mr. Welsh that the Registrar of Land Titles had suggested that Mr. Sugden consult Geoff Williams, who was then the Land Agent for the District. Mr. Sugden wrote that he had contacted Mr. Williams but that Mr. Williams had said he could not assist and had suggested that Mr. Sugden contact the District's Building Department. Mr. Sugden made an appointment and met with a representative of the Building Department who said he could not help Mr. Sugden's clients, and suggested that they speak with Mr.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Sugden informed Mr. Welsh in the letter that upon learning that Mr. Sugden had already spoken with Mr. Williams, to no avail, Mr. Carr (presumably the representative of the District's Building Department) had suggested that Mr. Sugden contact Mr. Welsh. Mr. Sugden concluded his letter with an indication that his clients were prepared to purchase or lease the land concerned and wished to have a definite answer "one way or the other fairly soon so their plans can be made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From this letter it can be inferred that the Tinaburris believed they had a legal entitlement to the property between their land and the Seymour River bed, hence the application under the </w:t>
      </w:r>
      <w:r>
        <w:rPr>
          <w:rFonts w:ascii="arial" w:eastAsia="arial" w:hAnsi="arial" w:cs="arial"/>
          <w:i/>
          <w:color w:val="000000"/>
          <w:sz w:val="20"/>
          <w:lang w:val="en-US" w:eastAsia="en-US" w:bidi="ar-SA"/>
        </w:rPr>
        <w:t>Quieting Titles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Welsh responded to Mr. Sugden's letter by letter dated March 26, 1976. He stated that he had asked Mr. Emerson, the District's municipal solicitor, to look into the matters raised by Mr. Sugden and to contact Mr. Sugden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April 30, 1976, Mr. Emerson wrote to Mr. Williams stating that he would review the matter; that Mr. Sugden had already done some research on the matter; and that Mr. Emerson was expecting to receive some material from Mr. Sugden.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Emerson also did research and consulted with a land surveyor. On June 15, 1976, Mr. Emerson wrote to Mr. Rimmer, the Deputy Land Agent for the District, stating that in his opinion the Registrar of Land Titles had erroneously cancelled the title of the holder of the Crown grant in the land adjacent to Seymour Creek (the land which Mr. Sugden's clients wished to acquire) and therefore the title should vest in the heirs of the original grantees from the Crown, Messrs. Sutherland and Mackenzie. Mr. Emerson wrote to Mr. Sugden to the same effect on the same day. He told Mr. Sugden that if he was correct in this opinion, he did not believe that the Tinaburris could succeed in an application under the </w:t>
      </w:r>
      <w:r>
        <w:rPr>
          <w:rFonts w:ascii="arial" w:eastAsia="arial" w:hAnsi="arial" w:cs="arial"/>
          <w:i/>
          <w:color w:val="000000"/>
          <w:sz w:val="20"/>
          <w:lang w:val="en-US" w:eastAsia="en-US" w:bidi="ar-SA"/>
        </w:rPr>
        <w:t>Quieting Titles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Emerson suggested to Mr. Sugden that if the Tinaburris' purpose was to acquire a larger site in order to meet the area requirements of the District's Zoning Bylaw, they could consider applying to the District's Board of Variance.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Sugden replied by letter dated June 23, 1976. He said he had discussed the matter and Mr. Emerson's suggestion with his clients. I quote the balance of Mr. Sugden's letter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clients feel that inasmuch as they are really the only property owners who could have any beneficial use from the property that they would very much like to purchase the property from the City, assuming it is the City's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to us that whoever had the property in the past has failed to pay any taxes whatsoever on the property for a great number of years; consequently the City properly has a claim to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write this letter therefore, to communicate out client's offer to purchase this property from the 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very much appreciate hearing the City's position on this matter. It appears that this property is a potential source of revenue by way of taxes which the City might be able to use advantageously.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look forward to hearing from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From this letter three relevant facts are stated or may be inferred. The first is that the Tinaburris' lawyer knew there was an issue about the ownership of the property. The second is that it was the suggestion of the Tinaburris that the City acquire the property through a tax sale. The third is that no indication is given that the Tinaburris were interested in acquiring the property through a tax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June 30, 1976, Mr. Emerson sent a memorandum to Mr. Williams stating he had been exchanging correspondence with Mr. Sugden who was acting on behalf of several owners of land adjoining Seymour Creek. He indicated that the land owners' holdings were insufficient in size to accommodate the owners' proposed developments and that Mr. Sugden's clients wished to buy "...the District's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October 12, 1976, Mr. Williams wrote to Mr. Fenton of the BC Assessment Authority stating that as a result of investigations and title searches at the Land Registry Office, the District had come to the conclusion that the area between the Tinaburris' property and Seymour Creek (I shall refer to this piece of land hereafter as "the Remainder of District Lot 193") should be reinstated in the Assessment Roll and thereby again become subject to taxation. Mr. Williams stated the District's conclusion that the cancellation of the original Certificate of Title by the Registrar of Land Titles had been done in error and that the title should be reinstated. Relying on Mr. Emerson's opinion, Mr. Williams set out his reasoning for the District's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Williams told Mr. Fenton that as the present whereabouts of the original recipients of the Crown grant was unknown, the only practical means of bringing the land back within the Land Registry system was by including it in the Assessment Roll so that it could eventually be sold for taxes: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would thereby become vested in the tax sale purchaser and a new Certificate of Title would be raised in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Williams asked Mr. Fenton to look into the matter and advise if the Remainder of District Lot 193 could be included in the Assessment Roll for 1977.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20, 1976, Mr. Tinaburri wrote to the Land Agent for the District, stating that he was confirming that he would appreciate an opportunity to purchase the foreshore on Seymour Creek directly adjacent to his property (the Remainder of District Lot 193). He stated that the foreshore was useless to anyone else and that his solicitors had researched the matter and had advised him that the foreshore "...has occurred subsequent to my property being surveyed".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this letter I infer that Mr. Tinaburri considered that the Remainder of District Lot 193 was an "accretion" to the Tinaburris'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Williams replied to Mr. Tinaburri's letter on January 18, 1977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status of the land referred to appears to be somewhat confused and indeterminate. However, the District is looking into the matter and, whatever the outcome might be, your request will be borne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note that Mr. Williams made no promise to keep Mr. Tinaburri informed of the outcome of the District's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Negotiations followed between the District, the BC Assessment Authority, and the Registrar of Land Titles. Following a meeting with the Registrar of Land Titles on November 1, 1977, Mr. Emerson wrote to Mr. Williams on November 3 summarizing the procedure suggested by the Registrar of Land Titles. Among other things, a survey had to be done and an explanatory plan prepared to identify the Remainder of District Lot 193 so that it could be included on the Assessment 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November 28, 1977, surveyors Loach, Hobbs and Kyler prepared a plan for the District showing the Remainder of District Lot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January 10, 1979, Mr. Tinaburri applied to the District to amend the Zoning By-Law applicable to Lots 14 to 17 of Block 6, District Lot 193 to change "the siting area". There is no evidence about the outcome of this application, but I presume that it was unsuccessful, given 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13, 1978, Mr. Williams wrote a Memorandum to File with the subject title "Seymour River Accretion". The Memorandum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Mr. _______________ called re land between his property on Charles Street and the Seymour River which he wanted to purchase. I explained that the land could not be purchased as the certificate of title had apparently been cancelled in error many years ago and there was no one to deal with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rectify this situation the District has finally persuaded the B.C.A.A. to include it in the Assessment Roll so that it can be taxed. However the whole procedure until the vesting of title following tax sale would take two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said he would inquire as to progress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name of the caller is blank on this memorandum to file, but I infer that it was Mr. Tinaburri.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July 31, 1979, Mr. and Mrs. Tinaburri purchased Lots 14 and 15, Block 6, District Lot 193, Plan 2850 and on August 28, 1979, Lot D was consolidated with Lots 14 and 15 to form Lot F, Block 6, District Lot 193, Plan 17795.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District having obtained a survey and an explanatory plan having been prepared, the B.C. Assessment Authority eventually added the Remainder of District Lot 193 to the Assessment 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Minutes of a meeting of the District's Policy and Planning Committee on July 28, 1980 include a reference to the pending tax sale of the Remainder of District Lot 193,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D.L. 193 - proposed District bid at tax sale on the unsubdivided portion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Moved by Ald. Ball, Seconded by Ald. Powell and Carried That pursuant to the recommendation of the Deputy Land Agent in report dated July 22nd, the Council authorize an agent, to be nominated by the Land Agent, to bid on the District's behalf at the coming tax sale on the unsubdivided portion of District Lot 193 starting at the upset price, i.e., the amount of taxes unpaid and going up to a maximum of $100,000, said sum to be charged to Sundry Land Acquisitions; Bylaw 5259.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evidence is a memorandum dated August 15, 1980 from Mr. Williams to R.E. Plunkett, the District's Director of Development, titled "Unsubdivided Portion of District Lot 193 -- Proposed District Bid and Tax Sale". The memorandum quoted the motion passed at the Policy and Planning Committee meeting. Mr. Williams stated that the District wished to designate an individual to bid on the District's behalf: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whose appearance at the tax sale auction would be unobtrusive, who is not well known to those normally attending such auctions, and who is not readily identified with the District of North Vancouver. Furthermore, the person should be reliable, and capable of maintaining total confidentiality. He/she should understand that the need to bid would only arise in the event that a private bid was made at the tax sale, as otherwise the property would be deemed to be sold to the District in any event, pursuant to section 461 of the Municipal Act. This would be more advantageous in that no funds would then have to be transferred to the Minister of Finance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Williams advised that he had discussed the matter with the municipal solicitor and that on his recommendation the District would nominate an articling student with the solicitor's firm, who was also a professional engineer with municipal experience with the City of Vancouver. Further information was provided about the method for payment in the event that the District was required to bid for the property, and the requirements for a power of attorney, as well as the fees to be paid to the nominee's law firm. The memorandum concluded with a recommendation that the District nominate the articled student, execute a power of attorney in his favour, and authorize him to bid up to $100,000 for the purchase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On September 17, 1980, the District published a notice of tax sale in the </w:t>
      </w:r>
      <w:r>
        <w:rPr>
          <w:rFonts w:ascii="arial" w:eastAsia="arial" w:hAnsi="arial" w:cs="arial"/>
          <w:i/>
          <w:color w:val="000000"/>
          <w:sz w:val="20"/>
          <w:lang w:val="en-US" w:eastAsia="en-US" w:bidi="ar-SA"/>
        </w:rPr>
        <w:t>North Shore News</w:t>
      </w:r>
      <w:r>
        <w:rPr>
          <w:rFonts w:ascii="arial" w:eastAsia="arial" w:hAnsi="arial" w:cs="arial"/>
          <w:color w:val="000000"/>
          <w:sz w:val="20"/>
          <w:lang w:val="en-US" w:eastAsia="en-US" w:bidi="ar-SA"/>
        </w:rPr>
        <w:t xml:space="preserve"> giving notice of several properties that would be offered for sale, including the Remainder of District Lot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the tax sale, the District acquired the Remainder of District Lot 193. A notice was sent to the District Registrar of Land Titles on October 1, 1980 informing the Registrar of the District's acquisition of the land. Plan 19016 was deposited in the Land Title Office on October 21, 1981 showing the strip of land acquired by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is no correspondence in evidence between the Tinaburris and the District between December 20, 1976 and May 17, 1989 and no record of any communication other than Mr. Williams' Memorandum to File dated February 13,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infer from the contents of Mrs. Tinaburri's affidavit sworn October 31, 2012 that the 1980 Notice of Tax Sale did not come to her attention in 1980, and that so far as she is aware, it did not come to her husband's attention at that time either. She has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discovered many years later that in or about 1980, the said Riverfront Land was sold to the District at a tax sale. (paragraph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Mrs. Tinaburri has also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early 1980's a number of District staff, including Mr. Williams, came on the land and at all times asserted that the District owned the land... (paragraph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From this I infer that the Tinaburris knew in the early 1980s that the District was asserting ownership over the Remainder of District Lot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Mrs. Tinaburri has deposed that on one of Mr. Williams' visits, he told her that the land would be used for park purposes. She has deposed that "in or about 1985" Mr. Williams told her that the District was considering renting the land for camping use for tourists visiting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No further documents authored by or addressed to Mr. Williams are in evidence. There is no evidence about when Mr. Williams retired or left the employ of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May 17, 1989, Mr. Tinaburri again wrote to the District stating that he would like to purchase part of the land located between his property and the Seymour River "...as we wish to add to the existing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Rimmer, at that time the District's Deputy Land Agent, replied by letter dated May 24, 1989, advising that the request to purchase the land was receiving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Baxter, the District's Acting Deputy Land Agent, wrote to Mr. Tinaburri on August 8, 1989 stating that his request to purchase the land had been circulated to District departments but as the District's plan was to eventually develop the land for a riverfront walkway, it was not available for sale. Mr. Baxter proposed an alternative solution - that Mr. Tinaburri rent the land under a "Licence to Occupy", leaving sufficient width for pedestrian access. Mr. Tinaburri was asked to advise Mr. Baxter if he wished to pursue this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From this I infer that by August 1989, the Tinaburris knew that the District did not intend to sell the land to the Tinaburris.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Tinaburri wrote to Mr. Baxter on September 28, 1989 indicating that he wanted only part of the land to build an addition to an existing warehouse and could leave at least 25 feet along the river for the riverfront walkway.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Baxter replied that the Parks and Recreation Master Plan would be reviewed by the Planning Department; that the process would take six to twelve months, and that until the review was complete, the District could not consider disposing of any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Tinaburri wrote to Mr. Baxter again on September 24, 1991 reminding him that the Tinaburris were still interested in buying the land. On June 8, 1993, Mr. Tinaburri wrote to the Mayor and Council of the District reiterating his desire to purchase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Sometime prior to July 17, 1996, the Tinaburris and Falesca Importing Ltd., hired Mr. G.H. Horner of Horner Developments to represent them in negotiations with the District for the acquisition of the land. Mr. Horner wrote to Mr. Doug Allen, a Senior Development Planner with the District, on July 17, 1996 about the Tinaburris' desire to expand their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behalf of the Tinaburris, Mr. Horner hired surveyors Matson, Peck and Topliss; and lawyer Annette Dueck to research the matter and provide advice. On behalf of the Tinaburris, Mr. Horner wrote to Mr. Howie, the District's Municipal Manager at the time, on June 16, 1997. In his letter Mr. Horner stated that historical research had been done, including reference to the 1980 tax sale and the District's 1981 title application, following which a meeting had been held with the Deputy Registrar of Land Titles, Mr. Jim Small. Mr. Horner stated that Mr. Small was inclined to place a "Caveat" on the District's title, while Mr. Horner explored negotiations with the District. In an enclosed document, Mr. Horner provided a history of the correspondence between the Tinaburris and the District. He specifically referred to Mr. Tinaburri's December 20, 1976 letter asking to purchase the land; and Mr. Williams' January 18, 1977 reply in which he stated that Mr. Tinaburri's request would be borne in mind. He also asserted that Mr. Tinaburri had not been advised (at the time) of the District's actions in having the land added to the tax roll; sold for unpaid taxes; and the District's application for title in October 1981.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Horner summarized the Tinaburris' position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respectfully suggested that the right of our client and other east bank landowners to acquire title to their respective foreshore area from the Crown Provincial has been thwarted/preempted by the District of North Vancouver's unilateral and questionable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From this letter it can be seen that by 1997, 13 years before the Tinaburris commenced this lawsuit, the Tinaburris knew that the District had acquired title to the land through a tax sale and that there was an argument to be made that title to the land in issue had never passed to the original grantees under the Crown grant, but had remained Crown land. The Tinaburris had also formed the opinion that the District's actions in acquiring title through the tax sale had been "unilateral" and "questionable" and had "thwarted" the Tinaburris' "right" to acquire title to the Remainder of District Lot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response to the Tinaburris' allegations, the District asked lawyer Sandra Carter of the law firm of Bull Housser &amp; Tupper for advice. On September 2, 1997 Ms. Carter wrote to the District. She disagreed with the position asserted by Mr. Horner on behalf of the Tinaburris. Her opinion was that the Remainder of District Lot 193 had not vested in the Crown; that the law of accretion did not apply to the situation because the original grantees under the Crown grant had retained legal title to the land at all material times; and that Mr. Tinaburri "...does not appear to have a valid claim to the unsubdivided portion of District Lot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Howie wrote to Mr. Horner on September 23, 1997, referring to the legal opinion the District had obtained and stating the District's position that its title was valid and that there had been no procedural irregularities in the District's acquisition of the Remainder of District Lot 193. Mr. Howie offered to enter into discussions with the Tinaburris about a licence to occupy part of the lands, or a sale of a portion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Horner pursued the matter with the Deputy Registrar of Land Titles and the Surveyor General of the Province of British Columbia and discussions continued in 1998 and 1999. On November 3, 1999, Mr. Small, the Deputy Registrar of Land Titles wrote to the District, Mr. Horner, and the Tinaburris, indicating his opinion that the District's title was invalid and that the Remainder of District Lot 193 was Crown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Thus, by 1999, the Tinaburris knew that the Deputy Registrar of Land Titles shared their view that the District's title was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District again sought legal advice from lawyer Sandra Carter. She affirmed her earlier opinion that title to the Remainder of District Lot 193 had been conveyed to the original Crown grantees as part of the original Crown grant and that the District had good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January 11, 2000, Mr. Chuck Salmon, the Province's Surveyor General, wrote to Mr. Horner stating his conclusion that the Remainder of District Lot 193 was and always had been Crown land and had not been conveyed to the original holders of the Crown grant (and therefore title could not have passed to the District by way of the tax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Thus, by 2000, the Tinaburris knew that the Province's Surveyor General shared their view that the District's title was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District and the Province continued to debate the matter. However, on January 24, 2002 the Province's Surveyor General wrote to the District stating that the Province wished to have title to the Remainder of District Lot 193 transferred back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An exchange of e-mails between Mr. Ralph Turner, a surveyor then representing Mr. and Mrs. Tinaburri, and the Surveyor General that took place on April 18, and 19, 2002 indicates that Mr. Turner was aware that the District had been asked to surrender the land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On January 8, 2003, Rick Hargraves, the then Surveyor General for the Province of British Columbia, wrote to the District. He asserted that the original Crown grant did not include the bed of the Seymour River; that the matter had been settled by the retroactive provisions of section 55 of the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and that the Remainder of District Lot 193 was Crown land. Mr. Hargraves asserted that in taking title to the lands the District had acted with a misunderstanding of its legal rights and had acquired title "without lawful entitlement". The District was asked to apply to the Registrar of Land Titles to return the Remainder of District Lot 193 to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Turner, on behalf of the Tinaburris, wrote to Mr. Hargraves on April 2, 2003, indicating that the Tinaburris were anxious to learn the District's decision about the disposition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May 9, 2003, the District informed Mr. Hargraves that a motion had been passed by District Council authorizing the return of the land to the Crown. Title was registered in the Crown on September 16, 2003. Almost immediately the Crown transferred the land to the Tinaburris. The Tinaburris' application for registration was filed September 26, 2003 and title was registered in their names on October 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Horner wrote to Mayor Bell of the District in November 2003 stating that the Tinaburris wanted the District to waive the usual development/building approvals process and to issue a building permit based on the District's 1976 building bylaw requirements. On behalf of the Tinaburris, Mr. Horner met with District officials on various occasions between November 2003 and May 2005. One of these meetings took place on January 28, 2004. Following that meeting, on February 4, 2004, Mr. Horner, on behalf of the Tinaburris, wrote to James Ridge, then the Chief Administrative Officer for the District, confirming that the District's position was that the District did not have the authority or power to issue a building permit based on 1976 requirements. The District was asked to confirm this position in writing and on February 5, 2004, Mr. Ridge wrote to Mr. Horner confirming that the District could not issue a building permit to the Tinaburris based on 1976 building bylaw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According to Mrs. Tinaburri's affidavit, on June 25, 2004, the Tinaburris sold their entire parcel of land, including the land I have referred to as the Remainder of District Lot 193, to a company called GGDT Holdings Ltd. In her affidavit Mrs. Tinaburri has deposed that GGDT Holdings Ltd. is a company whose shares were owned by Guido Tinaburri and the Tinaburri children. However, a September 30, 2005 letter from the solicitors for GGDT Holdings Inc. is attached as an exhibit to Mrs. Tinaburri's affidavit. It states that all of the shares of GGDT Holdings were owned by Guido Tinaburri and Joanna Tinaburri.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stated earlier, this action was commenced on April 8, 2010. In the Amended Notice of Civil Claim, the Plaintiffs allege that the District wrongfully took possession of the Remainder of District Lot 193 and wrongfully remained in possession of the lands until 2003. In the alternative, the Plaintiffs allege that the District trespassed on the land to which Mr. and Mrs. Tinaburri were legally entitled between the years 1972 and 2003. In the further alternative, the Plaintiffs allege that the District fraudulently misled Mr. and Mrs. Tinaburri as to the status of the subject land and wrongfully appropriated the land. The Plaintiffs allege that they have suffered damages as a result of the fraud, deceit and/or wrongful taking of the land by the District, including the expense of establishing title to the land, additional storage costs incurred in storing goods for use by Falesca Importing Ltd.; additional costs of construction; and the loss of developable warehouse floor area due to the need to comply with current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August 22, 2011, counsel for the District wrote to counsel for the Plaintiffs stating, among other things, that the plaintiff Guido Tinaburri should be removed as a party as he is deceased and that the Notice of Claim discloses no interest in the action on the part of Falesca Importing Ltd. She offered to provide Plaintiffs' counsel with an opportunity to amend the Notice of Civil Claim to address those matters. Counsel for the Plaintiffs replied on September 12, 2011. In relation to the status of Guido Tinaburri as plaintiff he said "...the appropriate modifications will be applied shortly". He maintained that Falesca Importing Ltd. "...has standing in the aforementioned matter" but did not elaborate on the nature of any cause of action available to Falesca Importing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November 2011, counsel for the District attempted to locate Mr. Geoff Williams, who held the title of "Land Agent" for the District, according to the affidavit evidence and documents in evidence until the early 1980s. In the written submissions filed by the Plaintiffs, the Plaintiffs allege that Mr. Williams was the District's Land Agent in the 1960s as well; specifically that he was the District's Land Agent as early as 1961. I understand the position of "Land Agent" to be a senior position in a municipality and I therefore infer that if Mr. Williams is still living, he is quite elderly. In November 2011, Ms. Bradley was able to locate a telephone number for Mr. Williams by searching a local telephone directory and she spoke to him by telephone. According to a letter sent to counsel for the Plaintiffs on October 31, 2011, Mr. Williams indicated to counsel for the Defendant that he "...does not recall this matter". After receiving the Plaintiffs' Notice of Cross-Application filed on November 5, 2012, Ms. Bradley attempted to contact Mr. Williams again. His telephone number was no longer in service and Ms. Bradley was unable to locate Mr.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an affidavit sworn November 7, 2012, Richard Parr, the District's municipal solicitor has deposed that Messrs. Welsh, Williams, Rimmer, Howie and Sigston no longer work for the District. Mr. Emerson is deceased. I noted earlier that Richard Sugden, the lawyer who represented Mr. and Mrs. Tinaburri in 1976, is also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THE COURT ADJOURN THE SUMMARY TRIAL APPLICATION OF THE DEFENDANT UNTIL THE PLAINTIFFS HAVE HAD AN EXAMINATION FOR DISCOVERY OF GEOFF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Although their argument was not specifically framed in this way, the Plaintiffs submitted, in essence, that it would be unjust to decide the issues raised by the Defendant's summary judgment/trial application before or until the Plaintiffs have an opportunity to conduct an examination for discovery of Geoff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Mrs. Tinaburri has deposed to her belief that Mr. Williams "... at least since 1966 ..." knew or ought to have known that the Remainder of District Lot 193 was "accretion" and that the title "... vested in the riparian owners, including the Tinaburris"; that Mr. Williams "... purposely withheld releasing information regarding the said accretion ..." and that Mr. Williams "... acted as (if) he was not aware of the issue of accretion and riparian rights, when in fact he was aware of this fact at least as early as 1961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Mrs. Tinaburri has not specified any source for her belief, except by reference in general to the documents attached to her affidavit. As noted earlier, those documents include letters of legal advice provided to the District by the District's municipal solicitor to the effect that the title to the land remained vested in the original grantees under the original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 submits that it should be entitled to designate a knowledgeable representative of the District to be examined; and that it cannot, in any event, produce Geoff Williams for examination as the District's counsel has been unable to locate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no evidence that the Plaintiffs or their counsel have taken any direct steps to attempt to locate Mr. Williams or that he can in fact be located. In any event, I am not persuaded that the District should be compelled to produce Mr. Williams as its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events in issue in this lawsuit span a considerable period of time, with involvement on the part of numerous employees and agents of the District. Given the long passage of time (about which I shall have more to say later in these Reasons) it is unlikely that any one employee would have knowledge of all of those events. Based on Ms. Bradley's telephone conversation with Mr. Williams in November 2011, he had no memory of the matters in issue. I may infer that Mr. Williams was then quite elderly as there are indications he was already a senior employee of the District in 1961.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probable that any representative of the District produced for examination for discovery will have to inform him or herself by reference to the historical documents. A current employee of the District is likely to have better access both to the relevant documents; and to other employees of the District who may need to be consulted in order to respond to questions posed by counsel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any event, the application of the Defendant rests primarily on the assertion that all of the Plaintiffs' claims are barred by the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Plaintiffs do not concede that all of their claims were brought outside time; but the essence of their response is that their claims were postponed because between 2003 and 2006 they were attempting to negotiate with the District for a building permit based on the District's 1976 building bylaw. On this issue, Mr. Williams could provide no assistance at all as there is no suggestion (or evidence) that he had any involvement at that time. In any event, the issue of postponement will turn on what the Tinaburris knew, thought or decided and Mr. Williams could have nothing relevant to say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Plaintiffs' applications to adjourn the summary trial and to order the Defendant to produce Geoff Williams for examination for discovery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ARE THE PLAINTIFFS' CLAIMS BARRED BY SUB-SECTIONS 3(2) AND 3(6) OF THE </w:t>
      </w:r>
      <w:r>
        <w:rPr>
          <w:rFonts w:ascii="arial" w:eastAsia="arial" w:hAnsi="arial" w:cs="arial"/>
          <w:b/>
          <w:i/>
          <w:color w:val="000000"/>
          <w:sz w:val="20"/>
          <w:lang w:val="en-US" w:eastAsia="en-US" w:bidi="ar-SA"/>
        </w:rPr>
        <w:t>LIMITATION ACT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It is difficult to discern, from a reading of the Amended Notice of Civil Claim alone, the precise legal nature of all of the causes of action being asserted by the Plaintiffs. In the materials filed by the Plaintiffs in response to the Defendant's summary trial application, however, it appears that the Plaintiffs are alleging fraud, deceit, fraudulent misrepresentation, negligent misrepresentation, trespass, conversion, intentional interference with economic interest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Paragraph 25 of the Amended Notice of Civil Claim is an allegation of breach of fiduciary duty. That paragraph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the Defendant breached its fiduciary duty in that it was privileged to specific information and knowledge and owed the Plaintiffs a duty of care not to use such information contrary to the intention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To the extent that I understand the allegation in paragraph 25, I understand it to be a reference either to the actions of the Defendant in purchasing the Remainder of District Lot 193 at the tax sale in 1980 (some 20 years before this action was commenced). In the alternative, it may be a reference to the matters referred to in paragraphs 30 and 31 of Mrs. Tinaburris' October 31, 2012 affidavit, in which she deposes: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verily believe that Williams, at least since 1966, knew or ought to have known that the new bed of the Seymour River and the said Riverfront Land was accretion, and its title is vested in the riparian owners, including the Tinaburris.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verily believe that, in all material times, Williams purposely withheld releasing information regarding the said accretion, and kept Guido and I in the dark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From the submissions made by Plaintiffs' counsel, I understand that the background to these paragraphs is an allegation that Geoff Williams or other District employees who dealt with the Tinaburris knew of a court decision cited as </w:t>
      </w:r>
      <w:r>
        <w:rPr>
          <w:rFonts w:ascii="arial" w:eastAsia="arial" w:hAnsi="arial" w:cs="arial"/>
          <w:i/>
          <w:color w:val="000000"/>
          <w:sz w:val="20"/>
          <w:lang w:val="en-US" w:eastAsia="en-US" w:bidi="ar-SA"/>
        </w:rPr>
        <w:t>Wolfe v. British Columbia Electric Railway Co. Ltd.</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[1949] B.C.J. No. 90</w:t>
        </w:r>
      </w:hyperlink>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[1949] 3 D.L.R. 319</w:t>
        </w:r>
      </w:hyperlink>
      <w:r>
        <w:rPr>
          <w:rFonts w:ascii="arial" w:eastAsia="arial" w:hAnsi="arial" w:cs="arial"/>
          <w:color w:val="000000"/>
          <w:sz w:val="20"/>
          <w:lang w:val="en-US" w:eastAsia="en-US" w:bidi="ar-SA"/>
        </w:rPr>
        <w:t>. If so, then the alleged breach of fiduciary duty must have occurred at least as early as 1976 when Mr. Sugden began communicating with Mr. Williams and others at the District and first asserted that the Tinaburris had an entitlement to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Paragraph 25 of the Amended Notice of Civil Claim does not, in my view, refer to any refusal by the Defendant to issue a building permit to the Plaintiffs. Whether the alleged breach of fiduciary duty occurred in the 1960s or in the 1970s, the Plaintiffs' claim is barred by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Mrs. Tinaburri has deposed that she and her late husband did not know about the tax sale when it took place in 1980. I note however, that in the Plaintiffs' Written Submissions (the first set - two sets of supplemental submissions were also filed), at paragraph 22,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Nevertheless, in or about 1980, the Tinaburris realized that the said Riverfront Land was sold to the District at a tax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This appears to be an admission that the Tinaburris did know, "... in or about 1980" that the District had acquired title to the land at a tax sale. If the Tinaburris did not learn of the tax sale in 1980 they were nevertheless well aware that the District was asserting ownership of the land "... during the early 1980s". Mrs. Tinaburri has deposed that in the early 1980s District employees, including Mr. Williams, told her that the District owned the land and told her about plans that the District had for the use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At the time this action was commenced and the Defendant's motion heard the relevant statute was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R.S.B.C. 1976, c. 266. That Act was repealed by S.C.B. 2012, c.13 and replaced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I am of the view, however, that the 1976 Act continues to apply, by virtue of Section 30 of the 2012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Section 3(2)(a) and (b) of the 1976 Act provided: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damages in respect of injury to person or property, including economic loss arising from the injury, whether based on contract, tort or statutory duty;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trespass to property not included in paragraph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Section 3(5)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Plaintiffs submit that their action was brought prior to the expiration of the applicable two-year or six-year limitation periods; but that in the event they are wrong; then the running of time was postponed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did not file a Reply to the District's Response to Civil Claim and have not specifically pleaded postponement or the grounds on which they claim postponement. However, in submissions Plaintiffs' counsel argued that the Plaintiffs can rely on subsection 6(3), 6(4) and 6(5) of the 1976 Act,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(3) The running of time with respect to the limitation periods set by this Act for any of the following actions is postponed as provided in subsection (4):</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brought under the Family Compensation Act;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(4) 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case, as the case may require,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duty caused injury, damage or loss to the plaintiff or claimant,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question arises about the knowledge or means of knowledge or a deceased person, the court may have regard to the conduct and statements of the deceased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Plaintiffs' First Supplemental Submission, the Plaintiffs concede, in paragraph 10, that they had "... realized about the fraudulent and negligent conduct of the District and its agents in 2003 ..." The Plaintiffs submit, however, it was not until the end of 2006 that they realized they were unable to obtain a building permit based upon the requirements of the District's 1976 bylaws, and it was the end of 2006 when: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the first time the Plaintiffs became aware of the consequences and implication of the fraudulent conduct of the District and its agents and employees, when their building permit application was refused, and the negotiation between the Plaintiffs and the District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note here that the District's refusal to waive the requirements of the 2004 building bylaw and refusal to permit the Tinaburris to build in accordance with the 1976 building bylaw is not alleged to be a wrongful or actionable act, so no argument can be made that the limitation period did not begin to run until the denial took place. As I understand it, the Tinaburris simply rely on the District's refusal to waive the bylaw requirements as relevant to the issue of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 submits any damages the Plaintiffs allege they sustained were sustained, if at all, as early as 1976 but in any event, no later than September 16, 2003 when the District returned the Remainder of District Lot 193 to the Crown and September 26, 2003 when the Crown transferred title to the Tinaburris.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Defendant also contends that the Plaintiffs received legal advice about their rights in relation to the Remainder of District Lot 193 in1976. In March 1976, the Tinaburris' lawyer, Richard Sugden, wrote to the District on behalf of the Tinaburris. In his letter he stated that the Tinaburris had earlier applied under the </w:t>
      </w:r>
      <w:r>
        <w:rPr>
          <w:rFonts w:ascii="arial" w:eastAsia="arial" w:hAnsi="arial" w:cs="arial"/>
          <w:i/>
          <w:color w:val="000000"/>
          <w:sz w:val="20"/>
          <w:lang w:val="en-US" w:eastAsia="en-US" w:bidi="ar-SA"/>
        </w:rPr>
        <w:t>Quieting Titles Act</w:t>
      </w:r>
      <w:r>
        <w:rPr>
          <w:rFonts w:ascii="arial" w:eastAsia="arial" w:hAnsi="arial" w:cs="arial"/>
          <w:color w:val="000000"/>
          <w:sz w:val="20"/>
          <w:lang w:val="en-US" w:eastAsia="en-US" w:bidi="ar-SA"/>
        </w:rPr>
        <w:t xml:space="preserve"> to add the subject land to their existing property. In other words, the Tinaburris had asserted that the land in question belonged to them as an "accretion".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District's written submissions, counsel for the District has done a detailed analysis of each cause of action pleaded by the Plaintiffs (and those causes of action not pleaded but which could possibly arise out of the facts alleged) and when time began to run in respect of each cause of action. I do not propose to relate those submissions in detail here, because I am of the view that all limitation periods began to run no later than 1997 when the Tinaburris, with the assistance and professional advice of Mr. Horner, and following consultation with the Deputy Registrar of Land Titles, knew:</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strong argument to be made that title to the Remainder of District Lot 193 had never passed to the grantees under the original Crown grant and therefore should not have been sold for taxes unpaid by the grantees,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District had purported to acquire title to the land through a tax sale in 1980.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District's title was invalid and the land remained Crown land,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 belonged to the Tinaburris as an accretion.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If I am wrong in my conclusion, then I am nevertheless satisfied that the latest date on which time began to run was September 26, 2003 - the date on which the Tinaburris deposited Plan 7543 in the Land Registry, which had the effect of consolidating the Remainder of District Lot 193 with the Tinaburris' own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Those causes of action subject to a two-year limitation period expired, therefore, in September 2005 at the latest; and any causes of action subject to a six-year limitation period expired in September 2009 at the latest.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their written submissions, the Plaintiffs submitted that there were material facts that were not discovered until Plaintiffs' counsel submitted a Freedom of Information request resulting in the disclosure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interoffice memoranda and correspondence revealing the (District) took possession of the accreted property on the basis of false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am not entirely sure what is mean by "false knowledge", but in any event, no material facts were identified that were revealed by the documents obtained that were not already in the Plaintiffs' knowledge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Plaintiffs have also submitted that they did not commence an action in 1997 or in 2003 because they wanted to negotiate with the District to purchase the land (after 1997) or to obtain a waiver of the current building bylaws (in 2004). The Supreme Court of Canada pointed out in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[1999] S.C.J. No. 26</w:t>
        </w:r>
      </w:hyperlink>
      <w:r>
        <w:rPr>
          <w:rFonts w:ascii="arial" w:eastAsia="arial" w:hAnsi="arial" w:cs="arial"/>
          <w:color w:val="000000"/>
          <w:sz w:val="20"/>
          <w:lang w:val="en-US" w:eastAsia="en-US" w:bidi="ar-SA"/>
        </w:rPr>
        <w:t>, that tactical considerations do not operate to postpone the running of the limitation period. At paragraph 39 of that case, Justice McLachlin, as she then was, writing for the majority, summarized the proper interpretation of s. 6(4)(b)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6(5)(b)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could, acting reasonably in light of his or her own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concerns have no place in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my view, a deliberate decision to delay bringing an action to pursue alternative strategies, including negotiations for a waiver, is a "tactical" decision that cannot have the effect of postponing the running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any event, I am satisfied that by January 28, 2004 at the latest, the District had made it clear to the Tinaburris and their agent, Mr. Horner, that the District could not (and would not) issue a building permit to the Tinaburris based on 1976 building bylaw requirements. This was confirmed, at the request of the Tinaburris, in a letter sent by the District to Mr. Horner on February 5, 2004. No "postponement" could reasonably have occurred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Although caution must be exercised in dismissing an action on a summary basis because of the expiry of a limitation period, where an action has clearly been commenced out of time, dismissal pursuant to Rule 9-6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Sime v. Jupp</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[2009] B.C.J. No. 1690</w:t>
        </w:r>
      </w:hyperlink>
      <w:r>
        <w:rPr>
          <w:rFonts w:ascii="arial" w:eastAsia="arial" w:hAnsi="arial" w:cs="arial"/>
          <w:color w:val="000000"/>
          <w:sz w:val="20"/>
          <w:lang w:val="en-US" w:eastAsia="en-US" w:bidi="ar-SA"/>
        </w:rPr>
        <w:t xml:space="preserve">, the defendants applied to dismiss or strike the plaintiff's claims on the grounds that they were statute-barred. The application was brought pursuant to what was then Rule 18(6) - the "summary judgment" rule, rather than what was then Rule 18A - the "summary trial" rule. They also argued (in the case of some of the allegations) that the pleadings disclosed no reasonable claim. Justice Powers referred to </w:t>
      </w:r>
      <w:r>
        <w:rPr>
          <w:rFonts w:ascii="arial" w:eastAsia="arial" w:hAnsi="arial" w:cs="arial"/>
          <w:i/>
          <w:color w:val="000000"/>
          <w:sz w:val="20"/>
          <w:lang w:val="en-US" w:eastAsia="en-US" w:bidi="ar-SA"/>
        </w:rPr>
        <w:t>Vedco Industries Ltd. v. Volco Enterprises Ltd.</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(1996), 85 B.C.A.C. 208</w:t>
        </w:r>
      </w:hyperlink>
      <w:r>
        <w:rPr>
          <w:rFonts w:ascii="arial" w:eastAsia="arial" w:hAnsi="arial" w:cs="arial"/>
          <w:color w:val="000000"/>
          <w:sz w:val="20"/>
          <w:lang w:val="en-US" w:eastAsia="en-US" w:bidi="ar-SA"/>
        </w:rPr>
        <w:t xml:space="preserve">, as authority for the proposition that if there are real issues concerning postponement of a limitation period under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 defendant will not generally succeed on a Rule 18(6)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Heckendorn v. Canada (Revenue Agency)</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[2009] B.C.J. No. 1406</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2009 BCSC 952</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2009 D.T.C. 5154</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[2009] 6 C.T.C. 171</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180 A.C.W.S. (3d) 664</w:t>
        </w:r>
      </w:hyperlink>
      <w:r>
        <w:rPr>
          <w:rFonts w:ascii="arial" w:eastAsia="arial" w:hAnsi="arial" w:cs="arial"/>
          <w:color w:val="000000"/>
          <w:sz w:val="20"/>
          <w:lang w:val="en-US" w:eastAsia="en-US" w:bidi="ar-SA"/>
        </w:rPr>
        <w:t>, Justice Meiklem dismissed claims of the plaintiff where he was satisfied that it was "... plain and obvious that the plaintiff does not have a triable issue in respect of the postponement of the running of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this case, I conclude it is plain and obvious that the Plaintiffs' claims are barred by the provisions of the Limitation Act and that the Plaintiffs have not and cannot establish a postponement of their claims. I therefore dismiss all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IS THE ACTION BARRED BY SECTIONS 285 AND 286 OF THE </w:t>
      </w:r>
      <w:r>
        <w:rPr>
          <w:rFonts w:ascii="arial" w:eastAsia="arial" w:hAnsi="arial" w:cs="arial"/>
          <w:b/>
          <w:i/>
          <w:color w:val="000000"/>
          <w:sz w:val="20"/>
          <w:lang w:val="en-US" w:eastAsia="en-US" w:bidi="ar-SA"/>
        </w:rPr>
        <w:t>LOCAL GOVERNMENT ACT</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R.S.B.C. 1996, c. 323</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Although in light of my earlier conclusion it is not strictly necessary to do so, I have also considered whether the Plaintiffs' claims are barred by the provisions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District is a municipal corporation continued under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Sections 285 and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285 All actions against a municipality for the unlawful doing of anything that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purported to have been done by the municipality under the powers conferred by an Act, and</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might have been lawfully done by the municipality if acting in the manner established by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be commenced within 6 months after the cause of action first arose, or within a further period designated by the council in a particular case, but not afterwards.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286(1) A municipality is in no case liable for damages unless notice in writing, setting out the time, place and manner in which the damage has been sustained, is delivered to the municipality within two months from the date on which the damage was sustained.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 of the death of a person injured, the failure to give notice required by this section is not a bar to the maintenance of the action.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give the notice or its insufficiency is not a bar to the maintenance of an action is the court before whom it is tried, or, in case of appeal, the Court of Appeal, believes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reasonable excuse,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been prejudiced in its defence by the failure or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am satisfied that the Plaintiffs have failed to comply with the provisions of sections 285 and 286; that there is no reasonable excuse for the failure to provide notice; and that the District has been prejudiced in its defence by the failure of the Plaintiffs to give notice within the time frames specified in the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I have already dealt with the various dates on which relevant facts and knowledge of the alleged cause of action and alleged damages came to the attention of the Plaintiffs, I shall confine my analysis here to the issue of whether s. 286(3) relieves the Plaintiffs of the consequences of a failure to give notice. In this case, the Plaintiffs have not satisfied the court that there was a reasonable excuse for the failure to give notice. The Plaintiffs had the benefit of legal advice about their position in 1976; and then the benefit of professional advice from Mr. Horner from at least 1996 until at least 2004. The only excuse given by the Tinaburris for failing to give notice in 2003, after having obtained title to the Remainder of District Lot 193, was a desire to attempt to persuade the District to grant a building permit based on the 1976 building bylaws. The Tinaburris knew, by January 2004, that this would not happen. No excuse has been given for any subsequent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am satisfied that the Defendant has been prejudiced in its defence by the failure of the Tinaburris to give notice. As noted earlier, many of the former employees of the District who might be expected to have some knowledge of this matter have retired; some are elderly; at least one is deceased. While the death of Guido Tinaburri likely prejudices the Plaintiffs to a greater extent than it does the Defendant, the Defendant is unable to conduct an examination for discovery of Mr. Tinaburri and therefore prejudiced in that way also. Richard Sugden, who provided legal advice to the Tinaburris and represented them in 1976, is also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conclude, therefore, that this action is also barred by the provisions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If necessary to do so, I would have made the following orders. No cause of action is pleaded on behalf of the Plaintiff Falesca Importing Ltd. and therefore the name of that Plaintiff must be struck from the Style of Cause. There is no allegation that Falesca Importing Ltd. had any right, title or interest in the Remainder of District Lot 193; or that Falesca Importing Ltd. had any dealings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name of the Plaintiff Guido Tinaburri must also be struck from the Style of Cause. Mr. Tinaburri was deceased when the action was commenced. The deficiency was pleaded in the Response to Civil Claim; raised repeatedly in correspondence between counsel for the parties; raised specifically in the Defendant's Notice of Application; and canvassed during the hearing. No application was made to amend the Style of Cause to substitute Mr. Tinaburri's Estate, or the Executor of his Estate, as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am aware of no reason that the Defendant ought not to have its costs. However, if there are matters about costs that the parties wish to bring to the court's attention they may do so by filing written submissions about costs. The submissions should be filed on or before June 30,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Townsend v. Hull, [2001] I.L.R. para. M-1318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Catliff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November 1, 2000.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I.L.R. para. M-1318</w:t>
      </w:r>
    </w:p>
    <w:p>
      <w:pPr>
        <w:spacing w:before="120" w:line="260" w:lineRule="atLeast"/>
        <w:rPr>
          <w:lang w:val="en-US" w:eastAsia="en-US" w:bidi="ar-SA"/>
        </w:rPr>
      </w:pPr>
      <w:r>
        <w:rPr>
          <w:rFonts w:ascii="arial" w:eastAsia="arial" w:hAnsi="arial" w:cs="arial"/>
          <w:color w:val="000000"/>
          <w:sz w:val="20"/>
          <w:lang w:val="en-US" w:eastAsia="en-US" w:bidi="ar-SA"/>
        </w:rPr>
        <w:t>Townsend v. Hull</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6"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3" w:name="Keywords_3"/>
      <w:bookmarkEnd w:id="83"/>
      <w:r>
        <w:rPr>
          <w:rFonts w:ascii="arial" w:eastAsia="arial" w:hAnsi="arial" w:cs="arial"/>
          <w:b/>
          <w:color w:val="000000"/>
          <w:sz w:val="20"/>
          <w:lang w:val="en-US" w:eastAsia="en-US" w:bidi="ar-SA"/>
        </w:rPr>
        <w:t>Settlement — 19-year-old signed settlement for $10,000 for upper back soft-tissue injuries — Subsequent discovery of crushed vertebrae — Settlement upheld.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4" w:name="Case Summary_3"/>
            <w:bookmarkEnd w:id="84"/>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application to set aside a settlement. The plaintiff was injured when she was a passenger in a truck being driven by the defendant; both had been intoxicated and had not been wearing seat belts. The plaintiff complained of wrist, back, and knee pain after the accident. Her shoulder and back pain continued, and she underwent physiotherapy. X-rays were all negative. Six months after the accident, the plaintiff turned 19, and she signed a settlement for $10,000, plus an amount for lost income. The amount agreed to included a 30 per cent reduction for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riding with an intoxicated driver and failing to wear a seat belt. The plaintiff had returned to work although her injuries were not fully resolved. Subsequent to the signing of the settlement, it was discovered that the plaintiff had suffered crushed vertebrae, and she continued to suffer chronic upper back pain. </w:t>
            </w:r>
            <w:r>
              <w:rPr>
                <w:lang w:val="en-US" w:eastAsia="en-US" w:bidi="ar-SA"/>
              </w:rPr>
              <w:cr/>
            </w:r>
          </w:p>
          <w:p>
            <w:pPr>
              <w:spacing w:before="120" w:line="260" w:lineRule="atLeast"/>
              <w:ind w:left="240"/>
              <w:jc w:val="both"/>
              <w:rPr>
                <w:lang w:val="en-US" w:eastAsia="en-US" w:bidi="ar-SA"/>
              </w:rPr>
            </w:pPr>
            <w:bookmarkStart w:id="85" w:name="Holdings of Court_3"/>
            <w:bookmarkEnd w:id="85"/>
            <w:r>
              <w:rPr>
                <w:rFonts w:ascii="arial" w:eastAsia="arial" w:hAnsi="arial" w:cs="arial"/>
                <w:color w:val="000000"/>
                <w:sz w:val="20"/>
                <w:lang w:val="en-US" w:eastAsia="en-US" w:bidi="ar-SA"/>
              </w:rPr>
              <w:t>HELD: The application was denied.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had been determined to settle when she reached majority. She had not been unduly influenced by the insurance adjuster. There had been no evidence at the time of the settlement that she had suffered any type of fracture. The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reasonable. The settlement was not substantially unfair. A valid settlement could be made at a time when the plaintiff was not fully recovered from her injuries. Based on what the adjuster knew of the plaintiff's condition at the time, it was not unreasonable for him to have concluded a settlement; the cause of the plaintiff's continuing problems was not reasonably foreseeable at the date of the accident.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38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Urquhart v. Marshall, [2016] B.C.J. No. 2932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 Burke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20-21,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13-3884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2932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2616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C.L.R. (4th) 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3932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280 A.C.W.S. (3d) 508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Emmett Urquhart, Karen Urquhart and the Urquhart Family Trust, Plaintiffs, and Doug Marshall and Marshall &amp; Lamperson,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jc w:val="both"/>
        <w:rPr>
          <w:rFonts w:ascii="arial" w:eastAsia="arial" w:hAnsi="arial" w:cs="arial"/>
          <w:sz w:val="20"/>
          <w:lang w:val="en-US" w:eastAsia="en-US" w:bidi="ar-SA"/>
        </w:rPr>
      </w:pPr>
      <w:bookmarkStart w:id="86" w:name="Counsel_23"/>
      <w:bookmarkEnd w:id="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Aiyadurai.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 Arvisais.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7" w:name="Judgment_23"/>
      <w:bookmarkEnd w:id="87"/>
      <w:r>
        <w:pict>
          <v:line id="_x0000_s1109" style="position:absolute;z-index:2517391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8" w:name="E. BURKE J. (orally)"/>
            <w:bookmarkEnd w:id="88"/>
            <w:r>
              <w:rPr>
                <w:rFonts w:ascii="arial" w:eastAsia="arial" w:hAnsi="arial" w:cs="arial"/>
                <w:b/>
                <w:color w:val="000000"/>
                <w:sz w:val="30"/>
                <w:lang w:val="en-US" w:eastAsia="en-US" w:bidi="ar-SA"/>
              </w:rPr>
              <w:t>E. BURKE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a summary trial brought pursuant to Rule 9-7 of the Supreme Court Rules. I am prepared to deliver my oral ruling in this matter. In doing so I reserve the right to edit or add to it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in this case seek, pursuant to Rule 9-7(2), a determination on the sole issue of whether the defendants were negligent in failing to advise the plaintiffs regarding the holdback requirements in a construction contract. This "zero percentage" holdback term was inserted by the contractor, Victoria Traditional Homes Ltd., in the head construction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Two issues arise:</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should this court decide on a summary basis whether the defendants have breached the applicable standard of care?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if so, were the defendants negligent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arguing this matter may be dealt with by summary trial, the plaintiffs maintain the standard of care and skill of a lawyer is that of a reasonably competent and diligent solicitor as per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The duty is positive, arising from the nature of the relationship, and is not triggered only by a request from the person to whom it is owed as reflected in </w:t>
      </w:r>
      <w:r>
        <w:rPr>
          <w:rFonts w:ascii="arial" w:eastAsia="arial" w:hAnsi="arial" w:cs="arial"/>
          <w:i/>
          <w:color w:val="000000"/>
          <w:sz w:val="20"/>
          <w:lang w:val="en-US" w:eastAsia="en-US" w:bidi="ar-SA"/>
        </w:rPr>
        <w:t>Anakotta v. Perusini</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2004 BCSC 168</w:t>
        </w:r>
      </w:hyperlink>
      <w:r>
        <w:rPr>
          <w:rFonts w:ascii="arial" w:eastAsia="arial" w:hAnsi="arial" w:cs="arial"/>
          <w:color w:val="000000"/>
          <w:sz w:val="20"/>
          <w:lang w:val="en-US" w:eastAsia="en-US" w:bidi="ar-SA"/>
        </w:rPr>
        <w:t xml:space="preserve">. A judge may evaluate the standard of care without expert evidence provided the subject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within the knowledge of the judiciary as reflected in the case of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2015 BCSC 1848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say the point of law is basic in that it refers to well-known holdback provisions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 xml:space="preserve"> and the solicitor should have advised his clients of these holdbacks. The plaintiffs also say the facts upon which this matter can be determined are not in dispute. Insofar as they are, may be answered by the affidavits that are filed in this matter, including the affidavit containing the defendant's invoice, which is an admission of review of the contract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turn to the first issue, as to whether this matter is suitable for summary trial. As reflected in the 2014 decision from the Supreme Court of Canada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[2014] 1 S.C.R. 87</w:t>
        </w:r>
      </w:hyperlink>
      <w:r>
        <w:rPr>
          <w:rFonts w:ascii="arial" w:eastAsia="arial" w:hAnsi="arial" w:cs="arial"/>
          <w:color w:val="000000"/>
          <w:sz w:val="20"/>
          <w:lang w:val="en-US" w:eastAsia="en-US" w:bidi="ar-SA"/>
        </w:rPr>
        <w:t>, access to justice is a challenge to the rule of law and therefore proportional procedures tailored to the needs of a particular case should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Summary judgments provide such an opportunity and should be interpreted broadly, favouring proportionality and fair access to the affordable, timely, and just adjudication of claims. The plaintiffs also reference the court's ability to sever an issue to ensure the just, speedy, and inexpensive determination of a matter as referenced in </w:t>
      </w:r>
      <w:r>
        <w:rPr>
          <w:rFonts w:ascii="arial" w:eastAsia="arial" w:hAnsi="arial" w:cs="arial"/>
          <w:i/>
          <w:color w:val="000000"/>
          <w:sz w:val="20"/>
          <w:lang w:val="en-US" w:eastAsia="en-US" w:bidi="ar-SA"/>
        </w:rPr>
        <w:t>Kitsul v. Slater Vecchio LLP</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2015 BCSC 1394</w:t>
        </w:r>
      </w:hyperlink>
      <w:r>
        <w:rPr>
          <w:rFonts w:ascii="arial" w:eastAsia="arial" w:hAnsi="arial" w:cs="arial"/>
          <w:color w:val="000000"/>
          <w:sz w:val="20"/>
          <w:lang w:val="en-US" w:eastAsia="en-US" w:bidi="ar-SA"/>
        </w:rPr>
        <w:t xml:space="preserve"> and refer to </w:t>
      </w:r>
      <w:r>
        <w:rPr>
          <w:rFonts w:ascii="arial" w:eastAsia="arial" w:hAnsi="arial" w:cs="arial"/>
          <w:i/>
          <w:color w:val="000000"/>
          <w:sz w:val="20"/>
          <w:lang w:val="en-US" w:eastAsia="en-US" w:bidi="ar-SA"/>
        </w:rPr>
        <w:t>The Owners, Strata Plan BCS 1165 v. National Home Warranty Group Inc.</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2015 BCSC 1122</w:t>
        </w:r>
      </w:hyperlink>
      <w:r>
        <w:rPr>
          <w:rFonts w:ascii="arial" w:eastAsia="arial" w:hAnsi="arial" w:cs="arial"/>
          <w:color w:val="000000"/>
          <w:sz w:val="20"/>
          <w:lang w:val="en-US" w:eastAsia="en-US" w:bidi="ar-SA"/>
        </w:rPr>
        <w:t>. The latter sets out the factors to be considered in a summary trial in respect of only a portion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These factors are useful in determining whether a summary trial on the issue of whether the defendants breached the standard of care should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note at the outset the defendants have raised a number of arguments, including whether or not a breach of the standard of care is demonstrated, arguing this does not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liability, which requires causation and proof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To a great extent, I do not need to deal with these arguments, as the focus at this time is whether the plaintiff can persuade the court that it can find the facts necessary to decide the issues of fact and whether the law can be applied to those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am cognizant of proportionality and access to justice values that should be recognized in a litigation where the parties seek to have a simple matter dealt with. I conclude, however, much as it would satisfy the proportionality objectives, this matter is not suitable for determination on a summary trial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say this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First and most important, I conclude I cannot ascertain the facts with certainty to decide this matter. The advice sought from Mr. Marshall was provided some time after February 15, 2010. This advice is reflected by an invoice of February 24, 2010, provided by Mr. Marshall to the Urquharts, which includes review of the building contract materials and email communications concerning that review. The actual date of the contract is November 2009. It was, however, backdated as reflected in an email of February 15,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says the contract was not entered into until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advice sought and, in effect, only an agreement to agree was entered into in November 2009. This series of events, however, directly raises the issue of the reliance, or extent of reliance, on the defendant's advice which was given in February 2010. It is clearly a matter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also note it is not an obvious conclusion from paragraphs 9 and 10 referred to in Mr. Marshall's affidavit of May 30, 2016, that as argued by the plaintiff, he did not read the second version of the contract. Rather, it is just as likely that Mr. Marshall did not recall doing so as reflected in his affidavit filed some six years after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the amount involved is not overly large and the matter not complex, a review of the document itself directly raises a question of interpretation as to whether there was a need to advise of the holdback. The document referenced being subject to legislation and statutory regulations respecting a holdback percentage and noted the zero percent when such legislation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Furthermore, a question arises as to whether this was advice on the document alone or whether the advice was pertaining to the performance of that contract, including, as the defendants have noted, at the time of payouts and other future events. The defendants argue these events would have required separate advice, as the solicitor is not, by reviewing the contract alone, in effect, a guarantor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Finally, as argued by the defendants, a finding of the breach of standard of care in isolation of the full merits of the case, including whether or not a loss occurred; argued to be a real issue in this case, would be of significant consequence to the defendants and should not be made in isolation of whether that error was of any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view of all the above, the application to have this matter determined by summary trial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thank counsel for their helpful submissions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BURKE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7852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Vedan (Guardian ad litem of) v. Stevens, [2010] B.C.J. No. 2186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A.J. Beames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8, 2010; written submissions, October 1,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 and 21,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39025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2186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1581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756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2997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Inquala Dan Vedan, by his Guardian Ad Litem, Ned Edward Alexis, Plaintiff, and Alfred Peter Stevens, Defendant, and Joan Zabotel and Derrick Zabotel,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 paras.)</w:t>
      </w:r>
    </w:p>
    <w:p>
      <w:pPr>
        <w:jc w:val="both"/>
        <w:rPr>
          <w:rFonts w:ascii="arial" w:eastAsia="arial" w:hAnsi="arial" w:cs="arial"/>
          <w:sz w:val="20"/>
          <w:lang w:val="en-US" w:eastAsia="en-US" w:bidi="ar-SA"/>
        </w:rPr>
      </w:pPr>
      <w:bookmarkStart w:id="89" w:name="Counsel_24"/>
      <w:bookmarkEnd w:id="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K.R. Crosby.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D.W. Lahay.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R.M. Moffat.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24"/>
      <w:bookmarkEnd w:id="90"/>
      <w:r>
        <w:pict>
          <v:line id="_x0000_s1112" style="position:absolute;z-index:2517401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A.J. BEAMES J."/>
            <w:bookmarkEnd w:id="91"/>
            <w:r>
              <w:rPr>
                <w:rFonts w:ascii="arial" w:eastAsia="arial" w:hAnsi="arial" w:cs="arial"/>
                <w:b/>
                <w:color w:val="000000"/>
                <w:sz w:val="30"/>
                <w:lang w:val="en-US" w:eastAsia="en-US" w:bidi="ar-SA"/>
              </w:rPr>
              <w:t>A.J. BEAMES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15, 2010, I gave reasons following the five-day trial on liability in this action. I found the defendant was negligent and the plaintiff was contributorily negligent. I set the defendant's responsibility for the injuries suffered by the plaintiff at 75 percent and the plaintiff at 25 percent. I dismissed the defendant's third party proceedings. Counsel for the third party indicated that the third parties wished to apply for increased costs, and I directed written submissions on the issue of costs, which I have now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summary, the third parties seek special costs by way of 100 percent indemnity of the third parties' legal fees and disbursements. The defendant says that costs of the third party proceedings should be assessed on Scale B and that the plaintiff should be responsible for full or part payment of the third party costs, or in the alternative that any costs against the defendant should be without prejudice to the defendant's right to argue allocation of the third parties' costs to the plaintiff following a determination of the quantum trial, which has yet to be heard. The plaintiff takes no position with respect to the scale of costs sought and says that the third parties' costs should be paid by the defendant, who initiated the unsuccessful third party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third parties ground their application for special costs on the assertion that the defendant, by commencing the third party proceedings, conducted himself in a manner which was deserving of reproof or rebuke. They say that the defendant "egregiously commenced and continued prosecuting the third party claims to trial ... without ever having any significant factual foundation for the allegations in the pleadings ...". They also rely upon an offer to settle, made pursuant to then Rule 37, dated March 25, 2007 and delivered on May 25, 2007, in which they offered to settle the proceedings on the basis that the defendant would "consent to an order dismissing the third party proceedings ... as if tried upon the merit and dismissed by consent", and that the third parties would waive their claim for costs to the date of the offer to settle. Accompanying that offer was a letter from counsel for the third parties to counsel for the defendant advising that the third parties were impecunious, and that if the matter proceeded to trial and the third party proceeding was dismissed, the third parties would be seeking costs on a 100 percent indemnity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 do not intend to repeat my reasons following the liability trial. Suffice it to say that I did dismiss the claim against the third parties. I recognize, as submitted by the third parties, that some of the specific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against the third parties in the third party notice were at odds with the evidence of the defendant himself, in statements given to his insurer, in his examination for discovery, and at trial. However, I am not prepared to conclude that the commencement of the third party proceedings was egregious, reprehensible, or deserving of rebuke. Consequently, this is not a case in which special costs based on the analysis in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(B.C.C.A.) can be founded. Similarly, I am not prepared to conclude that a warning to the defendant that the third parties would seek full indemnity level costs if the third party proceedings were dismissed is a sufficient basis upon which this court would or should award such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respect to the offer to settle, and its impact on costs, Rule 9-1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am satisfied in this case that the third parties made an offer which ought reasonably to have been accepted by the defendant. Taking into account all of the circumstances of this case, I conclude that the third parties are entitled to their taxable costs, on Scale B, until the date of the offer to settle, and double costs thereafter. I decline to set a lump sum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With respect to who ought to pay the third parties' costs, the general rule is that a defendant who has unsuccessfully brought third party proceedings should be responsible for the third parties' costs: </w:t>
      </w:r>
      <w:r>
        <w:rPr>
          <w:rFonts w:ascii="arial" w:eastAsia="arial" w:hAnsi="arial" w:cs="arial"/>
          <w:i/>
          <w:color w:val="000000"/>
          <w:sz w:val="20"/>
          <w:lang w:val="en-US" w:eastAsia="en-US" w:bidi="ar-SA"/>
        </w:rPr>
        <w:t>Wilson v. INA Insurance Co. of Canada</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[1998] B.C.J. No. 2174</w:t>
        </w:r>
      </w:hyperlink>
      <w:r>
        <w:rPr>
          <w:rFonts w:ascii="arial" w:eastAsia="arial" w:hAnsi="arial" w:cs="arial"/>
          <w:color w:val="000000"/>
          <w:sz w:val="20"/>
          <w:lang w:val="en-US" w:eastAsia="en-US" w:bidi="ar-SA"/>
        </w:rPr>
        <w:t xml:space="preserve"> (B.C.C.A.) at para. 37;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[1985] B.C.J. No. 2789</w:t>
        </w:r>
      </w:hyperlink>
      <w:r>
        <w:rPr>
          <w:rFonts w:ascii="arial" w:eastAsia="arial" w:hAnsi="arial" w:cs="arial"/>
          <w:color w:val="000000"/>
          <w:sz w:val="20"/>
          <w:lang w:val="en-US" w:eastAsia="en-US" w:bidi="ar-SA"/>
        </w:rPr>
        <w:t xml:space="preserve"> (S.C.)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McLachlin J. (as she then was) said in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There may be situations where, on the peculiar facts of the case, fairness requires that an unsuccessful plaintiff bear a successful third party's costs. Courts have held that such an order may be appropriate where one or more of the following situations was present: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main issue litigated was between the plaintiff and the third party ...</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third party was brought or kept in the matter by reason of the act or neglect of the plaintiff ...</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case involves a string of contracts in substantially the same terms for the sale of goods ...</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third party proceedings follow naturally and inevitably upon the institution of plaintiff's action, in the sense that the defendant had no real alternative but to join the third party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argues that this situation is very similar to that of </w:t>
      </w:r>
      <w:r>
        <w:rPr>
          <w:rFonts w:ascii="arial" w:eastAsia="arial" w:hAnsi="arial" w:cs="arial"/>
          <w:i/>
          <w:color w:val="000000"/>
          <w:sz w:val="20"/>
          <w:lang w:val="en-US" w:eastAsia="en-US" w:bidi="ar-SA"/>
        </w:rPr>
        <w:t>Norman (Guardian ad litem of) v. McMillan</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2004 BCSC 384</w:t>
        </w:r>
      </w:hyperlink>
      <w:r>
        <w:rPr>
          <w:rFonts w:ascii="arial" w:eastAsia="arial" w:hAnsi="arial" w:cs="arial"/>
          <w:color w:val="000000"/>
          <w:sz w:val="20"/>
          <w:lang w:val="en-US" w:eastAsia="en-US" w:bidi="ar-SA"/>
        </w:rPr>
        <w:t xml:space="preserve"> in which the court found that the defendant fell within the exceptions in paragraphs 2 and 4 of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In my view, the decision in </w:t>
      </w:r>
      <w:r>
        <w:rPr>
          <w:rFonts w:ascii="arial" w:eastAsia="arial" w:hAnsi="arial" w:cs="arial"/>
          <w:i/>
          <w:color w:val="000000"/>
          <w:sz w:val="20"/>
          <w:lang w:val="en-US" w:eastAsia="en-US" w:bidi="ar-SA"/>
        </w:rPr>
        <w:t>Norman</w:t>
      </w:r>
      <w:r>
        <w:rPr>
          <w:rFonts w:ascii="arial" w:eastAsia="arial" w:hAnsi="arial" w:cs="arial"/>
          <w:color w:val="000000"/>
          <w:sz w:val="20"/>
          <w:lang w:val="en-US" w:eastAsia="en-US" w:bidi="ar-SA"/>
        </w:rPr>
        <w:t xml:space="preserve"> is distinguishable. There, the defendant was found completely blameless for the accident, which had initially been commenced when the plaintiff's mother was his guardian </w:t>
      </w:r>
      <w:r>
        <w:rPr>
          <w:rFonts w:ascii="arial" w:eastAsia="arial" w:hAnsi="arial" w:cs="arial"/>
          <w:i/>
          <w:color w:val="000000"/>
          <w:sz w:val="20"/>
          <w:lang w:val="en-US" w:eastAsia="en-US" w:bidi="ar-SA"/>
        </w:rPr>
        <w:t>ad litem</w:t>
      </w:r>
      <w:r>
        <w:rPr>
          <w:rFonts w:ascii="arial" w:eastAsia="arial" w:hAnsi="arial" w:cs="arial"/>
          <w:color w:val="000000"/>
          <w:sz w:val="20"/>
          <w:lang w:val="en-US" w:eastAsia="en-US" w:bidi="ar-SA"/>
        </w:rPr>
        <w:t xml:space="preserve">. It had been her decision to commence the unsuccessful action against the defendant in the first instance. Certain steps that were taken in the action led the trial judge to conclude that defence counsel had a proper basis for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third party and the trial judge accepted that the third party, or her counsel, had employed tactics amounting to an attempt to make an end run around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am not satisfied that there is anything in this case which takes it out of the general rule. Consequently, the defendant will bear the third parties' costs as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A.J. BEAMES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7862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Walkom v. Law Society of British Columbia, [2018] B.C.J. No. 7246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 2017; supplementary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submissions: December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December 22, 2017 (respondent);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supplementary reply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January 9, 2018 (plaintiff);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supplementary sur-reply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January 31, 2018 (respondent).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S172657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7246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1990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Charles Walkom, Plaintiff, and Law Society of British Columbia, LSBC Captive Insurance Company Ltd. and Roger Batchelor,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jc w:val="both"/>
        <w:rPr>
          <w:rFonts w:ascii="arial" w:eastAsia="arial" w:hAnsi="arial" w:cs="arial"/>
          <w:sz w:val="20"/>
          <w:lang w:val="en-US" w:eastAsia="en-US" w:bidi="ar-SA"/>
        </w:rPr>
      </w:pPr>
      <w:bookmarkStart w:id="92" w:name="Counsel_25"/>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Applicant/Defendant Law Society of British Columbia: J. 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Respondent/Plaintiff: H.F. Turnham.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3" w:name="Judgment_25"/>
      <w:bookmarkEnd w:id="93"/>
      <w:r>
        <w:pict>
          <v:line id="_x0000_s1115" style="position:absolute;z-index:2517411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4" w:name="G.R.J. GAUL J."/>
            <w:bookmarkEnd w:id="94"/>
            <w:r>
              <w:rPr>
                <w:rFonts w:ascii="arial" w:eastAsia="arial" w:hAnsi="arial" w:cs="arial"/>
                <w:b/>
                <w:color w:val="000000"/>
                <w:sz w:val="30"/>
                <w:lang w:val="en-US" w:eastAsia="en-US" w:bidi="ar-SA"/>
              </w:rPr>
              <w:t>G.R.J. GAUL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By Notice of Civil Claim filed 14 July 2017, the plaintiff, Mr. Walkom, has sued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the present application, the defendant Law Society of British Columbia (the "LSBC") seeks to have the plaintiff's action against it dismissed. The application is founded upon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particular, the defendant LSBC relies on Rule 9-5(1)(a) and argues that the plaintiff's pleadings fail to disclose any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Because this is an application to strike under Rule 9-5(1), the facts as laid out in the plaintiff's pleadings are assumed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1990, Mr. Walkom purchased a residential property on Drummond Way in Victoria, B.C.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spring of 2009, Mr. Walkom decided to refinance the mortgage on the Property. To assist with this work, he retained the services of the defendant, Mr. Roger Batchelor. At the time, Mr. Batchelor was a practicing lawyer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Walkon also retained Mr. Batchelor in 2011 and 2012 to represent him in a family law dispute. During the course of those proceedings, Mr. Walkom provided Mr. Batchelor with comprehensive information relating to his personal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January 2013, Mr. Batchelor approached Mr. Walkom with a business proposition. Mr. Batchelor explained that he was expanding his law practice and offered Mr. Walkom the opportunity to invest in this endeavour. Mr. Batchelor promised Mr. Walkom interest of 20% per year if Mr. Walkom would lend him $50,000. Mr. Walkom agreed and Mr. Batchelor provided Mr. Walkom with an executed promissory note. The promissory note was signed by Mr. Batchelor in his personal behalf, and on behalf of his law corporations. Mr. Batchelor persuaded Mr. Walkom that he need not, and should not, seek independent legal advice with regard to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Later that same month, Mr. Batchelor obtained a similar loan from Mr. Walkom's mother, Helen Ruth Walkom. She is now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Shortly after, in March 2013, Mr. Batchelor assisted Mr. Walkom in obtaining further mortgage refinancing on Mr. Walkom's house. Later in March 2013, Mr. Walkom loaned Mr. Batchelor another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May 2013, Mr. Walkom loaned Mr. Batchelor a further $20,000. In December 2013 there was another loan for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January 2016, after Mr. Batchelor began to default on his loan repayments, Mr. Walkom obtained independent legal advice and on 11 January 2016 he started a legal action against Mr. Batchelor.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5 April 2016, Mr. Walkom obtained judgment against Mr. Batchelor in the sum of $281,430.49, with post-judgment interest set at 11%, plus costs. Mr. Batchelor was present in court at the time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Batchelor made two payments towards this judgment: one payment of $2,500 on 5 April 2016, and another payment of $2,500 on 2 May 2016. Mr. Batchelor has made no other payments towards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garnishment proceeding against Mr. Batchelor and his two law corporations produced only $0.22.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Batchelor is believed to have abandoned his law practice and moved to Ontario. His membership in the LSBC was terminated voluntarily effective 30 June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Walkom applied to the insurance fund for British Columbia lawyers, given Mr. Batchelor's failure to pay the judgment that had been entered against him. On 17 February 2017, the LSBC's Captive Insurance Company Ltd. refused Mr. Walkom's claim, on the ground that it did not fall within the coverage provided by its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Given his lack of success with the LSBC's insurance fund, Mr. Walkom filed a notice of civil claim against the LSBC, the Captive Insurance Company Ltd., and Mr. Batchelor on 14 July 2017. In his action, Mr. Walkom alleges that the LSBC was negligent in admitting Mr. Batchelor as a lawyer in British Columbia, and in failing to adequately monitor Mr. Batchelor once he was licenced to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Batchelor was called and admitted as a member of the Law Society of British Columbia in 2005. He had previously practiced law in Ontario, and was a member of the law society of that province for two years. When he was admitted to the LSBC, the law society knew that Mr. Batchelor had previously declared personal bankruptcy, and had been involved in disciplinary proceedings relating to the period he practiced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admitting Mr. Batchelor, the LSBC instituted various discipline proceedings against him, but did not disbar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14 January 2016, counsel for Mr. Walkom had a telephone conversation with a member of the LSBC's Investigations, Monitoring, and Enforcement group. Counsel for Mr. Walkom advised the LSBC employee of the civil action against Mr. Batchelor. Mr. Walkom did not file a formal complaint against Mr. Batchelor with the LSBC. However, following this conversation, the LSBC initiated a complaint file against Mr. Batchelor acting on its own behalf. The complaint file was closed on 19 July 2016, when Mr. Batchelor changed his status to that of a former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the course of the hearing of the LSBC's application, two principal issues were raised and argued: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plaintiff's claim against the LSBC be struck because the LSBC is immune from the plaintiff's claim, by virtue of</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 of the </w:t>
      </w:r>
      <w:r>
        <w:rPr>
          <w:rFonts w:ascii="arial" w:eastAsia="arial" w:hAnsi="arial" w:cs="arial"/>
          <w:i/>
          <w:color w:val="000000"/>
          <w:sz w:val="20"/>
          <w:lang w:val="en-US" w:eastAsia="en-US" w:bidi="ar-SA"/>
        </w:rPr>
        <w:t>Disciplinary Authority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98</w:t>
      </w:r>
      <w:r>
        <w:rPr>
          <w:rFonts w:ascii="arial" w:eastAsia="arial" w:hAnsi="arial" w:cs="arial"/>
          <w:color w:val="000000"/>
          <w:sz w:val="20"/>
          <w:lang w:val="en-US" w:eastAsia="en-US" w:bidi="ar-SA"/>
        </w:rPr>
        <w:t>? or by virtue of</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86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LSBC does not have statutory immunity from the plaintiff's claim, should the claim against the LSBC be struck because the plaintiff cannot establish that the LSBC owed him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to the substantive issues noted above, the plaintiff has raised what could be considered a preliminary issue. Although the court heard oral submissions from counsel on what I have called the substantive issues and received additional written submissions on these issues as well, in his supplementary reply submissions counsel for Mr. Walkom argued that the hearing of the LSBC's application had veered off course and into an area of law that was not properly before the court. Mr. Turnham explained his position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plenty of time to think about the case over the holidays, counsel for the Plaintiff has realized that he has fallen into a trap by arguing the merits (or lack of merits) of the multiple defences raised by the Law Society in its Response to the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focus of everyone's attention should have been on the Notice of Civil Claim alone as Rule 9-5(1)(a), having referred to "the whole or any part of a pleading" says that "it discloses no reasonable claim". The "it" refers to the challenged pleading alone, which in this case is the Notice of Civil Claim. The section does not authorize reference to whatever defences may have been raised in the Response in assessing whether or not a reasonable claim has been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the substantive issues on this application raise important and interesting questions of law, in my opinion they are not appropriate for determination on a application to strike pleadings under Rule 9-5. In my opinion, counsel for Mr. Walkom is correct when he submits that the hearing of the LSBC's application missed the key issue and veered into an area that it should not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Jensen v. Ross</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2014 BCCA 173</w:t>
        </w:r>
      </w:hyperlink>
      <w:r>
        <w:rPr>
          <w:rFonts w:ascii="arial" w:eastAsia="arial" w:hAnsi="arial" w:cs="arial"/>
          <w:color w:val="000000"/>
          <w:sz w:val="20"/>
          <w:lang w:val="en-US" w:eastAsia="en-US" w:bidi="ar-SA"/>
        </w:rPr>
        <w:t>, Mr. Justice Goepel confirmed that Rule 9-5 is not the proper means of resolving a limitation issue. At paragraphs 42 to 44, Justice Goepel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There are numerous cases which have held that Rule 9-5 is not the appropriate mechanism to determine a limitation issue. The cases include: </w:t>
      </w:r>
      <w:r>
        <w:rPr>
          <w:rFonts w:ascii="arial" w:eastAsia="arial" w:hAnsi="arial" w:cs="arial"/>
          <w:i/>
          <w:color w:val="000000"/>
          <w:sz w:val="20"/>
          <w:lang w:val="en-US" w:eastAsia="en-US" w:bidi="ar-SA"/>
        </w:rPr>
        <w:t>Canadian Pacific Ltd. v. British Columbia Hydro and Power Authority</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[1979] B.C.J. No. 1992</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10 B.C.L.R. P 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Roeder v. Lang Michener Lawrence &amp; Shaw</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2005 BCSC 1784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Fuoco Estate v. Kamloops (City)</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2001 BCCA 325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Fuoco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Border Enterprises Ltd. v. Beazer East, Inc.</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2003 BCSC 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Rain Coast Water Corp. v. British Columbia</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2008 BCSC 1182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Mattson v. Remus</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2009 BCSC 836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Hughes v. Hughes</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2011 BCSC 1569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In </w:t>
      </w:r>
      <w:r>
        <w:rPr>
          <w:rFonts w:ascii="arial" w:eastAsia="arial" w:hAnsi="arial" w:cs="arial"/>
          <w:i/>
          <w:color w:val="000000"/>
          <w:sz w:val="20"/>
          <w:lang w:val="en-US" w:eastAsia="en-US" w:bidi="ar-SA"/>
        </w:rPr>
        <w:t>Fuocu</w:t>
      </w:r>
      <w:r>
        <w:rPr>
          <w:rFonts w:ascii="arial" w:eastAsia="arial" w:hAnsi="arial" w:cs="arial"/>
          <w:color w:val="000000"/>
          <w:sz w:val="20"/>
          <w:lang w:val="en-US" w:eastAsia="en-US" w:bidi="ar-SA"/>
        </w:rPr>
        <w:t xml:space="preserve"> this Court noted at para. 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Counsel have been unable to direct us to any cases in which Rule 19(24)(a), standing alone, has been used to resolve a limitation issue. That may be because statements of claim do not raise limitation issues, as is the case here. The statutory limitations is a defence pleading. It is an issue that does not arise until it is pleaded in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Those words resonate in this case. The notice of civil claim, in and of itself, does not raise a limitation issue. The limitation issue only arises if it is pleaded in defence. Even then, the issue cannot be resolved in an evidentiary vacuum.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contains provisions pursuant to which the running of time is postponed. Pursuant to s. 8(1)(c)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ultimate postponement is 30 years from the date on which the right to bring the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While the court in </w:t>
      </w:r>
      <w:r>
        <w:rPr>
          <w:rFonts w:ascii="arial" w:eastAsia="arial" w:hAnsi="arial" w:cs="arial"/>
          <w:i/>
          <w:color w:val="000000"/>
          <w:sz w:val="20"/>
          <w:lang w:val="en-US" w:eastAsia="en-US" w:bidi="ar-SA"/>
        </w:rPr>
        <w:t>Jensen</w:t>
      </w:r>
      <w:r>
        <w:rPr>
          <w:rFonts w:ascii="arial" w:eastAsia="arial" w:hAnsi="arial" w:cs="arial"/>
          <w:color w:val="000000"/>
          <w:sz w:val="20"/>
          <w:lang w:val="en-US" w:eastAsia="en-US" w:bidi="ar-SA"/>
        </w:rPr>
        <w:t xml:space="preserve"> addressed the question of a limitation defence and not an immunity defence as in the present case, counsel for Mr. Walkom submits the legal principles articulated by Justice Goepel are also applicable to the present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 submits that the court in </w:t>
      </w:r>
      <w:r>
        <w:rPr>
          <w:rFonts w:ascii="arial" w:eastAsia="arial" w:hAnsi="arial" w:cs="arial"/>
          <w:i/>
          <w:color w:val="000000"/>
          <w:sz w:val="20"/>
          <w:lang w:val="en-US" w:eastAsia="en-US" w:bidi="ar-SA"/>
        </w:rPr>
        <w:t>Jensen</w:t>
      </w:r>
      <w:r>
        <w:rPr>
          <w:rFonts w:ascii="arial" w:eastAsia="arial" w:hAnsi="arial" w:cs="arial"/>
          <w:color w:val="000000"/>
          <w:sz w:val="20"/>
          <w:lang w:val="en-US" w:eastAsia="en-US" w:bidi="ar-SA"/>
        </w:rPr>
        <w:t xml:space="preserve"> found Rule 9-5(1)(a) was not the appropriate avenue to determine the issue of a limitation defence because to do so required a full-evidentiary record. The defence further submits that the present case is different from </w:t>
      </w:r>
      <w:r>
        <w:rPr>
          <w:rFonts w:ascii="arial" w:eastAsia="arial" w:hAnsi="arial" w:cs="arial"/>
          <w:i/>
          <w:color w:val="000000"/>
          <w:sz w:val="20"/>
          <w:lang w:val="en-US" w:eastAsia="en-US" w:bidi="ar-SA"/>
        </w:rPr>
        <w:t>Jensen</w:t>
      </w:r>
      <w:r>
        <w:rPr>
          <w:rFonts w:ascii="arial" w:eastAsia="arial" w:hAnsi="arial" w:cs="arial"/>
          <w:color w:val="000000"/>
          <w:sz w:val="20"/>
          <w:lang w:val="en-US" w:eastAsia="en-US" w:bidi="ar-SA"/>
        </w:rPr>
        <w:t xml:space="preserve"> because the immunity defence can be addressed and resolved on the pleadings alone. In making this argument, counsel for the LSBC asserts the plaintiff's Notice of Civil Claim does not allege any bad faith claims or any facts that would support a finding of bad faith on its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my opinion, counsel for the plaintiff is correct when he argues that the plaintiff's Notice of Civil Claim adequately sets out a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LSBC. Moreover, after having reviewed the plaintiff's pleadings, I accept that the plaintiff has made it clear to the defendant that he alleges it owed him a duty of care, that the duty of care was breached and that as a result of that breach he has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my view the principles articulated in </w:t>
      </w:r>
      <w:r>
        <w:rPr>
          <w:rFonts w:ascii="arial" w:eastAsia="arial" w:hAnsi="arial" w:cs="arial"/>
          <w:i/>
          <w:color w:val="000000"/>
          <w:sz w:val="20"/>
          <w:lang w:val="en-US" w:eastAsia="en-US" w:bidi="ar-SA"/>
        </w:rPr>
        <w:t>Jensen</w:t>
      </w:r>
      <w:r>
        <w:rPr>
          <w:rFonts w:ascii="arial" w:eastAsia="arial" w:hAnsi="arial" w:cs="arial"/>
          <w:color w:val="000000"/>
          <w:sz w:val="20"/>
          <w:lang w:val="en-US" w:eastAsia="en-US" w:bidi="ar-SA"/>
        </w:rPr>
        <w:t xml:space="preserve"> are applicable to the case at bar. Moreover, I accept the submissions of counsel for the plaintiff that what the defendant is attempting to achieve on this application is to have the court rule on the validity of its defences, which in my view is not a permissible use of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I am not convinced that the present application under Rule 9-5(1) can and should resolve the dispute between the parties, that does not mean a summary trial under Rule 9-7 would not be an appropriate avenue to do so. I note this because I wish to be clear, that in deciding against the defendant on this application, I am not making any judicial pronouncement on the merits of either the plaintiff's claims or the defendant's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all of the foregoing reasons,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Corrected Judgment: The judgment was corrected on November 14, 2018, on the first page.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7872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Waller (Guardian Ad Litem of) v. Thody, [2006] B.C.J. No. 2079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S065862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2079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1388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845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Chase Waller, an infant by his Guardian Ad Litem, Stephanie Waller, and Robert James Alexander Kelly, Wayne John Douglas and Brian Joe Douglas, infants by their Guardian Ad Litem, Wendy Carol Kelly and Danya Rose Douglas, Plaintiffs, and Christopher Thody and Sto:Lo Nation,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jc w:val="both"/>
        <w:rPr>
          <w:rFonts w:ascii="arial" w:eastAsia="arial" w:hAnsi="arial" w:cs="arial"/>
          <w:sz w:val="20"/>
          <w:lang w:val="en-US" w:eastAsia="en-US" w:bidi="ar-SA"/>
        </w:rPr>
      </w:pPr>
      <w:bookmarkStart w:id="95" w:name="Counsel_26"/>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J. Dykstra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(Public Guardian and Trustee): C. Jeklin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Appearances: B. Bergen, W. Kelly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6" w:name="Judgment_26"/>
      <w:bookmarkEnd w:id="96"/>
      <w:r>
        <w:pict>
          <v:line id="_x0000_s1118" style="position:absolute;z-index:2517422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7" w:name="RUSSELL J."/>
            <w:bookmarkEnd w:id="97"/>
            <w:r>
              <w:rPr>
                <w:rFonts w:ascii="arial" w:eastAsia="arial" w:hAnsi="arial" w:cs="arial"/>
                <w:b/>
                <w:color w:val="000000"/>
                <w:sz w:val="30"/>
                <w:lang w:val="en-US" w:eastAsia="en-US" w:bidi="ar-SA"/>
              </w:rPr>
              <w:t>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December, 2004, Darwin Douglas was killed in a car accident near Abbotsford, B.C. He was survived by 5 children, ranging in age from 1 to 20 years old. He did not reside with any of their mothers. There were no court orders requiring support payments for any of the children. However, Mr. Douglas paid whatever he could from time to time since his employment as a logger was sporadic.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children brought an action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through their </w:t>
      </w:r>
      <w:r>
        <w:rPr>
          <w:rFonts w:ascii="arial" w:eastAsia="arial" w:hAnsi="arial" w:cs="arial"/>
          <w:i/>
          <w:color w:val="000000"/>
          <w:sz w:val="20"/>
          <w:lang w:val="en-US" w:eastAsia="en-US" w:bidi="ar-SA"/>
        </w:rPr>
        <w:t>guardians ad litem</w:t>
      </w:r>
      <w:r>
        <w:rPr>
          <w:rFonts w:ascii="arial" w:eastAsia="arial" w:hAnsi="arial" w:cs="arial"/>
          <w:color w:val="000000"/>
          <w:sz w:val="20"/>
          <w:lang w:val="en-US" w:eastAsia="en-US" w:bidi="ar-SA"/>
        </w:rPr>
        <w:t xml:space="preserve">. Ms. Barbara Bergen represented all of them in a mediation with ICBC. She achieved a very successful settlement from ICBC of $255,000, less a minor deduction of 10% from the settlement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net figure of $229,500. Mr. Douglas had been drinking at the time of the accident, as had the driver, he had had an opportunity to leave the car before the accident and chose not to, and he was killed as a result of being thrown from the car since he was unrestrained by his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to the action were unable to reach an agreement on the distribution of the settlement funds for almost a year after the mediation. Finally, they agreed on a distribution. The youngest child, Chase Waller, received the lion's share, largely as a result of the determined efforts of his mother, Stefanie Waller.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Such settlement distributions to infants are subject to the reviewing jurisdiction of the office of the Public Guardian and Trustee under section 40 of the </w:t>
      </w:r>
      <w:r>
        <w:rPr>
          <w:rFonts w:ascii="arial" w:eastAsia="arial" w:hAnsi="arial" w:cs="arial"/>
          <w:b/>
          <w:i/>
          <w:color w:val="000000"/>
          <w:sz w:val="20"/>
          <w:lang w:val="en-US" w:eastAsia="en-US" w:bidi="ar-SA"/>
        </w:rPr>
        <w:t>Infants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 The Public Guardian and Trustee conducted its review on the basis of facts provided to it by Ms. Bergen. In a letter dated August 12, 2005, and signed by the Deputy Public Guardian and Trustee, Catherine Romanko but prepared by Cindy Jeklin, this office commented on the distribution proposed. The Public Guardian and Trustee approved payment of Ms. Bergen's fees but took issue with the disproportionate payment to Chase Waller, achieved at the expense of the next two youngest children, Brian and Wayne Douglas, who were 8 and 6 at time of Mr. Douglas's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Chase Waller's mother and </w:t>
      </w:r>
      <w:r>
        <w:rPr>
          <w:rFonts w:ascii="arial" w:eastAsia="arial" w:hAnsi="arial" w:cs="arial"/>
          <w:i/>
          <w:color w:val="000000"/>
          <w:sz w:val="20"/>
          <w:lang w:val="en-US" w:eastAsia="en-US" w:bidi="ar-SA"/>
        </w:rPr>
        <w:t>guardian ad litem</w:t>
      </w:r>
      <w:r>
        <w:rPr>
          <w:rFonts w:ascii="arial" w:eastAsia="arial" w:hAnsi="arial" w:cs="arial"/>
          <w:color w:val="000000"/>
          <w:sz w:val="20"/>
          <w:lang w:val="en-US" w:eastAsia="en-US" w:bidi="ar-SA"/>
        </w:rPr>
        <w:t xml:space="preserve"> has brought this application to enforce the settlement distribution agreement reached among the parties before its submission for approval by the Public Guardian and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two eldest children, Danya Rose Douglas and Robert James Alexander Douglas are beyond the age of majority, and have received payments under the settlement which are acceptable to them. They are not taking part in this application, nor, of course, could the Public Guardian and Trustee represent their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this Court approve the distribution of the settlement proceeds with the largest payment to Chase Waller as proposed by the applicant, or should this Court accept the distribution as reallocated by the Public Guardian and Trustee?</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a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settlement, is a very young child entitled by virtue of his age to an amount substantially greater than that proposed to be distributed to other entitled young children under all heads of damages?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legal fees payable for this application to Counsel for Ms. Waller be paid from the settlement amount before distribution?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Ms. Waller has made a number of submissions to support the payment of the amounts as agreed between the parties. He points out that the parties did come to an agreement after having the opportunity to express their points of view, and, after signing the documents, Ms. Kelly ought not to be able to rely on her recent reservations about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He also asserts that Ms. Waller and the deceased continued in their common-law relationship after Ms. Waller moved to Abbotsford to stay with her mother. The evidence of this relationship is insufficient and somewhat contradictory, but I need not decide this fact since Ms. Waller at no time brought forward a claim in her own right as Mr. Douglas's common-law spouse. It appears from her counsel's argument on this application that she brings this contention forward to provide further support for the larger award to her son, Chase, on the basis that Chase was part of a family unit and therefore would have received more support from the deceased over his lifetime. He relies on the case of </w:t>
      </w:r>
      <w:r>
        <w:rPr>
          <w:rFonts w:ascii="arial" w:eastAsia="arial" w:hAnsi="arial" w:cs="arial"/>
          <w:b/>
          <w:i/>
          <w:color w:val="000000"/>
          <w:sz w:val="20"/>
          <w:lang w:val="en-US" w:eastAsia="en-US" w:bidi="ar-SA"/>
        </w:rPr>
        <w:t>Coe Estate v. Tennant</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(1988), 31 B.C.L.R. (2d) 236</w:t>
        </w:r>
      </w:hyperlink>
      <w:r>
        <w:rPr>
          <w:rFonts w:ascii="arial" w:eastAsia="arial" w:hAnsi="arial" w:cs="arial"/>
          <w:color w:val="000000"/>
          <w:sz w:val="20"/>
          <w:lang w:val="en-US" w:eastAsia="en-US" w:bidi="ar-SA"/>
        </w:rPr>
        <w:t xml:space="preserve">, varied </w:t>
      </w:r>
      <w:hyperlink r:id="rId540" w:history="1">
        <w:r>
          <w:rPr>
            <w:rFonts w:ascii="arial" w:eastAsia="arial" w:hAnsi="arial" w:cs="arial"/>
            <w:i/>
            <w:color w:val="0077CC"/>
            <w:sz w:val="20"/>
            <w:u w:val="single"/>
            <w:shd w:val="clear" w:color="auto" w:fill="FFFFFF"/>
            <w:lang w:val="en-US" w:eastAsia="en-US" w:bidi="ar-SA"/>
          </w:rPr>
          <w:t>(1990), 46 B.C.L.R. (2d) 62</w:t>
        </w:r>
      </w:hyperlink>
      <w:r>
        <w:rPr>
          <w:rFonts w:ascii="arial" w:eastAsia="arial" w:hAnsi="arial" w:cs="arial"/>
          <w:color w:val="000000"/>
          <w:sz w:val="20"/>
          <w:lang w:val="en-US" w:eastAsia="en-US" w:bidi="ar-SA"/>
        </w:rPr>
        <w:t xml:space="preserve"> (C.A.) for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However, in </w:t>
      </w:r>
      <w:r>
        <w:rPr>
          <w:rFonts w:ascii="arial" w:eastAsia="arial" w:hAnsi="arial" w:cs="arial"/>
          <w:b/>
          <w:i/>
          <w:color w:val="000000"/>
          <w:sz w:val="20"/>
          <w:lang w:val="en-US" w:eastAsia="en-US" w:bidi="ar-SA"/>
        </w:rPr>
        <w:t>Coe</w:t>
      </w:r>
      <w:r>
        <w:rPr>
          <w:rFonts w:ascii="arial" w:eastAsia="arial" w:hAnsi="arial" w:cs="arial"/>
          <w:color w:val="000000"/>
          <w:sz w:val="20"/>
          <w:lang w:val="en-US" w:eastAsia="en-US" w:bidi="ar-SA"/>
        </w:rPr>
        <w:t>, the rationale for the larger award for the 3 children of the deceased father and mother is clear. They lost both parents in the accident and their father had been a good provider. The two older half siblings lost their father only. As well, the older children (16 and 18) had been estranged from their father for most of their lives, had received no child support, and had only recently re-established contact with him. Therefore, their loss of care and loss of inheritance damages from the father were nominal and they were not awarded damages under the other conventional heads.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Here, the evidence of the parties was that Mr. Douglas did his best as a provider but worked sporadically. He remained involved in the lives of his other boys and with Chase, even though he did not live with either of his children's mothers.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Waller's counsel also argued that Chase's status as the youngest child should permit this Court to maintain the largest award to him on the basis of creating a weighted average to determine all the heads of damage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Counsel was unable to provide any authority supporting such a mathematical approach, and I find that to follow his suggestion would result in compensating Chase additional amounts for his youth under heads of damages which would not make sense. Why would his loss of love and affection and guidance be worth more than his two half-brothers simply because he was younger at the time of his father's death? It could be argued that he would suffer least because at 1 year old when he lost his father, it would be highly unlikely he would have any recollection at all of his father or his father's love. The other two boys, at 6 and 8 at the time of Mr. Douglas's death, would have known their father and have experienced the manifestation of his love. In any event, such an approach strays far from the path of the accepted case law analysis of damages in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cases, and I am not satisfied such a diversion is justifiable.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Neither am I satisfied that the case law brought forward by the applicant supports this approach. First, with respect to compensation for loss of love, guidance and affection, the cases generally proceed from the starting point that the award is a conventional amount. In </w:t>
      </w:r>
      <w:r>
        <w:rPr>
          <w:rFonts w:ascii="arial" w:eastAsia="arial" w:hAnsi="arial" w:cs="arial"/>
          <w:b/>
          <w:i/>
          <w:color w:val="000000"/>
          <w:sz w:val="20"/>
          <w:lang w:val="en-US" w:eastAsia="en-US" w:bidi="ar-SA"/>
        </w:rPr>
        <w:t>Coe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three children who lost both parents did receive different amounts under this head of damage: the daughter who was fifteen at the time of her parents' death received $15,000 for the loss of each parent, while the two twin boys who were twelve received $20,000 for each parent. However, the twin boys had learning difficulties, which would have meant that they would have been more dependent on their parents and for a longer period of time than would their sister. This factor was important in justifying the differential treatment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case, none of the three boys has any disabilities or special requirements, and yet the applicant's proposal would give Chase $6,000 and $8,000 more than his half-brothers under this head of damages. All three children were young at the time of their father's death. All would have continued to depend on their father for guidance in future, and their father would probably have remained involved in all of their lives. Their difference in ages alone does not justify such a large award to Chase at the expense of the other two boys. The Public Guardian and Trustee's proposal, which would see all three boys receive an equal amount under this head of damages, appears to more fairly reflect the damages suffered by reason of the loss of their father to all three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Second, the applicant's proposed distribution would give Chase $10,800 for loss of inheritance, while Brian and Wayne would receive nothing under this head of damages. Again, there is no basis for differentiating between the children here. Referring to the </w:t>
      </w:r>
      <w:r>
        <w:rPr>
          <w:rFonts w:ascii="arial" w:eastAsia="arial" w:hAnsi="arial" w:cs="arial"/>
          <w:b/>
          <w:i/>
          <w:color w:val="000000"/>
          <w:sz w:val="20"/>
          <w:lang w:val="en-US" w:eastAsia="en-US" w:bidi="ar-SA"/>
        </w:rPr>
        <w:t>Coe</w:t>
      </w:r>
      <w:r>
        <w:rPr>
          <w:rFonts w:ascii="arial" w:eastAsia="arial" w:hAnsi="arial" w:cs="arial"/>
          <w:color w:val="000000"/>
          <w:sz w:val="20"/>
          <w:lang w:val="en-US" w:eastAsia="en-US" w:bidi="ar-SA"/>
        </w:rPr>
        <w:t xml:space="preserve"> decision,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relied on by Counsel for Ms. Waller, all five children in that case were awarded the nominal amount of $5,000 for loss of inheritance (with the actual distribution of the parents' estate to be determined in other proceedings depending on which parent died first). However, what is relevant here is that the two eldest Coe children, who had been estranged from their father until shortly before his death, still received compensation under this head of damages. This compensation was not altered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this case, Mr. Douglas continued to be involved with Brian and Wayne, and they would probably also have benefited from any estate Mr. Douglas might have accumulated. Therefore, the Public Guardian and Trustee's proposal, which would see all three children receive the same amount under this head of damages, is more equitable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Finally, the applicant's proposed distribution would see Chase receive damages for loss of future support in the amount of $200 per month until age 22, while Brian and Wayne would receive damages in the amount of $150 each per month until age 22. Again, there is no clear justification on the facts of this case for such a premium based on Chase's younger age or his position in a family unit. The evidence is that Mr. Douglas contributed financially to all of his children, although he did not reside with any of them, and that he worked sporadically. There are no support orders in place for any of the children, nor does any of them have special needs that would justify a higher level of support. In such circumstances, the Public Guardian and Trustee's proposal to provide compensation for loss of future support on the basis of $150 per month for all three children until age 22 appears to be the most reasonable and equitable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Based on the above reasoning, it is apparent that I cannot approve the distribution proposed by the applicant. The proposed distribution provides an unduly large proportion of the settlement to Chase at the expense of Brian and Wayne, when there are no strong grounds for differentiation among the three children. Both of the </w:t>
      </w:r>
      <w:r>
        <w:rPr>
          <w:rFonts w:ascii="arial" w:eastAsia="arial" w:hAnsi="arial" w:cs="arial"/>
          <w:i/>
          <w:color w:val="000000"/>
          <w:sz w:val="20"/>
          <w:lang w:val="en-US" w:eastAsia="en-US" w:bidi="ar-SA"/>
        </w:rPr>
        <w:t>guardians ad litem</w:t>
      </w:r>
      <w:r>
        <w:rPr>
          <w:rFonts w:ascii="arial" w:eastAsia="arial" w:hAnsi="arial" w:cs="arial"/>
          <w:color w:val="000000"/>
          <w:sz w:val="20"/>
          <w:lang w:val="en-US" w:eastAsia="en-US" w:bidi="ar-SA"/>
        </w:rPr>
        <w:t xml:space="preserve"> did sign the original settlement agreement. However, the interests of Chase and the other children were in conflict, yet the parties were represented in negotiations by the same counsel. The result of the allocation negotiations was a distribution scheme which was unfair to the two older boys. It is precisely to avoid compromises that may be prejudicial to a minor that settlements on behalf of minors are subject to approval by the courts under section 40 of the </w:t>
      </w:r>
      <w:r>
        <w:rPr>
          <w:rFonts w:ascii="arial" w:eastAsia="arial" w:hAnsi="arial" w:cs="arial"/>
          <w:b/>
          <w:i/>
          <w:color w:val="000000"/>
          <w:sz w:val="20"/>
          <w:lang w:val="en-US" w:eastAsia="en-US" w:bidi="ar-SA"/>
        </w:rPr>
        <w:t>Infants Act</w:t>
      </w:r>
      <w:r>
        <w:rPr>
          <w:rFonts w:ascii="arial" w:eastAsia="arial" w:hAnsi="arial" w:cs="arial"/>
          <w:color w:val="000000"/>
          <w:sz w:val="20"/>
          <w:lang w:val="en-US" w:eastAsia="en-US" w:bidi="ar-SA"/>
        </w:rPr>
        <w:t>. Therefore, I reject the distribution scheme proposed by the applicant, and accept that proposed by the Public Guardian and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note as well that the parties have agreed that the funds should be managed by the Public Trustee and the order will reflect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final matter to be resolved in this case is that of the lawyers' fees. Ms. Bergen entered a contingency fee agreement for 25% of the amount recovered, and the Public Guardian and Trustee has recommended approval of her fees on the basis of Ms. Bergen's success in containing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10% in reaching the settlement. I agree that counsel's fees should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Finally, counsel for the applicant has indicated he has a contingency agreement which would award him fees based on the success of this application which would pay him $1,000 plus 25% of $17,119.70 (the amount for Chase in excess of the amount proposed by the Public Trustee). I applaud his efforts on behalf of Chase and Ms. Waller. For this application, since he did not succeed in upholding the original settlement agreement which substantially benefited Chase Waller, he will be entitled to fees of $1000 plus taxes and disbursements with such payment to be deducted from Chase Waller's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will be no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7882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18"/>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Wang v. Laura W. Zhao Personal Real Estate Corp., [2019] B.C.J. No. 1809</w:t>
        </w:r>
      </w:hyperlink>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18"/>
          <w:lang w:val="en-US" w:eastAsia="en-US" w:bidi="ar-SA"/>
        </w:rPr>
      </w:pP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W.K. Branch J.</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Heard: January 28-31, February 1, 4-7,</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 xml:space="preserve"> 25, March 1, 4-7, May 1-3, July 2-3,</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 xml:space="preserve"> 2019.</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Judgment: September 25, 2019.</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Docket: S166147</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18"/>
          <w:lang w:val="en-US" w:eastAsia="en-US" w:bidi="ar-SA"/>
        </w:rPr>
      </w:pPr>
    </w:p>
    <w:p>
      <w:pPr>
        <w:spacing w:before="120" w:line="260" w:lineRule="atLeast"/>
        <w:rPr>
          <w:rFonts w:ascii="arial" w:eastAsia="arial" w:hAnsi="arial" w:cs="arial"/>
          <w:sz w:val="18"/>
          <w:lang w:val="en-US" w:eastAsia="en-US" w:bidi="ar-SA"/>
        </w:rPr>
      </w:pPr>
      <w:r>
        <w:rPr>
          <w:rFonts w:ascii="arial" w:eastAsia="arial" w:hAnsi="arial" w:cs="arial"/>
          <w:b/>
          <w:color w:val="000000"/>
          <w:sz w:val="20"/>
          <w:lang w:val="en-US" w:eastAsia="en-US" w:bidi="ar-SA"/>
        </w:rPr>
        <w:t>[2019] B.C.J. No. 1809</w:t>
      </w:r>
      <w:r>
        <w:rPr>
          <w:rFonts w:ascii="arial" w:eastAsia="arial" w:hAnsi="arial" w:cs="arial"/>
          <w:sz w:val="18"/>
          <w:lang w:val="en-US" w:eastAsia="en-US" w:bidi="ar-SA"/>
        </w:rPr>
        <w:t xml:space="preserve"> </w:t>
      </w:r>
      <w:r>
        <w:rPr>
          <w:rFonts w:ascii="arial" w:eastAsia="arial" w:hAnsi="arial" w:cs="arial"/>
          <w:sz w:val="18"/>
          <w:lang w:val="en-US" w:eastAsia="en-US" w:bidi="ar-SA"/>
        </w:rPr>
        <w:t xml:space="preserve"> </w:t>
      </w:r>
      <w:r>
        <w:rPr>
          <w:rFonts w:ascii="arial" w:eastAsia="arial" w:hAnsi="arial" w:cs="arial"/>
          <w:sz w:val="18"/>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18"/>
          <w:lang w:val="en-US" w:eastAsia="en-US" w:bidi="ar-SA"/>
        </w:rPr>
        <w:t xml:space="preserve"> </w:t>
      </w:r>
      <w:r>
        <w:rPr>
          <w:rFonts w:ascii="arial" w:eastAsia="arial" w:hAnsi="arial" w:cs="arial"/>
          <w:sz w:val="18"/>
          <w:lang w:val="en-US" w:eastAsia="en-US" w:bidi="ar-SA"/>
        </w:rPr>
        <w:t xml:space="preserve"> </w:t>
      </w:r>
      <w:r>
        <w:rPr>
          <w:rFonts w:ascii="arial" w:eastAsia="arial" w:hAnsi="arial" w:cs="arial"/>
          <w:sz w:val="18"/>
          <w:lang w:val="en-US" w:eastAsia="en-US" w:bidi="ar-SA"/>
        </w:rPr>
        <w:t xml:space="preserve"> </w:t>
      </w:r>
      <w:r>
        <w:rPr>
          <w:rFonts w:ascii="arial" w:eastAsia="arial" w:hAnsi="arial" w:cs="arial"/>
          <w:color w:val="000000"/>
          <w:sz w:val="20"/>
          <w:lang w:val="en-US" w:eastAsia="en-US" w:bidi="ar-SA"/>
        </w:rPr>
        <w:t>2019 BCSC 1624</w:t>
      </w:r>
    </w:p>
    <w:p>
      <w:pPr>
        <w:spacing w:before="120" w:line="260" w:lineRule="atLeast"/>
        <w:rPr>
          <w:rFonts w:ascii="arial" w:eastAsia="arial" w:hAnsi="arial" w:cs="arial"/>
          <w:sz w:val="18"/>
          <w:lang w:val="en-US" w:eastAsia="en-US" w:bidi="ar-SA"/>
        </w:rPr>
      </w:pPr>
      <w:r>
        <w:rPr>
          <w:rFonts w:ascii="arial" w:eastAsia="arial" w:hAnsi="arial" w:cs="arial"/>
          <w:color w:val="000000"/>
          <w:sz w:val="20"/>
          <w:lang w:val="en-US" w:eastAsia="en-US" w:bidi="ar-SA"/>
        </w:rPr>
        <w:t>Between Wen Xue Wang a.k.a. Wenxue Wang, Plaintiff, and Laura W. Zhao Personal Real Estate Corporation, Laura W. Zhao a.k.a. Laura, Zhao a.k.a. Laura Wenying Zho, Raymond Zhao a.k.a. Raymond Jankai Zhao, and Vancouver Home Park Realty Ltd., Defendants And between Vancouver Home Park Realty Ltd, Plaintiff, and Wenxue Wang, Defendant, and Laura W. Zhao Personal Real Estate Corporation, Laura W. Zhao also known as Laura Zhao also known as Laura Wanying Zhao, and Raymond Zhao also known as Raymond Jankai Zhao, Third Parties</w:t>
      </w:r>
    </w:p>
    <w:p>
      <w:pPr>
        <w:spacing w:before="120" w:line="26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(178 paras.)</w:t>
      </w:r>
    </w:p>
    <w:p>
      <w:pPr>
        <w:jc w:val="both"/>
        <w:rPr>
          <w:rFonts w:ascii="arial" w:eastAsia="arial" w:hAnsi="arial" w:cs="arial"/>
          <w:sz w:val="18"/>
          <w:lang w:val="en-US" w:eastAsia="en-US" w:bidi="ar-SA"/>
        </w:rPr>
      </w:pPr>
      <w:bookmarkStart w:id="98" w:name="Counsel_27"/>
      <w:bookmarkEnd w:id="98"/>
      <w:r>
        <w:rPr>
          <w:rFonts w:ascii="arial" w:eastAsia="arial" w:hAnsi="arial" w:cs="arial"/>
          <w:sz w:val="18"/>
          <w:lang w:val="en-US" w:eastAsia="en-US" w:bidi="ar-SA"/>
        </w:rPr>
        <w:br/>
      </w:r>
    </w:p>
    <w:p>
      <w:pPr>
        <w:keepNext/>
        <w:spacing w:before="240" w:line="340" w:lineRule="atLeast"/>
        <w:rPr>
          <w:rFonts w:ascii="arial" w:eastAsia="arial" w:hAnsi="arial" w:cs="arial"/>
          <w:sz w:val="18"/>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18"/>
          <w:lang w:val="en-US" w:eastAsia="en-US" w:bidi="ar-SA"/>
        </w:rPr>
      </w:pPr>
      <w:r>
        <w:pict>
          <v:line id="_x0000_s1120" style="position:absolute;z-index:251692032" from="0,2pt" to="512pt,2pt" strokecolor="#009ddb" strokeweight="2pt">
            <v:stroke linestyle="single"/>
          </v:line>
        </w:pict>
      </w:r>
    </w:p>
    <w:p>
      <w:pPr>
        <w:spacing w:line="240" w:lineRule="exact"/>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Counsel for Vancouver Home Park Realty Ltd., Laura W. Zhao Personal Real Estate Corporation, Laura Zhao and Raymond Zhao: J. Scouten, N. Yan.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Counsel for Wenxue Wang: B. Lau.</w:t>
      </w:r>
      <w:r>
        <w:rPr>
          <w:rFonts w:ascii="arial" w:eastAsia="arial" w:hAnsi="arial" w:cs="arial"/>
          <w:sz w:val="18"/>
          <w:lang w:val="en-US" w:eastAsia="en-US" w:bidi="ar-SA"/>
        </w:rPr>
        <w:cr/>
      </w:r>
    </w:p>
    <w:p>
      <w:pPr>
        <w:spacing w:after="240"/>
        <w:rPr>
          <w:rFonts w:ascii="arial" w:eastAsia="arial" w:hAnsi="arial" w:cs="arial"/>
          <w:sz w:val="18"/>
          <w:lang w:val="en-US" w:eastAsia="en-US" w:bidi="ar-SA"/>
        </w:rPr>
      </w:pPr>
      <w:bookmarkStart w:id="99" w:name="Judgment_27"/>
      <w:bookmarkEnd w:id="99"/>
      <w:r>
        <w:pict>
          <v:line id="_x0000_s1121" style="position:absolute;z-index:251743232" from="0,12pt" to="512pt,12pt" strokecolor="#009ddb" strokeweight="1.5pt">
            <v:stroke linestyle="single"/>
          </v:line>
        </w:pict>
      </w:r>
    </w:p>
    <w:p>
      <w:pPr>
        <w:spacing w:before="120" w:line="260" w:lineRule="atLeast"/>
        <w:jc w:val="center"/>
        <w:rPr>
          <w:rFonts w:ascii="arial" w:eastAsia="arial" w:hAnsi="arial" w:cs="arial"/>
          <w:sz w:val="18"/>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18"/>
          <w:lang w:val="en-US" w:eastAsia="en-US" w:bidi="ar-SA"/>
        </w:rPr>
        <w:cr/>
      </w:r>
    </w:p>
    <w:p>
      <w:pPr>
        <w:numPr>
          <w:numId w:val="8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480"/>
        </w:tabs>
        <w:spacing w:before="120" w:line="260" w:lineRule="atLeast"/>
        <w:ind w:left="760"/>
        <w:jc w:val="both"/>
        <w:rPr>
          <w:rFonts w:ascii="arial" w:eastAsia="arial" w:hAnsi="arial" w:cs="arial"/>
          <w:sz w:val="18"/>
          <w:lang w:val="en-US" w:eastAsia="en-US" w:bidi="ar-SA"/>
        </w:rPr>
      </w:pPr>
      <w:r>
        <w:rPr>
          <w:rFonts w:ascii="arial" w:eastAsia="arial" w:hAnsi="arial" w:cs="arial"/>
          <w:color w:val="000000"/>
          <w:sz w:val="20"/>
          <w:lang w:val="en-US" w:eastAsia="en-US" w:bidi="ar-SA"/>
        </w:rPr>
        <w:t>THE FACTS OR, MORE ACCURATELY, THE COMPETING VERSIONS OF THE FACTS</w:t>
      </w:r>
    </w:p>
    <w:p>
      <w:pPr>
        <w:numPr>
          <w:numId w:val="3"/>
        </w:numPr>
        <w:tabs>
          <w:tab w:val="num" w:pos="760"/>
          <w:tab w:val="clear" w:pos="1480"/>
        </w:tabs>
        <w:spacing w:before="120" w:line="260" w:lineRule="atLeast"/>
        <w:ind w:left="760"/>
        <w:jc w:val="both"/>
        <w:rPr>
          <w:rFonts w:ascii="arial" w:eastAsia="arial" w:hAnsi="arial" w:cs="arial"/>
          <w:sz w:val="18"/>
          <w:lang w:val="en-US" w:eastAsia="en-US" w:bidi="ar-SA"/>
        </w:rPr>
      </w:pPr>
      <w:r>
        <w:rPr>
          <w:rFonts w:ascii="arial" w:eastAsia="arial" w:hAnsi="arial" w:cs="arial"/>
          <w:color w:val="000000"/>
          <w:sz w:val="20"/>
          <w:lang w:val="en-US" w:eastAsia="en-US" w:bidi="ar-SA"/>
        </w:rPr>
        <w:t>CREDIBILITY AND RELIABILITY</w:t>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 Specificity and Consistency Generally</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B. The First Meeting Between the Parties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C. The Cedarbridge Property</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D. The November 4, 2015 Meeting</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E. 1054499's Purchase of 6559</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F. The Sussex Purchase Price Negotiation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G. The Bonus Agreements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H. The Exclusive Listing Agreement</w:t>
      </w:r>
    </w:p>
    <w:p>
      <w:pPr>
        <w:numPr>
          <w:numId w:val="4"/>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The February 11, 2016 Trip</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J. Commission Disclosure Interactions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K. Failure to Seek Signature on the Guo Fee Agreement Document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L. Mr. Wang's Meeting with His Lawyer</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M. Post-Loss Conduct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N. Laura Zhao's Conduct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O. Mr. Wang's Degree of Trust and Sophistication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P. Credibility Conclusion</w:t>
      </w:r>
    </w:p>
    <w:p>
      <w:pPr>
        <w:numPr>
          <w:numId w:val="5"/>
        </w:numPr>
        <w:tabs>
          <w:tab w:val="num" w:pos="760"/>
          <w:tab w:val="clear" w:pos="1480"/>
        </w:tabs>
        <w:spacing w:before="120" w:line="260" w:lineRule="atLeast"/>
        <w:ind w:left="760"/>
        <w:jc w:val="both"/>
        <w:rPr>
          <w:rFonts w:ascii="arial" w:eastAsia="arial" w:hAnsi="arial" w:cs="arial"/>
          <w:sz w:val="18"/>
          <w:lang w:val="en-US" w:eastAsia="en-US" w:bidi="ar-SA"/>
        </w:rPr>
      </w:pPr>
      <w:r>
        <w:rPr>
          <w:rFonts w:ascii="arial" w:eastAsia="arial" w:hAnsi="arial" w:cs="arial"/>
          <w:color w:val="000000"/>
          <w:sz w:val="20"/>
          <w:lang w:val="en-US" w:eastAsia="en-US" w:bidi="ar-SA"/>
        </w:rPr>
        <w:t>ANALYSIS OF THE CONTRACTUAL DEFENCES</w:t>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 Certainty of Contract Terms</w:t>
      </w:r>
    </w:p>
    <w:p>
      <w:pPr>
        <w:numPr>
          <w:numId w:val="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Bonus Agreement</w:t>
      </w:r>
    </w:p>
    <w:p>
      <w:pPr>
        <w:numPr>
          <w:numId w:val="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ELA</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B. Breach of Fiduciary Duty</w:t>
      </w:r>
    </w:p>
    <w:p>
      <w:pPr>
        <w:spacing w:before="120" w:line="260" w:lineRule="atLeast"/>
        <w:ind w:left="720"/>
        <w:rPr>
          <w:rFonts w:ascii="arial" w:eastAsia="arial" w:hAnsi="arial" w:cs="arial"/>
          <w:sz w:val="18"/>
          <w:lang w:val="en-US" w:eastAsia="en-US" w:bidi="ar-SA"/>
        </w:rPr>
      </w:pPr>
      <w:r>
        <w:rPr>
          <w:rFonts w:ascii="arial" w:eastAsia="arial" w:hAnsi="arial" w:cs="arial"/>
          <w:i/>
          <w:color w:val="000000"/>
          <w:sz w:val="20"/>
          <w:lang w:val="en-US" w:eastAsia="en-US" w:bidi="ar-SA"/>
        </w:rPr>
        <w:t>C. Non Est Factum</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D. Misrepresentation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E. Mistake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F. Unconscionability</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G. Consensus Ad Idem</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H. Unjust Enrichment</w:t>
      </w:r>
    </w:p>
    <w:p>
      <w:pPr>
        <w:numPr>
          <w:numId w:val="8"/>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J. Illegality</w:t>
      </w:r>
    </w:p>
    <w:p>
      <w:pPr>
        <w:numPr>
          <w:numId w:val="9"/>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DISPOSITION AND COSTS</w:t>
      </w:r>
    </w:p>
    <w:p>
      <w:pPr>
        <w:spacing w:line="260" w:lineRule="atLeast"/>
        <w:jc w:val="center"/>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18"/>
          <w:lang w:val="en-US" w:eastAsia="en-US" w:bidi="ar-SA"/>
        </w:rPr>
        <w:cr/>
      </w:r>
    </w:p>
    <w:p>
      <w:pPr>
        <w:rPr>
          <w:rFonts w:ascii="arial" w:eastAsia="arial" w:hAnsi="arial" w:cs="arial"/>
          <w:sz w:val="18"/>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18"/>
                <w:lang w:val="en-US" w:eastAsia="en-US" w:bidi="ar-SA"/>
              </w:rPr>
            </w:pPr>
            <w:bookmarkStart w:id="100" w:name="W.K. BRANCH J."/>
            <w:bookmarkEnd w:id="100"/>
            <w:r>
              <w:rPr>
                <w:rFonts w:ascii="arial" w:eastAsia="arial" w:hAnsi="arial" w:cs="arial"/>
                <w:b/>
                <w:color w:val="000000"/>
                <w:sz w:val="30"/>
                <w:lang w:val="en-US" w:eastAsia="en-US" w:bidi="ar-SA"/>
              </w:rPr>
              <w:t>W.K. BRANCH J.</w:t>
            </w:r>
          </w:p>
        </w:tc>
      </w:tr>
    </w:tbl>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sz w:val="18"/>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arises out of a series of transactions involving three properties near Metrotown in Burnaby, B.C. (the "Sussex Properties"). In the first action, Mr. Wang sues his realtor Vancouver Home Park Realty ("Home Park") and its principals, for recovery of a sum paid under an alleged bonus agreement triggered by his purchase of the rights to the Sussex Properties (the "Bonus Agreement").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second action, Home Park sues Mr. Wang for a commission it says became owing under an exclusive listing agreement ("ELA") when Mr. Wang's rights were later sold through the auspices of another realtor.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expressed below, I find that Home Park's action should be granted and Mr. Wang's action dismissed. This outcome largely turns on the required credibility assessment. I prefer the evidence of Home Park's principals to that of Mr. Wang for the reasons set out below.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u w:val="single"/>
          <w:lang w:val="en-US" w:eastAsia="en-US" w:bidi="ar-SA"/>
        </w:rPr>
        <w:t>II. THE FACTS OR, MORE ACCURATELY, THE COMPETING VERSIONS OF THE FACTS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Home Park is a licensed real estate brokerage. It is a family business controlled by Raymond Zhao. Before coming to Canada, Mr. Zhao worked in the banking industry in Hong Kong, where he gained some knowledge of the operation of real estate markets. He also worked for a real estate developer in Shanghai. After moving to British Columbia, he worked as an assistant to a licensed real estate agent. In 2013, he formed Home Park with his realtor daughter, Laura Zhao. They worked mainly in the residential market, but by 2015 were trying to break into the commercial market.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all material times, Mr. Zhao was the President and General Manager of Home Park, but he is not a licensed real estate agent himself. His English is limited and he testified through an interpreter.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Laura Zhao was a licensed real estate agent at all material times. She obtained her licence in 2008. Ms. Zhao is able to speak some English but also testified through an interpreter. She did attend school in English and received "English as a Second Language" training. Her spoken English is said to be stronger than her written English.</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Wenxue Wang is a businessman from China. He owns a building materials factory there with over 100 employees. The company is in the business of patenting and developing new products. His net worth is several million dollars. He owns two properties in China, one provided by the government, and the other which he purchased. He has very little understanding of English. He cannot read English documents, but he does understand Arabic numbers.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Wang came to Canada for the first time in 2014. His daughter from his first marriage was living here. His first wife came to Canada shortly thereafter. Mr. Wang decided that he would also like to move to Canada. He made arrangements to ensure that his second wife had their child in Canada.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his arrival, he became active in the local real estate market. In October 2014, he loaned funds to his first wife to purchase a home on 48th Street in Vancouver. In 2015, he purchased a home in his wife's name on Laburnum Street using the services of a realtor acquaintance, Paul Zhang. At the close of the transaction, he asked Mr. Zhang for a $20,000 refund on the commission, which Mr. Zhang provided. He purchased a home in his own name on Trafalgar Street. He purchased a share of a property on 34th Avenue. He purchased a small rural blueberry farm through a controlled corporation.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Through these purchases, he became aware that persons from China could purchase properties in B.C. before they became permanent residents or citizens. He began to form relationships with persons involved in real estate, building, and development, specifically with Mr. Zhang and with an engineer, Ricco Wong. They taught him about the ability to buy property and then sell it onwards for a profit, at least in the context of the residential market. He also learned about the concept of land assembly, whereby several properties are packaged together for redevelopment. He became familiar with development concepts such as "floor space ratio". Mr. Wang was interested in pursuing opportunities that would facilitate an application for permanent residency through the BC Provincial Nominee Program.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Home Park has a record of receiving a call from an individual who appears to have been Mr. Wang in August 2015, although Mr. Wang has no recollection of making such a call. And so begins an endless series of evidentiary cleavages.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Put bluntly, the parties were in separate evidentiary universes regarding the content of virtually every one of their interactions over the following months.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Wang and Mr. Zhao at least agree that they first met on August 22, 2015, at an open house being hosted by one of Home Park's other agents, Helen Yin. However, their evidence differs on the content of this first meeting:</w:t>
      </w:r>
      <w:r>
        <w:rPr>
          <w:rFonts w:ascii="arial" w:eastAsia="arial" w:hAnsi="arial" w:cs="arial"/>
          <w:sz w:val="18"/>
          <w:lang w:val="en-US" w:eastAsia="en-US" w:bidi="ar-SA"/>
        </w:rPr>
        <w:cr/>
      </w:r>
    </w:p>
    <w:p>
      <w:pPr>
        <w:numPr>
          <w:numId w:val="1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Mr. Zhao says he did not hold himself out to Mr. Wang as a real estate agent, but rather as an assistant to Ms. Yin. Ms. Yin provided some corroboration for this. She says she contacted Mr. Wang directly by phone on the way to the open house, and that she spoke to him at the open house.</w:t>
      </w:r>
    </w:p>
    <w:p>
      <w:pPr>
        <w:numPr>
          <w:numId w:val="1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Mr. Wang says that Mr. Zhao represented himself as a real estate agent with substantial expertise in commercial property, and as someone who could help him with his immigration issues. In cross-examination, this evidence initially softened somewhat, in that he said he could not be sure whether Mr. Zhao held himself out as a real estate agent at this first meeting. But after his earlier testimony was put to him, his evidence hardened again.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Wang told Mr. Zhao that he was interested in commercial real estate. Although the Zhaos had limited experience in the sale of commercial properties, they clearly saw an opportunity, and offered their services to Mr. Wang. Mr. Zhao began forwarding information to Mr. Wang about commercial opportunities.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October 15, 2015, there was a meeting at Home Park's offices at which Mr. Zhao provided Mr. Wang with information about a potential development at 5700 Cedarbridge Way, Richmond, B.C. ("Cedarbridge"). Mr. Zhao also introduced Mr. Wang to his daughter, Ms. Zhao. On October 16, 2015, Ms. Zhao sent information about Cedarbridge to Mr. Wang. Mr. Wang visited the property. At this point there is another divergence in the evidence:</w:t>
      </w:r>
      <w:r>
        <w:rPr>
          <w:rFonts w:ascii="arial" w:eastAsia="arial" w:hAnsi="arial" w:cs="arial"/>
          <w:sz w:val="18"/>
          <w:lang w:val="en-US" w:eastAsia="en-US" w:bidi="ar-SA"/>
        </w:rPr>
        <w:cr/>
      </w:r>
    </w:p>
    <w:p>
      <w:pPr>
        <w:numPr>
          <w:numId w:val="1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Mr. Zhao advised Mr. Wang that Ms. Zhao would be his real estate agent. At the site visit, Mr. Wang indicated that he was only interested in the Cedarbridge property if it could be bundled with an adjoining lot on Minoru Boulevard, in order to create a larger development opportunity. Mr. Wang asked Mr. Zhao to have Ms. Zhao contact the owner of the Minoru property. Mr. Zhao visited the property again the next day with Mr. Wang and Mr. Wong. On October 18, the Zhaos went to Mr. Wang's home and provided him with documentation for a potential offer. Mr. Wang declined to sign, indicating that he needed it bundled with the Minoru property in order for it to be an attractive investment. Mr. Wang said that the Zhaos should think of another way to hold the Cedarbridge property in the meantime. The Zhaos arranged to make an offer on the Cedarbridge property through a related company, in order to hold the land for Mr. Wang while they investigated whether the adjoining Minoru property could be purchased. This offer was dated September 24 in error, but does have the correct date noted on the last page. The offer was open until October 19. There was further communication about the offer on October 22. A few days later the Minoru property was sold, which put an end to the initiative. In the meantime, Mr. Wang asked if there were any other commercial properties out there that were larger. Mr. Zhao asked Mr. Wang if he might be interested in properties in Burnaby. This evolved into the discussion summarized below regarding the Sussex Properties.</w:t>
      </w:r>
    </w:p>
    <w:p>
      <w:pPr>
        <w:numPr>
          <w:numId w:val="1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Although he admits to visiting the Cedarbridge property, he says he was never interested in it because he had been told that there was too much risk of flooding in Richmond. He admits the Zhaos may have prepared an offer, but he says he had no interest in it. He suggests there was no discussion about the adjacent property.</w:t>
      </w:r>
    </w:p>
    <w:p>
      <w:pPr>
        <w:numPr>
          <w:numId w:val="1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Wong: Mr. Wong says that Mr. Wang did call him for assistance in evaluating the development prospects of the Cedarbridge property. Mr. Wong is an engineer with experience in the technical aspects of commercial real estate development. Mr. Wong did visit the site with Mr. Wang. They discussed the possibility and advisability of assembling the lot for sale with the adjacent lot. Mr. Wong alerted him to the complexity of the process and the need to address environmental issues. Mr. Wong said that Mr. Wang seemed interested. Mr. Wong went so far as to visit Richmond's municipal offices to confirm what the next steps would be. He also made inquiries about a potential mortgage. He reported back to Mr. Wang, who still seemed interested. However, he then did not hear anything further until Mr. Wang called him about the Sussex Properties. It was only at that point that Mr. Wang told him he was no longer pursuing the Cedarbridge opportunity.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an introductory call on October 22, 2015 about the potential new opportunity in Burnaby, the Zhaos say they met Mr. Wang on October 23 to discuss this new opportunity further. The nature of this discussion, and the follow up therefrom, yields the next evidentiary divergence:</w:t>
      </w:r>
      <w:r>
        <w:rPr>
          <w:rFonts w:ascii="arial" w:eastAsia="arial" w:hAnsi="arial" w:cs="arial"/>
          <w:sz w:val="18"/>
          <w:lang w:val="en-US" w:eastAsia="en-US" w:bidi="ar-SA"/>
        </w:rPr>
        <w:cr/>
      </w:r>
    </w:p>
    <w:p>
      <w:pPr>
        <w:numPr>
          <w:numId w:val="1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The Zhaos say that they initially presented Mr. Wang with an opportunity related to a property for sale at 6585 Sussex Avenue in Burnaby ("6585"). A colleague of Mr. Zhao named Jordan Guo controlled this listing. Mr. Guo's client, 1049821 B.C. Ltd. ("1049821"), had entered into a contract to purchase 6585, and was seeking a buyer to whom it could assign this contract.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6585 was one of three adjoining properties on Sussex Avenue close to the Metrotown shopping mall which, if successfully brought together, had the potential to be a good site for a high-rise apartment development. The other two properties were 6525 Sussex ("6525"), located at the corner of Sussex Avenue and Beresford Street, and 6559 Sussex ("6559"), located between the other two lots. Mr. Zhao mentioned the existence of these other two properties at the October 23 meeting. Mr. Zhao knew there was a possibility of assembling the properties at that time, because he had communicated with Mr. Guo about this potential on October 29.</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Mr. Zhao sought to encourage Mr. Wang to start the process of assembly by at least making an offer on 6585 alone. However, Mr. Wang would not do so, as he felt that not also controlling the other properties would create a huge risk. Mr. Wang suggested getting another company to make an offer in order to ensure control over the 6559 property. They discussed that there would be some cost to this interim step. The Zhaos raised whether they should use a controlled numbered company to put a hold on 6559. They decided this was the best course of action. On November 2, the Zhaos asked their accountant to create a numbered company owned by Mr. Zhao's wife. 1054499 B.C. Ltd. ("1054499") was thus incorporated.</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On November 3, Mr. Zhao visited the Sussex Properties with Mr. Wang. Mr. Wang said he wanted to acquire the three properties together, and pay and required deposits together. Mr. Zhao told him they had registered a company to put a hold on 6559. Mr. Wang advised Mr. Zhao that the associated assignment fee on that aspect of the transaction should not be too much. Mr. Wang said he wanted the price on 6585 to be reduced down to $12 million from the expected necessary amount of $14 million. Mr. Zhao advised that this would be difficult.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On November 4, 2015, Mr. Wang came to Home Park's offices. He said he was interested in 6585, but that he needed to ensure that he obtained 6525 and 6559 as well. Mr. Zhao advised that he was reasonably confident they could secure 6559, but the owner of 6525 was not available. He reiterated his concern about the ability to lower the price on 6585. Mr. Wang said he was willing to pay a bonus to the Zhaos on top of any commission they would otherwise receive if they were successful in securing contracts for him to purchase all three properties. Mr. Wang asked how much would be acceptable. The Zhaos said perhaps between $200,000 and $300,000. Mr. Wang said $300,000 would be acceptable. The Zhaos agreed. The Zhaos testified that Mr. Wang concluded by saying, "I'll pay the money and you do the work." The Zhaos said it was clear that this $300,000 would come from Mr. Wang, and not from the sellers.</w:t>
      </w:r>
    </w:p>
    <w:p>
      <w:pPr>
        <w:numPr>
          <w:numId w:val="16"/>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Mr. Guo: Mr. Guo testified that Colliers International, the agent for the original owner of 6585, had already done some preliminary investigation about the potential for packaging the Sussex Properties, and obtained some indication that the owners of the other two properties might be prepared to sell. Mr. Guo said that various parties investigating the purchase of his client's right to purchase 6585 had raised the same possibility. Mr. Guo conducted some of his own investigations with the municipality, and also came to the conclusion that assembly was a realistic option. Mr. Guo sent an ad to a WeChat</w:t>
      </w:r>
      <w:bookmarkStart w:id="101"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01"/>
      <w:r>
        <w:rPr>
          <w:rFonts w:ascii="arial" w:eastAsia="arial" w:hAnsi="arial" w:cs="arial"/>
          <w:color w:val="000000"/>
          <w:sz w:val="20"/>
          <w:lang w:val="en-US" w:eastAsia="en-US" w:bidi="ar-SA"/>
        </w:rPr>
        <w:t xml:space="preserve"> discussion group about this opportunity, including to Mr. Zhao. He later discussed this opportunity directly with Mr. Zhao. By October 22, Mr. Guo was emailing Mr. Zhao details about the potential to purchase all three properties, but also warning him that this "is a location that will be hotly contested by developers." At this point, Mr. Guo was only the agent for 1049821 on the 6585 property. On October 28, he sent Mr. Zhao an email outlining the price expected to be required to purchase the three lots, showing 6525 at $14 million, 6559 at $6 million, and 6585 at $12 million, for a total projected amount of $32 million.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Mr. Guo did eventually become the agent for the other persons in a position to sell control of the other two Sussex Properties, although it took him some time to find the owners of 6525 - the key corner lot. The 6525 owners were out of town when the discussions with Mr. Wang began. Mr. Guo was told by Mr. Zhao that Mr. Wang wanted to make sure he had control of 6525 before proceeding further. Mr. Guo was never advised about, nor was he present for any discussions about, a $300,000 bonus payable to the Zhaos from Mr. Wang.</w:t>
      </w:r>
    </w:p>
    <w:p>
      <w:pPr>
        <w:numPr>
          <w:numId w:val="1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Mr. Wang says that the first mention to him of the Sussex Properties was through a text message on November 3 enclosing information on all three Sussex Properties. He said that the concept of purchasing 6585 separately from the other properties was never presented to him. Rather, the opportunity was presented as a bundle from the outset. He said he was told that Mr. Guo had the three Sussex Properties in his control from the first discussion. He suggested his interest was first triggered by Mr. Zhao's request that Mr. Wang help Mr. Guo out, because Mr. Guo's client was about to lose the deposit on 6585. Mr. Wang says the concept of his paying a $300,000 bonus to Home Park for bundling the Sussex Properties was not discussed at the November 4 meeting, nor at any time thereafter.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Wang's colleague, Mr. Zhang, testified about a meeting that he said occurred sometime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November 1, 2016. Mr. Zhang says that Mr. Wang, Mr. Zhao, and he were present. Mr. Zhang says that they discussed the Sussex Properties, and that Mr. Wang suggested that a $50,000 bonus could be paid to the Zhaos for the assembly effort. The Zhaos did not give evidence about such a meeting. It is also inconsistent with Mr. Wang's own evidence, although Mr. Wang did suggest there was a meeting in November where he proposed that $50,000 be paid to Home Park. At one point, Mr. Wang testified that he stated, "I would give you 50,000". Later, he suggested that this $50,000 was actually to be paid by the seller. He then suggested that he added $50,000 to his own offer for 6525, and that he told Mr. Zhao to ask the seller to give that extra amount to Mr. Zhao as a bonus. Put bluntly, Mr. Wang's evidence was confusing and disjointed on this potential bonus payment.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5, 2015, the Zhaos prepared an offer for 6559 on behalf of their company 1054499, at $5.8 million. The evidence diverges on the need, knowledge, and nature of this proposed purchase:</w:t>
      </w:r>
      <w:r>
        <w:rPr>
          <w:rFonts w:ascii="arial" w:eastAsia="arial" w:hAnsi="arial" w:cs="arial"/>
          <w:sz w:val="18"/>
          <w:lang w:val="en-US" w:eastAsia="en-US" w:bidi="ar-SA"/>
        </w:rPr>
        <w:cr/>
      </w:r>
    </w:p>
    <w:p>
      <w:pPr>
        <w:numPr>
          <w:numId w:val="1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The Zhaos say they were concerned that third parties might jump in and make an offer on 6559 before all three properties could be secured for Mr. Wang. The Zhaos state that their intention was always to re-convey control of this property to Mr. Wang once all three properties were assembled. Mr. Zhao says that Mr. Wang was aware of this plan.</w:t>
      </w:r>
    </w:p>
    <w:p>
      <w:pPr>
        <w:numPr>
          <w:numId w:val="1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Mr. Wang says he was never advised of the Zhaos' intention to have 1054499 purchase one of the properties for his benefit, nor was the relationship between the Zhaos and 1054499 ever disclosed to him.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1054499's offer for 6559 was not initially accepted. On November 9, 2015, Mr. Guo, now as agent for the owners of 6559, wrote suggesting that while the price offered was acceptable, certain collateral terms needed to be adjusted. On November 16, Ms. Zhao prepared a fresh offer to purchase 6559 at the same price but with certain material changes. For example, the "subject to inspection" clause was removed. On November 21, this offer was accepted.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this time frame, the Zhaos and Mr. Guo were making efforts to locate the owner of 6525. Eventually contact was made through the son of the owner, and Mr. Guo started having conversations with him about price.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November 15, 2015, Mr. Zhao says he had further discussions with Mr. Guo about the price for 6585 and 6525.</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November 17, 2015, Ms. Zhao prepared offers for Mr. Wang to seek control of 6525 and 6585, along with other documents real estate agents are required to prepare and have signed, including "Working with a Realtor" and "Disclosure of Remuneration" forms. The offer prepared for Mr. Wang to purchase 6585 took the form of an Assignment of Contract of Purchase and Sale from 1049821. Under the offer, Mr. Wang would pay the purchase price payable under 1049821's existing contract with the owner of $11.88 million (including a $100,000 deposit already paid by 1049821), plus a $620,000 assignment fee payable to 1049821. The offer prepared for 6525 was simpler. It took the form of a Contract of Purchase and Sale for Commercial Real Estate made by Mr. Wang directly to the current owner of 6525 for $15 million.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November 17, 2015, the Zhaos met Mr. Wang at his home. The documents relating to the offer on 6585 were signed. Ms. Zhao says that she went through the documents with Mr. Wang, including the offer, the "Working with a Realtor" form, and the "Disclosure of Remuneration" form explaining that an anticipated $150,000 commission would be paid to Home Park by the seller. Mr. Wang agreed that the 6585 offer documents were signed on this day, but disagrees that there was any material explanation of same. He says he did not appreciate that the documents showed Ms. Zhao as his realtor.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Before Mr. Wang's offer on 6525 could be signed, the Zhaos testified that an issue arose in relation to the price demanded by the owner. The evidence diverges:</w:t>
      </w:r>
      <w:r>
        <w:rPr>
          <w:rFonts w:ascii="arial" w:eastAsia="arial" w:hAnsi="arial" w:cs="arial"/>
          <w:sz w:val="18"/>
          <w:lang w:val="en-US" w:eastAsia="en-US" w:bidi="ar-SA"/>
        </w:rPr>
        <w:cr/>
      </w:r>
    </w:p>
    <w:p>
      <w:pPr>
        <w:numPr>
          <w:numId w:val="2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The Zhaos say that before meeting with Mr. Wang, the owner of 6525 indicated that he wanted more than $15 million gross before commissions. It was not initially known exactly what the new required amount would be. Mr. Wang was not happy about this development. Anticipating a gap between the parties, the Zhaos agreed to reduce the commission that they would otherwise have earned on this sale down from $150,000 to $50,000.</w:t>
      </w:r>
    </w:p>
    <w:p>
      <w:pPr>
        <w:numPr>
          <w:numId w:val="21"/>
        </w:numPr>
        <w:tabs>
          <w:tab w:val="num" w:pos="1480"/>
          <w:tab w:val="clear" w:pos="184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Mr. Guo: Mr. Guo agrees that there was a discussion of a price increase for 6525 near the end of the negotiation. He says that the increase was from the $14 million net to the owners originally contemplated by the Zhaos and Mr. Wang, up to a price that would net the owners at least $14.8 million after the payment of commissions. Based on a planned shared commission of $300,000, this would require Mr. Wang to pay $15.1 million. On Mr. Guo's version of events, Mr. Wang then indicated that he would not pay more than $15 million. An agreement was achieved by Mr. Wang paying only $15 million, and the Zhaos agreeing to lower their commission from $150,000 to $50,000, thereby netting the owners the $14.8 million they desired.</w:t>
      </w:r>
    </w:p>
    <w:p>
      <w:pPr>
        <w:numPr>
          <w:numId w:val="22"/>
        </w:numPr>
        <w:tabs>
          <w:tab w:val="num" w:pos="1480"/>
          <w:tab w:val="clear" w:pos="184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Mr. Wang suggests that there was never any negotiation or issue with the price -- $15 million was his first and last offer. Further, he says there was never any discussion with the Zhaos about reducing their commission.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All versions of the evidence on this issue do at least arrive at the same final economic point, that is, an agreement by Mr. Wang to pay $15 million for 6525, with a $50,000 commission payable to the Zhaos.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Zhaos say that the Disclosure of Remuneration form for 6525 discussed above was signed by Mr. Wang on November 17. This form advised that Home Park anticipated receiving a commission of $50,000 "plus a buyer's bonus". In terms of the reference to the "buyer's bonus", Ms. Zhao said that she was not sure how to reflect the bonus agreement discussed above in the documents, but thought that she should recognize it somewhere. As such, she added these words to 6525's Disclosure of Remuneration form to record and emphasize Mr. Wang's own personal obligation. Ms. Zhao said that she also reiterated orally that Mr. Wang would have to add the $300,000 bonus that he had agreed to pay to them for successfully assisting him in obtaining the rights to all three Sussex Properties. She explained to Mr. Wang that this referred to the earlier agreed bonus amount.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Zhao's explanation of the English documents was in Mandarin. Given her own limitations in written English, she accepts that she only provided her explanations in general terms, and that she did not explain the terms line by line. She accepts that the November 17 meeting happened rather quickly, as Mr. Wang was in the midst of having a meeting with others, and the Zhaos did not want to take up too much of Mr. Wang's time. However, she says she identified for him the key elements of the contracts, and the purpose of each document.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Zhaos say they were advised later this day that the owner of 6525 only required an extra $100,000. Hence, the $100,000 commission reduction they had already agreed to would cover the gap. The necessary documents for 6525 could now be executed. Mr. Zhao says that on the morning of November 18, 2015, he called Mr. Wang and advised him about the final price point. He asked whether Mr. Wang would be prepared to split the $100,000 sacrifice made by the Zhaos. Mr. Wang refused.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Zhaos then arranged to meet with Mr. Wang later that day to execute the balance of the 6525 offer documents. They determined that this meeting would be an appropriate time to obtain written confirmation of Mr. Wang's oral agreement to pay the $300,000 bonus for assembling the Sussex Properties. Mr. Zhao asked one of the agents in his office, Helen Yin, to prepare the agreement (the "Original Bonus Agreement") as Ms. Zhao was not feeling well that day. Ms. Yin agreed that the agreement was drafted in a rush because Mr. Zhao wanted to bring it to Mr. Wang that day. It was the first such agreement that she had prepared.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Original Bonus Agreement stated as follows:</w:t>
      </w:r>
      <w:r>
        <w:rPr>
          <w:rFonts w:ascii="arial" w:eastAsia="arial" w:hAnsi="arial" w:cs="arial"/>
          <w:sz w:val="18"/>
          <w:lang w:val="en-US" w:eastAsia="en-US" w:bidi="ar-SA"/>
        </w:rPr>
        <w:cr/>
      </w:r>
    </w:p>
    <w:p>
      <w:pPr>
        <w:spacing w:line="260" w:lineRule="atLeast"/>
        <w:rPr>
          <w:rFonts w:ascii="arial" w:eastAsia="arial" w:hAnsi="arial" w:cs="arial"/>
          <w:sz w:val="18"/>
          <w:lang w:val="en-US" w:eastAsia="en-US" w:bidi="ar-SA"/>
        </w:rPr>
      </w:pPr>
      <w:r>
        <w:pict>
          <v:shape id="_x0000_i1122" type="#_x0000_t75" style="width:366.75pt;height:426pt">
            <v:imagedata r:id="rId548" o:title=""/>
          </v:shape>
        </w:pict>
      </w:r>
      <w:r>
        <w:rPr>
          <w:rFonts w:ascii="arial" w:eastAsia="arial" w:hAnsi="arial" w:cs="arial"/>
          <w:sz w:val="18"/>
          <w:lang w:val="en-US" w:eastAsia="en-US" w:bidi="ar-SA"/>
        </w:rPr>
        <w:t xml:space="preserve">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Zhao had planned to meet with Mr. Wang to sign the 6525 offer and the Original Bonus Agreement but, at the last minute, she was unable to do so due to health problems. She signed as a witness to Mr. Wang's signature in the office without meeting with him. She testified that she would not do this today, but at the time she had less experience, and she was confident that he was going to be signing the document. She claims that she printed out a fresh form when she realized she was not going, but suggests Mr. Zhao must have forgotten to pick it up.</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Zhao and Mr. Guo (in his role as agent for the seller of 6525) met Mr. Wang. The documents were signed. Mr. Zhao says that Mr. Guo was over on the couch when the Original Bonus Agreement was signed. Note that none of the documents signed this day form the subject matter of the present actions, although they do set the stage for later developments.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November 18, 2015, all the necessary offers had been made.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Wang stated during his discovery that Mr. Wong was with him when all the offers were signed. However, he was forced to resile from this position at trial. Mr. Wang also had difficulty recalling the dates of the meetings to execute the various offers.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November 19, 2015, the offer made by Mr. Wang on 6525 Sussex was accepted. The closing date was May 30, 2016. On November 21, 2015, the offer made by Mr. Wang on 6585 was accepted, as was the offer made by 1054499 on 6559. The closing date on 6559 was also May 30, 2016. The closing date for 6585 was set for March 30, 2016.</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this point, the assembly of the three properties for Mr. Wang was complete, with the exception of 1054499 needing to assign its 6559 contract to Mr. Wang so he would formally control all three properties. To complete this last step, Ms. Zhao prepared an Assignment of Contract of Purchase and Sale. In addition to the assignment, Ms. Zhao also prepared a Limited Dual Agency Agreement (as she was acting both for 1054499 and Mr. Wang on this aspect of the transactions) as well as Disclosures of Remuneration. This transaction included payment of an assignment fee of $30,000 to 1054499. The Zhaos say that this amount essentially covered 1054499's incorporation and disincorporation costs and other expenses, and that a true assignment would have included a much greater uplift, as evidenced by the amount of the uplifts earned in other assignment transactions within this series. The Zhaos stated that, given the state of the commercial real estate market, standard uplifts on properties of this amount were in the hundreds of thousands, or even in the millions. Mr. Zhao testified that a $300,000 uplift would have been very reasonable had it been a pure arm's-length transaction.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preparing the documents, Ms. Zhao says she noticed that the Original Bonus Agreement prepared by Ms. Yin contained a number of errors. Specifically, it did not specify when the $300,000 bonus was to be paid, it did not include the name of the Personal Real Estate Corporation through which she did business, and it referred to a Multiple Listing Service ("MLS") listing although the properties were not listed on MLS. Finally, it also incorrectly suggested that it was altering an earlier commission. As such, Ms. Zhao revised the agreement to correct these errors. The new bonus agreement (the "Bonus Agreement") read as follows:</w:t>
      </w:r>
      <w:r>
        <w:rPr>
          <w:rFonts w:ascii="arial" w:eastAsia="arial" w:hAnsi="arial" w:cs="arial"/>
          <w:sz w:val="18"/>
          <w:lang w:val="en-US" w:eastAsia="en-US" w:bidi="ar-SA"/>
        </w:rPr>
        <w:cr/>
      </w:r>
    </w:p>
    <w:p>
      <w:pPr>
        <w:spacing w:line="260" w:lineRule="atLeast"/>
        <w:rPr>
          <w:rFonts w:ascii="arial" w:eastAsia="arial" w:hAnsi="arial" w:cs="arial"/>
          <w:sz w:val="18"/>
          <w:lang w:val="en-US" w:eastAsia="en-US" w:bidi="ar-SA"/>
        </w:rPr>
      </w:pPr>
      <w:r>
        <w:pict>
          <v:shape id="_x0000_i1123" type="#_x0000_t75" style="width:387pt;height:488.25pt">
            <v:imagedata r:id="rId549" o:title=""/>
          </v:shape>
        </w:pict>
      </w:r>
      <w:r>
        <w:rPr>
          <w:rFonts w:ascii="arial" w:eastAsia="arial" w:hAnsi="arial" w:cs="arial"/>
          <w:sz w:val="18"/>
          <w:lang w:val="en-US" w:eastAsia="en-US" w:bidi="ar-SA"/>
        </w:rPr>
        <w:t xml:space="preserve">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Zhaos met with Mr. Wang on November 22, 2015, and the offer by Mr. Wang to take an assignment of 1054499's 6559 contract was signed. Mr. Wang also signed a Disclosure of Remuneration form at that time stating that Home Park anticipated receiving a commission of "$60,900 plus buyer's bonus" on the 6559 transaction. Another evidentiary divergence occurs at this point:</w:t>
      </w:r>
      <w:r>
        <w:rPr>
          <w:rFonts w:ascii="arial" w:eastAsia="arial" w:hAnsi="arial" w:cs="arial"/>
          <w:sz w:val="18"/>
          <w:lang w:val="en-US" w:eastAsia="en-US" w:bidi="ar-SA"/>
        </w:rPr>
        <w:cr/>
      </w:r>
    </w:p>
    <w:p>
      <w:pPr>
        <w:numPr>
          <w:numId w:val="23"/>
        </w:numPr>
        <w:tabs>
          <w:tab w:val="num" w:pos="1480"/>
          <w:tab w:val="clear" w:pos="184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The Zhaos say that the revised Bonus Agreement was also signed on this date, and that Mr. Zhao alerted Mr. Wang by phone prior to the meeting that they would be presenting a corrected version. The Bonus Agreement is in fact dated November 22. Ms. Zhao testified that at the in-person meeting she explained to Mr. Zhao that there were errors in the Initial Bonus Agreement, and that is why a new agreement needed to be signed. The reason that a May 30, 2016 completion date was chosen is because the various deals would not all be completed until this date. Payout of the bonus was not appropriate until all the deals were complete. There was always a risk that something could go wrong, right up to closing. Ms. Zhao accepted that Mr. Wang's review of the Bonus Agreement was relatively cursory. The reason that a copy of the Bonus Agreement was not left with Mr. Wang was that there was no photocopier available.</w:t>
      </w:r>
    </w:p>
    <w:p>
      <w:pPr>
        <w:numPr>
          <w:numId w:val="24"/>
        </w:numPr>
        <w:tabs>
          <w:tab w:val="num" w:pos="1480"/>
          <w:tab w:val="clear" w:pos="184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Mr. Wang suggests that Ms. Zhao was not present when the assignment was signed, even though her signature is on the document. Mr. Wang also says that the Bonus Agreement was not signed at this November 22 meeting. Rather, it was signed two months later, during a February 11, 2016 trip discussed below.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same date, Ms. Zhao emailed Mr. Wang the accepted offers on all three properties, including one for 6559 that disclosed that 1054499 was the purchaser.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November 23, 2015, on behalf of 1054499, Mr. Zhao's wife executed the document required to transfer the 6559 rights to Mr. Wang. This put all three properties formally under Mr. Wang's contractual control. He went ahead and paid certain deposits that day during an in-person meeting with Mr. Zhao. They went to meet the owner of 6559. Mr. Zhao says that during that visit, Mr. Wang asked him what he could potentially earn were he to further assign his rights to another third party. Mr. Zhao said he would do some investigation and let him know.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Zhao received a text communication from Mr. Guo on November 25, 2015 whereby Mr. Guo asked whether Mr. Wang would be interested in assigning his rights to the Sussex Properties for a $5 million uplift. Mr. Zhao says he advised Mr. Wang about this opportunity, and that Mr. Wang said he wanted a couple of days to think about it. This is consistent with a text sent from Mr. Wang to Mr. Guo that same day.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During this period, Mr. Wang was also in contact with bankers who might be willing to provide financing to allow him to complete the development himself. He was also considering whether he could locate local partners to assist in developing the property. Mr. Wang disputes that he was even considering assignment over this period.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What is known is that an exclusive listing agreement ("ELA") dated November 27, 2015 was eventually signed that granted the Zhaos the right to act as exclusive agents for any assignment of Mr. Wang's rights to the Sussex Properties. The ELA included the following terms:</w:t>
      </w:r>
    </w:p>
    <w:p>
      <w:pPr>
        <w:spacing w:line="260" w:lineRule="atLeast"/>
        <w:jc w:val="center"/>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EXCLUSIVE LISTING CONTRACT</w:t>
      </w:r>
    </w:p>
    <w:p>
      <w:pPr>
        <w:spacing w:line="260" w:lineRule="atLeast"/>
        <w:jc w:val="center"/>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(NOT A MULTIPLE LISTING CONTRACT)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1. LISTING AUTHORITY AND TERM</w:t>
      </w:r>
    </w:p>
    <w:p>
      <w:pPr>
        <w:numPr>
          <w:numId w:val="2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Seller hereby lists exclusive with the Listing Brokerage the property described in Clause 2...</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B</w:t>
            </w:r>
          </w:p>
        </w:tc>
        <w:tc>
          <w:tcPr>
            <w:tcW w:w="778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The Seller hereby:</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agrees to allow the Listing Brokerage ... to allow other brokerages acting for a prospective buyer or, with the consent of the Seller, as a sub-agent of the Listing Brokerage ("Other Brokerages"), to show the Property to prospective buyers.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5. ASSIGNMENT OF REMUNERATION.</w:t>
      </w:r>
      <w:r>
        <w:rPr>
          <w:rFonts w:ascii="arial" w:eastAsia="arial" w:hAnsi="arial" w:cs="arial"/>
          <w:color w:val="000000"/>
          <w:sz w:val="20"/>
          <w:lang w:val="en-US" w:eastAsia="en-US" w:bidi="ar-SA"/>
        </w:rPr>
        <w:t xml:space="preserve"> The Seller hereby irrevocably:</w:t>
      </w:r>
    </w:p>
    <w:p>
      <w:pPr>
        <w:numPr>
          <w:numId w:val="2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Assigns to the Listing Brokerage from the proceeds of sale of the Property, the amount of remuneration due to the Listing Brokerage and authorizes the Listing Brokerage to retain from the deposit monies the amount of the Listing Brokerage's remuneration; and</w:t>
      </w:r>
    </w:p>
    <w:p>
      <w:pPr>
        <w:numPr>
          <w:numId w:val="2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Directs, or agrees to sign such documents as may be required by the Listing Brokerage irrevocably directing a Lawyer or Notary Public acting for the Seller or a buyer, to pay to the Listing Brokerage the remuneration due to the Listing Brokerage, or the net amount remaining after the deposit monies held in trust have been credited against the remuneration due to the Listing Brokerage.</w:t>
      </w:r>
    </w:p>
    <w:p>
      <w:pPr>
        <w:spacing w:before="120"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6. DESIGNATED AGENCY</w:t>
      </w:r>
    </w:p>
    <w:p>
      <w:pPr>
        <w:numPr>
          <w:numId w:val="2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Subject to Clause 11A the Listing Brokerage designates Laura Zhao PREC (the "Designated Agent") to act as the sole agent of the Seller in respect of the Property ...</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C</w:t>
            </w:r>
          </w:p>
        </w:tc>
        <w:tc>
          <w:tcPr>
            <w:tcW w:w="778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Subject to Clause 11A the Seller agrees that:</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numPr>
          <w:numId w:val="30"/>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an agency relationship will exist only with the Designated Agent;</w:t>
      </w:r>
    </w:p>
    <w:p>
      <w:pPr>
        <w:spacing w:before="120"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9. THE SELLER AGREES:</w:t>
      </w:r>
    </w:p>
    <w:p>
      <w:pPr>
        <w:numPr>
          <w:numId w:val="3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To promptly advise the Designated Agent of, and refer to the Designated Agent all inquiries for the purchase of the Property, and to deliver to the Designated Agent all offers to purchase which may be received during the term of this exclusive Contract or arising by reason of it; ...</w:t>
      </w:r>
    </w:p>
    <w:p>
      <w:pPr>
        <w:spacing w:before="120" w:line="260" w:lineRule="atLeast"/>
        <w:ind w:left="1080"/>
        <w:rPr>
          <w:rFonts w:ascii="arial" w:eastAsia="arial" w:hAnsi="arial" w:cs="arial"/>
          <w:sz w:val="18"/>
          <w:lang w:val="en-US" w:eastAsia="en-US" w:bidi="ar-SA"/>
        </w:rPr>
      </w:pPr>
      <w:r>
        <w:rPr>
          <w:rFonts w:ascii="arial" w:eastAsia="arial" w:hAnsi="arial" w:cs="arial"/>
          <w:b/>
          <w:color w:val="000000"/>
          <w:sz w:val="20"/>
          <w:lang w:val="en-US" w:eastAsia="en-US" w:bidi="ar-SA"/>
        </w:rPr>
        <w:t>EXCLUSIVE LISTING CONTRACT SCHEDULE "A"</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seller agrees [to] the following terms:</w:t>
      </w:r>
    </w:p>
    <w:p>
      <w:pPr>
        <w:numPr>
          <w:numId w:val="32"/>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The seller agrees the final offer price is $37,800,000.00.</w:t>
      </w:r>
    </w:p>
    <w:p>
      <w:pPr>
        <w:numPr>
          <w:numId w:val="33"/>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If three lots (6525, 6559, 6585 Sussex Ave, Burnaby) will be sold $38,200,000.000, the seller agrees [to] pay selling commission that is sold price 1% to buyer's agent.</w:t>
      </w:r>
    </w:p>
    <w:p>
      <w:pPr>
        <w:numPr>
          <w:numId w:val="34"/>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If three lots (66525, 6559, 6585 Sussex Ave, Burnaby) will be sold between $38,200,000.00- $38,700,000.00, the seller agrees that the excess part will be as the seller's agent of the commission to pay the seller's agent, and there is not any commission pay for the buyer's agent.</w:t>
      </w:r>
    </w:p>
    <w:p>
      <w:pPr>
        <w:numPr>
          <w:numId w:val="35"/>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If three lots (66525, 6559, 6585 Sussex Ave, Burnaby) will be sold over $38,700,000.00, the seller agrees that the excess part will be assigned to the seller and the seller's agent (as the seller's agent of the commission) each 50%.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further written agreement was signed governing the Zhao's commission. This agreement (the "Commission Guarantee Agreement") read as follows:</w:t>
      </w:r>
      <w:r>
        <w:rPr>
          <w:rFonts w:ascii="arial" w:eastAsia="arial" w:hAnsi="arial" w:cs="arial"/>
          <w:sz w:val="18"/>
          <w:lang w:val="en-US" w:eastAsia="en-US" w:bidi="ar-SA"/>
        </w:rPr>
        <w:cr/>
      </w:r>
    </w:p>
    <w:p>
      <w:pPr>
        <w:spacing w:line="260" w:lineRule="atLeast"/>
        <w:rPr>
          <w:rFonts w:ascii="arial" w:eastAsia="arial" w:hAnsi="arial" w:cs="arial"/>
          <w:sz w:val="18"/>
          <w:lang w:val="en-US" w:eastAsia="en-US" w:bidi="ar-SA"/>
        </w:rPr>
      </w:pPr>
      <w:r>
        <w:pict>
          <v:shape id="_x0000_i1124" type="#_x0000_t75" style="width:5in;height:480.75pt">
            <v:imagedata r:id="rId550" o:title=""/>
          </v:shape>
        </w:pict>
      </w:r>
      <w:r>
        <w:rPr>
          <w:rFonts w:ascii="arial" w:eastAsia="arial" w:hAnsi="arial" w:cs="arial"/>
          <w:sz w:val="18"/>
          <w:lang w:val="en-US" w:eastAsia="en-US" w:bidi="ar-SA"/>
        </w:rPr>
        <w:t xml:space="preserve">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Beyond the fact that these documents were eventually signed by Mr. Wang, virtually every other aspect of their creation and execution is contested:</w:t>
      </w:r>
      <w:r>
        <w:rPr>
          <w:rFonts w:ascii="arial" w:eastAsia="arial" w:hAnsi="arial" w:cs="arial"/>
          <w:sz w:val="18"/>
          <w:lang w:val="en-US" w:eastAsia="en-US" w:bidi="ar-SA"/>
        </w:rPr>
        <w:cr/>
      </w:r>
    </w:p>
    <w:p>
      <w:pPr>
        <w:numPr>
          <w:numId w:val="3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Mr. Zhao says that he followed up with Mr. Wang on Mr. Guo's $5 million uplift proposal on November 26, 2015. Mr. Wang said he was open to an assignment (although not necessarily at that price), and that he wished to hire Home Park as his agent to find a buyer. They discussed commission terms. Mr. Zhao proposed a straight 2% commission, but Mr. Wang refused. Mr. Zhao says that Mr. Wang proposed the following structure to Mr. Zhao. First, Mr. Wang stated that the lowest price he would accept would be $37,800,000. If the properties sold for between $37,800,000 and $38,200,000, he was willing to pay a 1% commission to the buyer's agent, but nothing to Home Park. If the properties sold for between $38,200,000 and $38,700,000, the surplus over $38,200,000 would go to the Zhaos as their commission. If the properties sold for over $38,700,000, then Mr. Wang and the Zhaos would split the further surplus.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Zhaos agreed to accept the listing on these terms. Mr. Zhao said that he told Mr. Wang that the arrangement needed to be exclusive. Mr. Zhao accepts that he did not expressly say that this meant that the commission would still have to be paid to Home Park even if someone else found a buyer.</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Ms. Zhao prepared the ELA. However, before meeting with Mr. Wang to sign the document, Ms. Zhao identified a problem. If an offer was received at an amount below $38,200,000, and Mr. Wang accepted it notwithstanding his assurance otherwise, there would be no commission payable to anyone. They called Mr. Wang several times to discuss this flaw. Mr. Wang said that they should simply do everything necessary to sell it at a higher price. Mr. Zhao was prepared to consider this, but Ms. Zhao was not prepared to assume such a risk.</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Mr. Wang eventually agreed that they should be guaranteed a minimum $200,000 commission. As such, Ms. Zhao prepared the Commission Guarantee Agreement. Ms. Zhao thought it would be simpler to have this set out in a supplementary agreement, rather than having to re-work the terms of the ELA. (Given that the Sussex Properties eventually sold for more than $38,200,000, the amount that would have been payable under the Commission Guarantee Agreement is not directly at issue in this litigation.)</w:t>
      </w:r>
    </w:p>
    <w:p>
      <w:pPr>
        <w:numPr>
          <w:numId w:val="3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Mr. Wang says that he never discussed the terms of a commission with Mr. Zhao before or after November 27, and that he was not convinced that he should sell his interest in the Sussex Properties at all until much later. As discussed further below, he says that ELA was in fact only signed in late December 2015.</w:t>
      </w:r>
    </w:p>
    <w:p>
      <w:pPr>
        <w:numPr>
          <w:numId w:val="3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Guo: Mr. Guo provided certain details that support a finding that the potential for assignment was in fact discussed in November 2015. He confirmed that on November 25, 2015, he sent the text to Mr. Zhao inquiring whether Mr. Wang might be interested in selling his interests for a $5 million uplift. There is a further text from Mr. Guo dated November 27 stating, "People are calling on a daily basis asking for an assignment of the contract". Mr. Wang responded, "I talked to Wang again, there's still some hope, will discuss the details with you tomorrow." Mr. Guo testified that he understood that during this period, the Zhaos had an exclusive agreement with Mr. Wang, and that is why he funnelled all his inquiries through the Zhaos.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Zhaos say they met with Mr. Wang on November 27 at his home to have him sign the revised Bonus Agreement and the Commission Guarantee Agreement. The evidence splits again:</w:t>
      </w:r>
      <w:r>
        <w:rPr>
          <w:rFonts w:ascii="arial" w:eastAsia="arial" w:hAnsi="arial" w:cs="arial"/>
          <w:sz w:val="18"/>
          <w:lang w:val="en-US" w:eastAsia="en-US" w:bidi="ar-SA"/>
        </w:rPr>
        <w:cr/>
      </w:r>
    </w:p>
    <w:p>
      <w:pPr>
        <w:numPr>
          <w:numId w:val="3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Mr. Zhao testified that the meeting happened in Mr. Wang's study. Ms. Zhao explained the key terms of the ELA and the Commission Guarantee Agreement. In particular, she told Mr. Wang that it was an exclusive agreement. She used the specific Mandarin term for "exclusive". She did not provide a detailed legal explanation of the implications of it being exclusive, as she assumed he understood what being exclusive meant. Ms. Zhao agreed that Mr. Wang went through the ELA very quickly. In terms of the Commission Guarantee Agreement, the Zhaos say that it was Mr. Wang who identified a problem as to the amount of the bonus which required the above-noted strikethrough in this agreement, i.e., the fact that the written number on the left was different than the numerical version of the figure on the right. Ms. Zhao explained that this error was a result of using an earlier Bonus Agreement as a precedent. Mr. Wang initialed the change.</w:t>
      </w:r>
    </w:p>
    <w:p>
      <w:pPr>
        <w:numPr>
          <w:numId w:val="4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Mr. Wang says that the ELA and the Commission Guarantee Agreement were not signed on the November 27, 2015 date stated on the documents. Rather, he says that these documents were only signed on or about December 26, 2015. He says that, at that time, Mr. Zhao told him he needed these documents signed in order for Home Park to be able to deal with prospective purchasers while Mr. Wang was back in China, and that the financial terms summarized above were not discussed. He also says that Mr. Zhao told him during this meeting that he could still deal with other agents.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the alleged November 27, 2015 meeting, the evidence splits yet again:</w:t>
      </w:r>
      <w:r>
        <w:rPr>
          <w:rFonts w:ascii="arial" w:eastAsia="arial" w:hAnsi="arial" w:cs="arial"/>
          <w:sz w:val="18"/>
          <w:lang w:val="en-US" w:eastAsia="en-US" w:bidi="ar-SA"/>
        </w:rPr>
        <w:cr/>
      </w:r>
    </w:p>
    <w:p>
      <w:pPr>
        <w:numPr>
          <w:numId w:val="4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The Zhaos say that, at Mr. Wang's request, they prepared a package of documents for delivery to Mr. Wang including the offers on the Sussex Properties, the required disclosures, the ELA, the Bonus Agreement, the Commission Guarantee Agreement, and a project introduction. James Lin, who was employed by Home Park, provided an affidavit based on Home Park's business records indicating that a package was delivered to Mr. Wang's home on December 9, 2015. Ms. Zhao said that she did not deliver the Bonus Agreement electronically because Mr. Wang already had it as a result of this physical delivery.</w:t>
      </w:r>
    </w:p>
    <w:p>
      <w:pPr>
        <w:numPr>
          <w:numId w:val="4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Mr. Wang denies ever receiving this package.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Zhaos say that, based on the security of having the ELA, they set out to find a buyer. An advertisement was placed in a Chinese newspaper on or about December 10, 2015. Mr. Zhao prepared a package of sales material largely derived from earlier materials prepared by Colliers and Mr. Guo. Mr. Zhao reached out to his contacts, including Bosa Developments, with whom he also had an in-person meeting. Ms. Zhao recalls receiving about 10 calls inquiring about the Sussex Properties. Most notably, on or about December 21, 2015, an offer was received by Home Park through Mr. Guo from a company called Deway Properties Ltd. ("Deway"). The Deway offer proposed to purchase the rights to the Sussex Properties for $39 million. The Zhaos went to Mr. Wang's home to deliver the offer. The offers were provided to Mr. Wang, but there was little discussion.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Wang suggests this is actually the first time he learned that he could assign the properties himself. He said he would think about the offer.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there was little dispute about this particular meeting at trial, it should be noted that, at his examination for discovery, Mr. Wang initially denied any recollection of receiving the Deway offer until confronted with documentary proof, including his writing notation of the Mandarin word for "assignment" on the envelopes, as well as emails where he forwarded the offers to the realtor Mr. Robin Fu on December 23, 2015. Indeed, on discovery, he initially said he was "absolutely sure" that no such offer was shown to him.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Zhao testified that Mr. Wang advised him later that he wanted a cash offer rather than the terms of the Deway offer. On or about December 23, 2015, Mr. Zhao went to Mr. Wang's home to retrieve the offers. Mr. Wang did not want to make a counter-offer. Mr. Zhao says Mr. Wang wanted Deway to amend their offer to make it more attractive. On December 24, 2015, there was a text from Mr. Guo saying that his client wanted Mr. Wang to make a counter-offer.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previewed above, Mr. Wang suggests that the ELA was actually signed around December 26, 2015. I note that on discovery, Mr. Wang asserted that this ELA was executed at the February 11, 2016 meeting discussed below. When confronted with this discrepancy at trial, he said he confused the ELA with a different exclusive listing agreement. Mr. Wang testified that the terms were presented to him by Mr. Zhao at the December meeting, and that he did not make particular note of the complex commission structure provided for in the schedule. He did assert that he specifically asked Mr. Zhao whether he could deal with other agents, and was assured that he could.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December 26, 2015, Mr. Wang signed a document for the bank that acknowledged that Ms. Zhao was his agent. This document was signed in the context of making sure that his deposits could be managed while he was away. Mr. Wang sought to draw a distinction between being a "realtor" and an "agent", although he acknowledged in cross-examination that he understood Ms. Zhao also had a realtor's licence.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January 4, 2016, Mr. Wang asked Mr. Zhao about the status of discussions with Deway. Mr. Zhao advised that he was keeping in touch, but that Deway's principal had gone back to China and was not expected back until the Chinese New Year. Mr. Wang followed up again on January 14, 2016.</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January 26, 2016, Mr. Guo asked Mr. Zhao how things were going in relation to Mr. Wang's efforts to secure his own financing. Mr. Zhao agrees that at this time it was still possible that Mr. Wang would complete the transaction himself, rather than assign his rights, but says developing the property was only a backup plan if no suitable buyer could be found.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January 28, 2016, Mr. Wang made the further deposits required to complete the transactions.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From late-December 2016 through January 2016, unbeknownst to Home Park, Mr. Wang was having discussions with Mr. Fu about the possible development or assignment of his interest in the Sussex Properties. On January 15, 2016, Mr. Zhao learned from Mr. Guo that Mr. Fu was advertising the Sussex Properties. This confused Mr. Guo given his understanding that Home Park had an exclusive arrangement. Mr. Guo advised Mr. Zhao that his information was that Mr. Wang had asked Mr. Fu to help him find partners. Mr. Zhao confirmed for Mr. Guo in this call that he had his own ELA. Mr. Zhao called Mr. Wang. Mr. Zhao says he told Mr. Wang that if he sold through Mr. Fu, Mr. Zhao would still be entitled to his commission. Mr. Wang said this was not his view.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was further discussion about the potential of Mr. Guo's client making a new offer on January 17, 21, and 27, 2016. On January 27, 2016, Mr. Zhao advised Mr. Wang as follows: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Spend lots of time and efforts. What should be done is done. The buyer is indeed very interested, just wants to wait for Mr. Yang to come back after the New year before the offer is placed. I am not familiar with Mr. Yang, so have to ask the other party's realtor to follow up. Will let you know right away if there's any news.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February 1, 2016, without notice to Home Park, Mr. Wang entered into an agreement arranged through Mr. Fu to assign the Sussex Property contracts to another buyer for $40 million. Mr. Fu stated that Mr. Wang never advised him that he had signed a listing agreement with the Zhaos, exclusive or otherwise.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Wang agreed to pay a commission of $2 million to Mr. Fu for arranging the sale of his rights. However, he did ask that Mr. Fu and his colleague take a $100,000 discount off their commission in return for future business.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Wang asked Mr. Zhao for certain environmental reports required by the buyer, but did not advise Mr. Zhao of the reason he required these reports.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cleaves on the parties' reaction to learning of the sale arranged by Mr. Fu:</w:t>
      </w:r>
      <w:r>
        <w:rPr>
          <w:rFonts w:ascii="arial" w:eastAsia="arial" w:hAnsi="arial" w:cs="arial"/>
          <w:sz w:val="18"/>
          <w:lang w:val="en-US" w:eastAsia="en-US" w:bidi="ar-SA"/>
        </w:rPr>
        <w:cr/>
      </w:r>
    </w:p>
    <w:p>
      <w:pPr>
        <w:numPr>
          <w:numId w:val="4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When Mr. Zhao learned on February 7, 2016 that Mr. Wang had sold the properties for $40 million via text, he was upset and felt a sense of betrayal. He phoned Mr. Wang on February 8, 2016 to discuss the situation, but Mr. Wang didn't respond directly and just signaled that he would have other business for the Zhaos. There is a record of a 14-minute phone call between them on that day.</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Mr. Zhao says that he interpreted a follow-up voicemail message from Mr. Wang sent on February 9, 2016 as essentially a signal that he wanted the various agents to work out the commission issues between themselves. The voicemail said as follows:</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Hi Mr. Zhao. Robin Fu has just called me. So I asked Robin Fu, asked Jordan, Asked Jordan to convene the three of you, the three of you to meet to see how the things about the buyer and the seller can be done. Also, about the, um, the lot, the lot next Li Kai-Shing's, the one you sent to me, make an appointment and view it quickly because I stay here this time for a very short time. What I said to Robin Fu is similar to what I said to you. You guys meet to see how to keep working harmoniously, what issues, what issues there are in the contract. Reply to me after you receive it, OK?</w:t>
      </w:r>
    </w:p>
    <w:p>
      <w:pPr>
        <w:numPr>
          <w:numId w:val="4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Mr. Wang initially denied having any conversation with Mr. Zhao about the payment of the commission to the Zhaos under the ELA prior to receipt of their Notice of Claim. This evidence softened in cross-examination. He maintained however that in the February 9 voicemail he was simply seeking to ensure that the complicated sale went through smoothly, and had nothing to do with commissions.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returning to Canada on February 7, 2016, Mr. Wang met with the Zhaos on February 11, 2016 to visit a property for sale in Britannia Beach. Again, there are two versions of what occurred during this trip:</w:t>
      </w:r>
      <w:r>
        <w:rPr>
          <w:rFonts w:ascii="arial" w:eastAsia="arial" w:hAnsi="arial" w:cs="arial"/>
          <w:sz w:val="18"/>
          <w:lang w:val="en-US" w:eastAsia="en-US" w:bidi="ar-SA"/>
        </w:rPr>
        <w:cr/>
      </w:r>
    </w:p>
    <w:p>
      <w:pPr>
        <w:numPr>
          <w:numId w:val="4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The Zhaos say they were able to visit the proposed property. Calls between Mr. Zhao and Mr. Wang help establish that fact since they would have had to have been separated while walking the site and needed to call each other. Ms. Zhao says while driving back she prodded her father to raise the ELA commission issue. Mr. Zhao did so. Mr. Wang said that the Zhaos should not be so calculating, that he had lots of properties, and he would be willing to let Ms. Zhao sell them. It was an uncomfortable conversation. They then moved on to reviewing other documents, including an exclusive listing agreement for the sale of a blueberry farm, and a document disclosing an anticipated $5,000 commission on the transfer from 1054499 to Mr. Wang of the rights to 6559. Ms. Zhao says she explained these documents to Mr. Wang. He signed the exclusive listing agreement for the blueberry farm but refused to sign the commission disclosure document. The Zhaos explained that this was the same form of document he had previously signed for the other Sussex properties. Ms. Zhao also explained that this was simply a disclosure of an amount that would be paid by the seller, and not by Mr. Wang. Mr. Wang was unmoved, and refused to sign. Ms. Zhao admits that, given Mr. Wang's refusal to sign the commission disclosure document, she cut and pasted Mr. Wang's signature block from an earlier November 22, 2015 document, in order to ensure that her file would be complete were it ever audited by the Real Estate Council. She admits that she should not have done this. She explained her failure to disclose this forgery on her discovery by saying that she was caught off-guard by the question, and did not know how to respond at the time. Her counsel eventually disclosed the fact of this forgery some time before trial.</w:t>
      </w:r>
    </w:p>
    <w:p>
      <w:pPr>
        <w:numPr>
          <w:numId w:val="4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 Mr. Wang says that no one got out of the car, as they could not find the project. This evidence was problematic given the cell phone records discussed above. He agrees he signed an exclusive listing agreement for the blueberry farm, but says that Mr. Zhao told him once again that he could still deal with other agents. Most notably, he alleges that the Original Bonus Agreement and Bonus Agreement were also signed by him on this trip. His explanation for there being two backdated agreements presented to him was that Mr. Zhao said he was not sure which one was more appropriate, given the dates of purchase of the rights to various Sussex Properties. Mr. Zhao indicated that he would just use one or the other once he figured that out. Mr. Wang testified that Mr. Zhao clarified that any $300,000 bonus would be paid by the seller and not by him. Mr. Wang understood that Mr. Zhao had been asking about a bonus from the seller for some time, but had been rebuffed. However, Mr. Zhao advised Mr. Wang that the seller had finally relented. Hence, the need to sign the Bonus Agreement. He said that Ms. Zhao did not explain the documents, rather Mr. Zhao gave all of the explanation.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It should be noted that on his discovery, Mr. Wang did not assert that the Bonus Agreement was signed on this trip. He suggests that his memory improved as he reviewed the documents more closely.</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Further, on discovery, Mr. Wang said that the ELA was also signed on February 11, 2016. That was no longer his evidence at trial, which moved the execution of that document back into late December 2015, as discussed above.</w:t>
      </w:r>
    </w:p>
    <w:p>
      <w:pPr>
        <w:numPr>
          <w:numId w:val="4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Zhang: Mr. Zhang provides some evidence relevant to this interaction. He said he had a call with Mr. Wang in January or February about commission documentation he was being asked to sign. During the call Mr. Wang said he was in West Vancouver viewing a property. There was discussion of a $300,000 amount according to Mr. Zhang's recollection, but it was not clear who Mr. Wang thought was going to be paying that amount. I note that Mr. Zhang agreed that he considers Mr. Wang to be his "compatriot", since they are from the same province in China.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February 16, 2016, Mr. Wang sent a message to Mr. Fu stating that he was concerned about a document he had signed regarding a commission. Mr. Fu advised Mr. Wang that it was standard for the commission to be earned by the buyer's agent to be disclosed. Mr. Fu asked for a copy of the document. Mr. Wang says he then asked for it from Mr. Zhao, and Mr. Zhao said he would provide it. On that same day, Ms. Zhao sent Mr. Wang the earlier Disclosure of Remuneration forms regarding the Sussex Properties. Mr. Zhao says this was in response to Mr. Wang's refusal to sign the last required Disclosure of Remuneration, i.e., the documents were intended to show him he had signed similar documents in the past.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Zhaos retained legal counsel on February 22, 2016 to consider Mr. Wang's stated intention that he would not respect the commission terms of the ELA. This evidence was submitted to rebut Mr. Wang's suggestion that the Zhaos never thought they were entitled to a commission under the ELA, and only brought this issue up as a defensive tactic in response to Mr. Wang's later claim for return of the $300,000 bonus. Mr. Zhao says that his lawyer advised him not to raise the ELA commission with Mr. Wang, and that any communication should be referred to counsel. The lawyer made it clear that it was not in the Zhaos' interest to interfere in the closing of the transactions, because such interference could jeopardize the principal sum against which any commission could be claimed.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transfer of 6885 completed on March 30, 2016 without incident.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April 15, 2016, Mr. Guo sought Ms. Zhao and Mr. Wang's signature on a document setting out the commissions that would be paid on 6525. Ms. Zhao never obtained Mr. Wang's signature on this document, and eventually Mr. Guo accepted it as signed by Ms. Zhao alone.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May 10, 2016, Mr. Zhao sent an email to Mr. Wang asking that he confirm how the interest on his deposits was going to be directed. Mr. Zhao suggested that for things to be "done smoothly", the interest should remain with Home Park. He told Mr. Wang that he would be being stingy if he insisted on keeping the small amount of interest. Mr. Zhao admits that he was not very pleased with Mr. Wang at this point because Mr. Wang was not intending to respect the ELA. Mr. Wang consulted with Mr. Fu about this issue. Mr. Fu advised him that it was true that the interest had to be addressed in some fashion, but that it could go to Home Park or Mr. Wang. Mr. Wang eventually signed the document allowing Home Park to keep the interest.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transfers of 6559 and 6525 completed on May 30, 2016. As part of the 6525 transaction, Ms. Zhao provided a conveyancer report that set out their position that the $300,000 bonus was due and owing under the Bonus Agreement at that time. Mr. Wang signed a Statement of Adjustments at his conveyancing lawyer's office that acknowledged a $300,000 reduction to his proceeds. Mr. Wang claims he did not understand that this document included such a reduction, and that no one explained it to him. Mr. Wang's lawyer was Annie Chen. Ms. Chen testified that she would in the normal course have directed Mr. Wang's attention to the $300,000 deduction, but she is not sure he appreciated it because he seemed very tired from having recently flown back from China. Ms. Chen also noted more generally that Mr. Wang was not particularly meticulous about details, and that he is more of a "big picture" person. Mr. Wang stated that he did not think he met with Ms. Chen at all, but only her assistant.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May 31, 2016, he went to pick up his cheque. He then asked Mr. Fu to do some calculations, and only then realized that $300,000 had been deducted. Mr. Zhao says that around noon that day, he and Mr. Wang had a direct conversation about his commission. Mr. Wang stated that he should forget about "it" (which Mr. Zhao took to mean the ELA commission), or else he would challenge Home Park's entitlement to the $300,000 bonus. At 4:22 p.m., Mr. Wang left a voicemail for Mr. Zhao in which he asked when he had promised to give the Zhaos $300,000. He threatened to sue. At 5:55 p.m., he posted a general message in a group chat about potential realtor fraud, and threatened to release the name of the realtor in one week. Mr. Wang later made contact with a journalist, and a story was published about the Zhaos' alleged misconduct.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June 7, 2016, Mr. Wang told Mr. Fu that he had signed a Bonus Agreement, and he thought that happened between December 20 and December 30, 2015, long before the February date he provided at trial. He also proposed this December execution date for the Bonus Agreement in the first version of his pleadings. Again, he suggests that his memory improved as a result of a more detailed review of the documents.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Wang filed his claim for return of the $300,000 bonus on July 5, 2016. Home Park responded with a claim for its ELA commission on July 11, 2016. Mr. Zhao had advised his counsel to proceed after the final closing, but it took some time to get the claim together.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Wang ended up earning $6.67 million in assignment fees from the purchase and transfer of the rights to the Sussex Properties over a period of months, and without ever having to fund the original purchase price.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Home Park seeks a $1.15 million commission under the ELA, on top of the $300,000 bonus it seeks to retain under the Bonus Agreement.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Wang seeks the return of the $300,000 bonus, as well as damages for breach of fiduciary duty.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u w:val="single"/>
          <w:lang w:val="en-US" w:eastAsia="en-US" w:bidi="ar-SA"/>
        </w:rPr>
        <w:t>III. CREDIBILITY AND RELIABILITY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strength of the parties' arguments turns largely on the credibility and reliability of their respective evidence. The proper approach to these issues was summarized by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247"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Rochemont</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2017 BCSC 930</w:t>
        </w:r>
      </w:hyperlink>
      <w:r>
        <w:rPr>
          <w:rFonts w:ascii="arial" w:eastAsia="arial" w:hAnsi="arial" w:cs="arial"/>
          <w:color w:val="000000"/>
          <w:sz w:val="20"/>
          <w:lang w:val="en-US" w:eastAsia="en-US" w:bidi="ar-SA"/>
        </w:rPr>
        <w:t>, Mr. Justice Kent provided a helpful list of factors to consider in this regard:</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[106] The assessment of a witness's oral testimony necessarily entails an assessment of credibility. The role of the court is not usually reduced to simply choosing between two or more versions of events. It is not an "all or nothing process". In determining facts,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making findings as to what actually occurred in any given case, the court is free to reject some aspects of a witness's evidence and accept others and, indeed, to assign different weight to different parts of a witness's evidence.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[107] Accepting all or part of the testimony of any witness involves an assessment of credibility (truthfulness/honesty) and reliability (accuracy) of both the witness and the evidence. That in turn involves consideration of many different factors including:</w:t>
      </w:r>
    </w:p>
    <w:p>
      <w:pPr>
        <w:numPr>
          <w:numId w:val="48"/>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internal consistency of the witness's account of events;</w:t>
      </w:r>
    </w:p>
    <w:p>
      <w:pPr>
        <w:numPr>
          <w:numId w:val="49"/>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consistency with other evidence afforded by witnesses, documents or physical evidence;</w:t>
      </w:r>
    </w:p>
    <w:p>
      <w:pPr>
        <w:numPr>
          <w:numId w:val="50"/>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whether the evidence is reliably corroborated or contradicted by other evidence;</w:t>
      </w:r>
    </w:p>
    <w:p>
      <w:pPr>
        <w:numPr>
          <w:numId w:val="51"/>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the witness's ability/opportunity to observe the events in question and to reliably recall/ communicate same;</w:t>
      </w:r>
    </w:p>
    <w:p>
      <w:pPr>
        <w:numPr>
          <w:numId w:val="52"/>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the demeanour of the witness and whether the questions are answered in a frank and forthright fashion without evasion, speculation or exaggeration;</w:t>
      </w:r>
    </w:p>
    <w:p>
      <w:pPr>
        <w:numPr>
          <w:numId w:val="53"/>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whether the witness has any interest in the trial outcome or has any motive to fabricate;</w:t>
      </w:r>
    </w:p>
    <w:p>
      <w:pPr>
        <w:numPr>
          <w:numId w:val="54"/>
        </w:numPr>
        <w:tabs>
          <w:tab w:val="clear" w:pos="1480"/>
          <w:tab w:val="num" w:pos="2200"/>
        </w:tabs>
        <w:spacing w:before="120" w:line="260" w:lineRule="atLeast"/>
        <w:ind w:left="2200"/>
        <w:jc w:val="both"/>
        <w:rPr>
          <w:rFonts w:ascii="arial" w:eastAsia="arial" w:hAnsi="arial" w:cs="arial"/>
          <w:sz w:val="18"/>
          <w:lang w:val="en-US" w:eastAsia="en-US" w:bidi="ar-SA"/>
        </w:rPr>
      </w:pPr>
      <w:r>
        <w:rPr>
          <w:rFonts w:ascii="arial" w:eastAsia="arial" w:hAnsi="arial" w:cs="arial"/>
          <w:color w:val="000000"/>
          <w:sz w:val="20"/>
          <w:lang w:val="en-US" w:eastAsia="en-US" w:bidi="ar-SA"/>
        </w:rPr>
        <w:t>whether (based on properly admissible evidence) the witness has "poor character for truthfulness"; and</w:t>
      </w:r>
    </w:p>
    <w:p>
      <w:pPr>
        <w:numPr>
          <w:numId w:val="55"/>
        </w:numPr>
        <w:tabs>
          <w:tab w:val="clear" w:pos="1480"/>
          <w:tab w:val="num" w:pos="2200"/>
        </w:tabs>
        <w:spacing w:before="120" w:line="260" w:lineRule="atLeast"/>
        <w:ind w:left="2200"/>
        <w:jc w:val="both"/>
        <w:rPr>
          <w:rFonts w:ascii="arial" w:eastAsia="arial" w:hAnsi="arial" w:cs="arial"/>
          <w:sz w:val="18"/>
          <w:lang w:val="en-US" w:eastAsia="en-US" w:bidi="ar-SA"/>
        </w:rPr>
      </w:pPr>
      <w:r>
        <w:rPr>
          <w:rFonts w:ascii="arial" w:eastAsia="arial" w:hAnsi="arial" w:cs="arial"/>
          <w:color w:val="000000"/>
          <w:sz w:val="20"/>
          <w:lang w:val="en-US" w:eastAsia="en-US" w:bidi="ar-SA"/>
        </w:rPr>
        <w:t>the inherent plausibility of the evidence and its consistency with the probabilities affecting the case as a whole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noted, the parties have provided dramatically different versions of the key events. I prefer the evidence of the Zhaos over that of Mr. Wang. I outline below the factors that brought me to this conclusion.</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A. Specificity and Consistency Generally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general, the Zhaos were able to provide more detailed information about each encounter. Further, these specifics were generally consistent with the documentary record and the evidence of independent witnesses. The Zhaos did have minor inconsistencies between their discovery evidence and their trial evidence. They were certainly attempting to cast their evidence in the best light possible. However, I do not find this tendency was significant enough to undermine the general consistency of their evidence, both with each other and with the other evidence.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the other hand, Mr. Wang's evidence was frequently quite vague. When he did provide specific details, they often (1) were inconsistent with his discovery evidence, (2) changed through cross-examination, or (3) were undermined by other evidence. The cumulative effect of these problems damaged both his credibility and reliability.</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B. The First Meeting between the Parties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Wang's assertion that he simply happened upon a house for sale by Home Park was undermined by documentary evidence suggesting that he had called the brokerage earlier, and through Ms. Yin's direct evidence that he had been specifically invited by her.</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C. The Cedarbridge Property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Wang's assertion that he was never really interested in developing the Cedarbridge property was undermined by the evidence of the more independent witness, Mr. Wong. Mr. Wang confirmed in final argument that he did not take issue with Mr. Wong's credibility.</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D. The November 4, 2015 Meeting</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Wang's evidence that:</w:t>
      </w:r>
      <w:r>
        <w:rPr>
          <w:rFonts w:ascii="arial" w:eastAsia="arial" w:hAnsi="arial" w:cs="arial"/>
          <w:sz w:val="18"/>
          <w:lang w:val="en-US" w:eastAsia="en-US" w:bidi="ar-SA"/>
        </w:rPr>
        <w:cr/>
      </w:r>
    </w:p>
    <w:p>
      <w:pPr>
        <w:numPr>
          <w:numId w:val="5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he first learned of the Sussex Properties opportunity on November 3 and 4, 2015,</w:t>
      </w:r>
    </w:p>
    <w:p>
      <w:pPr>
        <w:numPr>
          <w:numId w:val="5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he was told by the Zhaos that Mr. Guo already had all three properties under his control, and</w:t>
      </w:r>
    </w:p>
    <w:p>
      <w:pPr>
        <w:numPr>
          <w:numId w:val="58"/>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he never discussed a bonus,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is undermined by the evidence of both Mr. Zhang and Mr. Guo, which evidence is more independent. As noted, Mr. Zhang testified that there were discussions before November 1, and that the concept of a bonus for the Zhaos arose at this earlier meeting. Mr. Guo says he did not have control of all three properties at this time. I accept his evidence on this point. I note that although Mr. Guo has been the subject of regulatory discipline proceedings, it was not in relation to this series of transactions, and his evidence was generally consistent with the documents.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Wang's suggestion that he first agreed to get involved in the purchase of the Sussex Properties in order to help out Mr. Guo is not credible. He did not know Mr. Guo, and indeed, he had barely had any interactions with the Zhaos by this point. Furthermore, the timing of the transactions and the strength of the market belies any suggestion that Mr. Guo would have been feeling financial pressure. Mr. Guo disclaimed any such concerns.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Wang alleges a credibility concern for Mr. Zhao on the basis of an apparent inconsistency between Mr. Zhao's discovery and trial evidence regarding who came up with the idea to assemble the properties. However, I find that Mr. Zhao's discovery evidence can be read as simply being impressed that Mr. Wang was prepared to enter into such a major series of transactions, rather than an assertion that Mr. Wang invented the concept of the assembly.</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E. 1054499's Purchase of 6559</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Wang asserts that the nature of 1054499's involvement in the transactions was hidden from him. But there is no dispute that Ms. Zhao sent Mr. Wang the accepted offer by which 1054499 purchased 6559 from the original owner. If the Zhaos were trying to hide the fact that they had put in place an intermediary to obtain control of this property, why would they send Mr. Wang a copy of the contract that revealed that fact? Delivery of this document could easily have created a series of questions in Mr. Wang's mind as to why a party other than himself was inserting itself into the transaction. The identity of the directors of 1054499 would also be discoverable.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credibility of the Zhaos' evidence on this point is enhanced by the fact that they had begun the process of a similar maneuver in relation to the Cedarbridge property. Mr. Wang was also sent a copy of the related party offer prepared by the Zhaos in respect of that property.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fact that 1054499 only sought a $30,000 uplift when other parties were obtaining uplifts in the hundreds of thousands or millions of dollars suggests that there had to be some understanding that 1054499 was not acting as a pure third party. Creating a company, and then purchasing and selling a property through this company, all for a mere $30,000 uplift in a historically hot market would be illogical unless there was something else going on. The modest uplift makes more sense if 1054499's steps were simply part of a broader effort to assist Mr. Wang in obtaining control of all three properties before formally committing to the entire project. It is true that the offers all ended up coming together around the same time, but that was not the assured result when the maneuver began.</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F. The Sussex Purchase Price Negotiation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Zhaos' evidence on the last minute increase in the sale price for 6525, and their corresponding voluntary reduction to their commission, is consistent with the evidence of Mr. Guo. I accept the evidence of Mr. Guo on this point, creating a mark against Mr. Wang's credibility, and in favour of the Zhaos.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G. The Bonus Agreements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Zhaos' position on the execution of the bonus agreements has the advantage of being consistent with the dates recorded on the documents. Mr. Wang must overcome the common sense inference that the documents were signed on the date stated thereon.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next problem with accepting Mr. Wang's version of events is that there would have been little reason to back date the bonus agreements, even if there was a fraud.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Zhaos' position on the Bonus Agreement is also assisted by the Disclosure of Remuneration forms which included the "plus buyer's bonus" language. If the bonus agreements were only executed in February 2016 (as Mr. Wang suggests), why or how could the existence of a buyer's bonus be recorded on documents signed in the fall of 2015?</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Furthermore, any alleged fraud with respect to the Bonus Agreement would have been too poorly executed to be believable. Right up to and including the day Mr. Wang alleges that the Bonus Agreement was signed, the Zhaos were attempting to obtain new business from him. They spent hours travelling with him to investigate a property in Britannia Beach. Why would they be pushing so hard for new business if, on Mr. Wang's theory, they knew that they were on the cusp of perpetrating a bald $300,000 fraud upon him? Mr. Wang would surely discover upon closing that he had received $300,000 less than expected. Mr. Wang's suggestion that the Zhaos must have been gambling on the prospect that Mr. Wang would simply overlook the loss of $300,000 is not believable. As Justice Shergill noted when faced with a similar argument in </w:t>
      </w:r>
      <w:r>
        <w:rPr>
          <w:rFonts w:ascii="arial" w:eastAsia="arial" w:hAnsi="arial" w:cs="arial"/>
          <w:i/>
          <w:color w:val="000000"/>
          <w:sz w:val="20"/>
          <w:lang w:val="en-US" w:eastAsia="en-US" w:bidi="ar-SA"/>
        </w:rPr>
        <w:t>Argo Ventures Inc. v. Choi</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2019 BCSC 85</w:t>
        </w:r>
      </w:hyperlink>
      <w:r>
        <w:rPr>
          <w:rFonts w:ascii="arial" w:eastAsia="arial" w:hAnsi="arial" w:cs="arial"/>
          <w:color w:val="000000"/>
          <w:sz w:val="20"/>
          <w:lang w:val="en-US" w:eastAsia="en-US" w:bidi="ar-SA"/>
        </w:rPr>
        <w: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[114] The revisions to the initial deposit clause were significant and changed the character of the Offer. Given that he was dealing with two sophisticated parties, it is not credible that Mr. Seo would have intentionally misled Mr. Choi into believing that the revised deposit clause would still give him 10 days to conduct his due diligence. Such deception would have been extremely risky. It would have been found out in a matter of days if Mr. Choi refused to proceed with the purchase after completing his due diligence. As Mr. Seo said, "[y]ou cannot hide the sun by your hand".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If Mr. Wang's theory were correct, the Zhaos' fraud would almost certainly have been immediately revealed. There is no evidence of an intention to flee the country so that they could retain the benefit of such a bald fraud. $300,000 would not have sustained the two of them for long in any event.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Furthermore, if the true purpose of the meeting on February 11, 2016 was to secure Mr. Wang's signature on fraudulent bonus agreements, why drive all the way to Britannia Beach for this purpose? The fraud could just have easily been perpetrated locally, without crossing the Lions Gate Bridge and driving the challenging Sea to Sky highway in the middle of winter.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fact that Mr. Wang specifically initialed a change to the Bonus Agreement also suggests that he was aware of, and engaged with, the nature of the document, at least to the extent his language difficulties allowed. As Justice Shergill noted in </w:t>
      </w:r>
      <w:r>
        <w:rPr>
          <w:rFonts w:ascii="arial" w:eastAsia="arial" w:hAnsi="arial" w:cs="arial"/>
          <w:i/>
          <w:color w:val="000000"/>
          <w:sz w:val="20"/>
          <w:lang w:val="en-US" w:eastAsia="en-US" w:bidi="ar-SA"/>
        </w:rPr>
        <w:t>Argo Ventures</w:t>
      </w:r>
      <w:r>
        <w:rPr>
          <w:rFonts w:ascii="arial" w:eastAsia="arial" w:hAnsi="arial" w:cs="arial"/>
          <w:color w:val="000000"/>
          <w:sz w:val="20"/>
          <w:lang w:val="en-US" w:eastAsia="en-US" w:bidi="ar-SA"/>
        </w:rPr>
        <w: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[115] Even if his ability to read English was not perfect, it would have been obvious to Mr. Choi that only two amendments had been made to the Offer. These amendments were on different pages of the Counteroffer and both were initialled. Mr. Choi does not deny initialling the revised deposit clause. I find it implausible that prior to doing so, Mr. Choi would not have read the clause himself, or asked Mr. Seo what it meant.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Turning to Mr. Zhang, it is somewhat difficult to know what to do with his evidence about an October meeting at which a possible $50,000 bonus from Mr. Wang was discussed. His evidence was vague and imprecise, which is understandable since it was not his money the parties were allegedly discussing. However, the evidence does at least provide some further support for the conclusion that Mr. Wang was open to the payment of a bonus before execution of the Bonus Agreement, making it more likely that he was aware of what he was agreeing to when he finally signed the Bonus Agreement.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H. The Exclusive Listing Agreement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Again, the Zhaos have the advantage of their evidence on the execution of the ELA being consistent with the actual date noted on the ELA.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Zhaos' timing is also consistent with the evidence of the first offer coming forward to purchase Mr. Wang's rights. This came from Mr. Guo just two days prior to the ELA's purported execution date. Mr. Guo's communication created the potential for Mr. Wang to earn $5 million in profit on November 25. It makes sense that the Zhaos would have wanted to put such an amazing opportunity forward for Mr. Zhao's consideration immediately. It would have yielded an incredible rate of return for Mr. Wang's investment over a very short period.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Further, the fact that the Zhaos started doing marketing work following on the heels November 27, 2015 is consistent with their having a listing agreement in hand. Even if selling the rights was only one option for Mr. Wang, perhaps not even the preferred option at that time, it would still be in the Zhaos' interests to ensure that an agreement was in place.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also find that the level of detail in the commission structure of the ELA makes it less likely to have been the subject of fraud. Why would a fraudster create a formula of such complexity, if the object was simply to steal money? The terms have the air of a carefully negotiated contract. The formula for calculating the commission under the ELA is sufficiently specific that I have trouble believing Mr. Wang's evidence that the formula was simply presented by the Zhaos without any discussion about terms. His suggestion that he would casually accept whatever financial terms Mr. Zhao proposed is simply not believable. Mr. Wang is a sophisticated businessman. His other efforts to haggle with other agents over their commissions shows that Mr. Wang does not give money away to realtors without pushback.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Notably, the amount payable to the Zhaos under the ELA yields a lower commission than was actually paid by Mr. Wang to Mr. Fu ($2 million versus $1.15 million). As such, the commission terms appear to have been commercially reasonable.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Next, I note that the Commission Guarantee Agreement has the air of an agreement prepared to patch a specific problem with the terms of the ELA. The suggestion that the Zhaos must have first created a document with a risk of providing for no commission, in order to then have to patch it with a Contingency Guarantee Agreement, all in an effort to create an "air of reality" supporting a future lawsuit, is not credible. Such an effort would have to be the product of criminal masterminds and fantastic long-term legal strategists. I do not sense that the Zhaos possess this level of criminal or legal sophistication.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accept that copies of the ELA and Commission Guarantee Agreement were delivered to Mr. Wang on December 9, 2015. This in turn makes it impossible that the ELA was signed on December 24-25 as proposed by Mr. Wang. Provision of the documents on this earlier date also increases the risk that any effort to slip the exclusive nature of the ELA past Mr. Wang would be found out. If Mr. Wang brought in others to review the documentation (such as Mr. Fu, Mr. Zhang or Mr. Wong), and if they discovered that the agreement was exclusive whereas Mr. Wang understood it was not, the Zhaos' alleged trickery would likely have been for naught.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fact that Mr. Wang did not advise Mr. Fu about the Zhaos, nor the Zhaos about Mr. Fu, is also consistent with a finding that Mr. Wang understood the nature of the ELA. If Mr. Wang wanted to maximize his recovery in a situation where he understood that he was entitled to deal with multiple agents, he would have logically tried to play Mr. Fu's potential buyer off against Mr. Zhao's potential buyer in order to secure a higher price. What was the point of keeping them both in the dark about the other?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also find it difficult to accept Mr. Wang's evidence that Mr. Zhao told him he could deal with other agents. The involvement of another agent would make the Zhaos' ability to recover under the ELA far more complex. Any funds in satisfaction of this commission would have to be extracted from Mr. Wang or his other agent, as eventually has occurred. Hence, such a misrepresentation would not allow the Zhaos to make "easy money". If the object was simply to take money from Mr. Wang, there were easier ways to achieve that end. They could have simply increased the amount in the Bonus Agreement for example.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Finally, Mr. Guo's testimony about Zhao confirming to him during the relevant period that his arrangement was exclusive, undermines the suggestion that this was a more recent fabrication by the Zhaos.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I. The February 11, 2016 Trip</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Wang's evidence about what happened during the February 11, 2016 trip was undermined by phone records. Mr. Wang suggested that he and the Zhaos simply turned around and came back when they could not find the property. This was undermined by the back and forth phone calls noted in the records. If Mr. Wang was willing to misrepresent what occurred during the outward part of the February 11 trip, it becomes more likely that he would be prepared to misrepresent what happened during the return trip, when he alleges that the bonus agreements were signed.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Wang's suggestion that the Zhaos wanted two bonus agreements signed in case one fit better with the dates of the various transactions makes little sense. The Zhaos already knew the dates of the various transactions.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Zhaos' explanation that there were two versions because the first version contained errors is more logical. In particular, the second version contains changes to the </w:t>
      </w:r>
      <w:r>
        <w:rPr>
          <w:rFonts w:ascii="arial" w:eastAsia="arial" w:hAnsi="arial" w:cs="arial"/>
          <w:color w:val="000000"/>
          <w:sz w:val="20"/>
          <w:u w:val="single"/>
          <w:lang w:val="en-US" w:eastAsia="en-US" w:bidi="ar-SA"/>
        </w:rPr>
        <w:t>language</w:t>
      </w:r>
      <w:r>
        <w:rPr>
          <w:rFonts w:ascii="arial" w:eastAsia="arial" w:hAnsi="arial" w:cs="arial"/>
          <w:color w:val="000000"/>
          <w:sz w:val="20"/>
          <w:lang w:val="en-US" w:eastAsia="en-US" w:bidi="ar-SA"/>
        </w:rPr>
        <w:t xml:space="preserve">, and does not simply have a different </w:t>
      </w:r>
      <w:r>
        <w:rPr>
          <w:rFonts w:ascii="arial" w:eastAsia="arial" w:hAnsi="arial" w:cs="arial"/>
          <w:color w:val="000000"/>
          <w:sz w:val="20"/>
          <w:u w:val="single"/>
          <w:lang w:val="en-US" w:eastAsia="en-US" w:bidi="ar-SA"/>
        </w:rPr>
        <w:t>date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Wang suggests that his version of events is confirmed by the fact that he made inquiries of Mr. Fu on February 16, 2016 expressing concern about a document that the Zhaos wanted signed. However, this inquiry also fits the Zhaos' narrative, as they say that Mr. Wang had indeed refused to sign a different Disclosure of Remuneration form.</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J. Commission Disclosure Interactions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Wang suggests that I should infer that after Mr. Wang called Mr. Zhao for the agreements signed on February 11, 2016, Mr. Zhao contacted Ms. Zhao and concocted a scheme to send the earlier Disclosure of Remuneration forms rather than the bonus agreements, all in an effort to avoid production of the bonus agreements.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problem is that there is no independent evidence supporting this proposed scheme. I find that it is equally if not more plausible that Ms. Zhao sent the earlier Disclosure of Remuneration forms in an effort to encourage Mr. Wang to sign the latest required Disclosure of Remuneration form.</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K. Failure to Seek Signature on the Guo Fee Agreement Document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Wang suggests that Ms. Zhao's failure to secure Mr. Wang's signature on Mr. Guo's proposed fee agreement document is evidence that she was trying to hide the $300,000 bonus, given that it was not noted on Mr. Guo's document, and this may have raised questions for Mr. Wang. However, I do not draw much from this exchange, as the parties' relationship was already strained by this point, and this document does not appear to have been legally required to close the transaction in any event.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L. Mr. Wang's Meeting with His Lawyer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Mr. Wang's evidence that he did not meet with his own lawyer to review,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$300,000 bonus reduction in the Statement of Adjustments is inconsistent with his own lawyer's evidence. I accept his lawyer's evidence on this point. His lawyer's reflection that Mr. Wang is not a detail person has a further negative effect on Mr. Wang's reliability.</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M. Post-Loss Conduct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Wang sought to make something of the fact that he started his litigation for the return of the bonus before the Zhaos started their litigation for the commission. Mr. Wang suggested that this indicates that the Zhaos did not truly believe they were entitled to the commission, and only used it as a shield to his claim.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For their part, the Zhaos suggest that Mr. Wang only raised the bonus issue in order to pressure them into not pursuing the commission. They say they pressed the issue of the commission in January and February, and began consulting with a lawyer well before litigation was commenced.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draw very little from the parties' potential litigation timing tactics after problems crystallized. What truly matters is what actually took place during their relationship, not what happened after the relationship collapsed. I am unable to derive an inference in either parties' favour arising from the post-closing conduct.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N. Laura Zhao's Conduct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clear that Mr. Wang dealt primarily with Mr. Zhao on all business items. Mr. Zhao may have exceeded the proper scope of his role as general manager of the real estate brokerage, given that he does not have his own real estate license. However:</w:t>
      </w:r>
      <w:r>
        <w:rPr>
          <w:rFonts w:ascii="arial" w:eastAsia="arial" w:hAnsi="arial" w:cs="arial"/>
          <w:sz w:val="18"/>
          <w:lang w:val="en-US" w:eastAsia="en-US" w:bidi="ar-SA"/>
        </w:rPr>
        <w:cr/>
      </w:r>
    </w:p>
    <w:p>
      <w:pPr>
        <w:numPr>
          <w:numId w:val="5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 accept that Mr. Wang dealt primarily with Mr. Zhao due to a personal or cultural preference, i.e., he simply did not take Ms. Zhao seriously and preferred to deal with her father; and</w:t>
      </w:r>
    </w:p>
    <w:p>
      <w:pPr>
        <w:numPr>
          <w:numId w:val="6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More importantly, at the end of the day all of the required legal documents were in fact signed by Ms. Zhao. Mr. Wang should have appreciated that Ms. Zhao had the formal legal role. This is also supported by the document sent by Mr. Wang to his bank.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Zhao did admit at trial to forging a document -- the Disclosure of Remuneration Form in relation to Mr. Wang's purchase of control of 6559. This is a serious breach of real estate agent ethics. She also misrepresented this situation at her examination for discovery, claiming she was surprised by the revelation and essentially panicked in the moment. It took her some time to make the necessary correction. This all has a material negative effect on her credibility.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That said, she did appear genuinely remorseful at trial. Further, if this forgery were part of a larger scheme to defraud Mr. Wang, she could not have picked a less material document. Nothing in this document facilitated the extraction of further funds from Mr. Wang; the document's purpose was simply to cover off a disclosure obligation.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Zhao was also sloppy in witnessing documents without the signatory being present on one occasion. This does create a further "black mark" against her credibility.</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O. Mr. Wang's Degree of Trust and Sophistication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Wang continually emphasized at trial that he placed his trust and faith in Mr. Zhao. However, it is difficult to accept this statement of blind trust, given that Mr. Wang had never met Mr. Zhao before the fall of 2015, and they had never completed a real estate transaction together before the subject transactions.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This espousal of trust is also inconsistent with the fact that Mr. Wang brought in a series of people to give him supplementary advice or "second opinions", including Mr. Zhang, Mr. Wong, and Mr. Fu.</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find that Mr. Wang was not a "babe in the woods". He is a sophisticated businessman, used to driving hard bargains, and playing people off each other. This is evidenced from:</w:t>
      </w:r>
      <w:r>
        <w:rPr>
          <w:rFonts w:ascii="arial" w:eastAsia="arial" w:hAnsi="arial" w:cs="arial"/>
          <w:sz w:val="18"/>
          <w:lang w:val="en-US" w:eastAsia="en-US" w:bidi="ar-SA"/>
        </w:rPr>
        <w:cr/>
      </w:r>
    </w:p>
    <w:p>
      <w:pPr>
        <w:numPr>
          <w:numId w:val="6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Wang's efforts to get Mr. Fu to reduce his commission by $100,000 even though Mr. Fu had just earned him millions in profit; and</w:t>
      </w:r>
    </w:p>
    <w:p>
      <w:pPr>
        <w:numPr>
          <w:numId w:val="6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his effort to get Mr. Zhang to lower his commission in an earlier transaction.</w:t>
      </w:r>
    </w:p>
    <w:p>
      <w:pPr>
        <w:spacing w:before="120"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P. Credibility Conclusion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Based on the cumulative effect of all of these factors, I conclude that where their evidence diverges, I must prefer the evidence of the Zhaos to that of Mr. Wang.</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Specifically, my assessment of the parties' relative credibility and reliability causes me to accept the evidence of the Zhaos over that of Mr. Wang as to whether the following key points were made known to Mr. Wang:</w:t>
      </w:r>
      <w:r>
        <w:rPr>
          <w:rFonts w:ascii="arial" w:eastAsia="arial" w:hAnsi="arial" w:cs="arial"/>
          <w:sz w:val="18"/>
          <w:lang w:val="en-US" w:eastAsia="en-US" w:bidi="ar-SA"/>
        </w:rPr>
        <w:cr/>
      </w:r>
    </w:p>
    <w:p>
      <w:pPr>
        <w:numPr>
          <w:numId w:val="6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were using 1054499 to secure control of 6559 for Mr. Wang's benefit;</w:t>
      </w:r>
    </w:p>
    <w:p>
      <w:pPr>
        <w:numPr>
          <w:numId w:val="6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 $300,000 bonus would be payable by Mr. Wang if they were successful in assembling the Sussex Properties for him; and</w:t>
      </w:r>
    </w:p>
    <w:p>
      <w:pPr>
        <w:numPr>
          <w:numId w:val="8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exclusive listing agreement was in fact exclusive.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to the nature of 1054499's involvement, as noted above, this conclusion is supported by the modest $30,000 uplift obtained by 1054499. This figure is an order of magnitude less than the other third party uplifts. I find it was more in the nature of time and expense recovery. Mr. Wang suggests that the same objective of protecting the property could have been achieved through the use of "subject to" clauses in offers in his own name, but there are indications (not the least of which is Mr. Wang's own multi-million dollar profit over only a few months) that the market was so ridiculously hot during this period that any "subject to" offers may not have been competitive.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to the bonus, it would be more precise to say that I accept the evidence of the Zhaos that Mr. Wang raised the potential for a bonus, such that he would obviously have been aware that he was going to be the payor. This is also consistent with Mr. Zhang's recollection that the concept of a bonus from Mr. Wang had been discussed earlier.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Mr. Wang's theory (and Mr. Zhang's recollection of Mr. Wang's January or February report to him) that it was the </w:t>
      </w:r>
      <w:r>
        <w:rPr>
          <w:rFonts w:ascii="arial" w:eastAsia="arial" w:hAnsi="arial" w:cs="arial"/>
          <w:color w:val="000000"/>
          <w:sz w:val="20"/>
          <w:u w:val="single"/>
          <w:lang w:val="en-US" w:eastAsia="en-US" w:bidi="ar-SA"/>
        </w:rPr>
        <w:t>sellers</w:t>
      </w:r>
      <w:r>
        <w:rPr>
          <w:rFonts w:ascii="arial" w:eastAsia="arial" w:hAnsi="arial" w:cs="arial"/>
          <w:color w:val="000000"/>
          <w:sz w:val="20"/>
          <w:lang w:val="en-US" w:eastAsia="en-US" w:bidi="ar-SA"/>
        </w:rPr>
        <w:t xml:space="preserve"> who were intended to pay the bonus does not make commercial sense since there were three different sellers. Further, the economic value of assembly accrues to the buyer/assembler, not the sellers. Finally, there is no evidence of the Zhaos ever discussing payment of such a bonus with the sellers, or the sellers offering to pay such a bonus.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to both the bonus and the ELA, the documentation is more consistent with the Zhaos' evidence, particularly the execution dates.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to the ELA, I do have some doubt as to whether Mr. Wang actually appreciated that the arrangement was exclusive. I accept that it was generally counterproductive for him to pursue alternate arrangements with Mr. Fu if he recalled that he was already bound by an exclusive arrangement. But this does not change my conclusion that the basic character of the agreement was explained to him. I find that he did not pay attention, forgot, or determined that he would be able to "hard bargain" his way out of any problem should Mr. Fu find a better offer.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u w:val="single"/>
          <w:lang w:val="en-US" w:eastAsia="en-US" w:bidi="ar-SA"/>
        </w:rPr>
        <w:t>IV. ANALYSIS OF THE CONTRACTUAL DEFENCES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Wang accepts that he signed the contracts at issue. But he seeks to avoid enforcement of their terms on the basis of a wide array of contractual defences and positive claims. I analyze each in turn, having regard to the findings of fact made above.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A. Certainty of Contract Terms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Wang argues that the Bonus Agreement and ELA should not be enforced because their terms are uncertain, and any ambiguity must be interpreted against the Zhaos given that they prepared the documents.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relevant interpretive principles are neatly summarized in </w:t>
      </w:r>
      <w:r>
        <w:rPr>
          <w:rFonts w:ascii="arial" w:eastAsia="arial" w:hAnsi="arial" w:cs="arial"/>
          <w:i/>
          <w:color w:val="000000"/>
          <w:sz w:val="20"/>
          <w:lang w:val="en-US" w:eastAsia="en-US" w:bidi="ar-SA"/>
        </w:rPr>
        <w:t>Argo Ventures</w:t>
      </w:r>
      <w:r>
        <w:rPr>
          <w:rFonts w:ascii="arial" w:eastAsia="arial" w:hAnsi="arial" w:cs="arial"/>
          <w:color w:val="000000"/>
          <w:sz w:val="20"/>
          <w:lang w:val="en-US" w:eastAsia="en-US" w:bidi="ar-SA"/>
        </w:rPr>
        <w: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[127] I begin first with the framework for interpretation of contracts as it applies to this case. The overarching principle is that the words of a contract should be understood so as to give effect to the agreement rather than to destroy it: </w:t>
      </w:r>
      <w:r>
        <w:rPr>
          <w:rFonts w:ascii="arial" w:eastAsia="arial" w:hAnsi="arial" w:cs="arial"/>
          <w:i/>
          <w:color w:val="000000"/>
          <w:sz w:val="20"/>
          <w:lang w:val="en-US" w:eastAsia="en-US" w:bidi="ar-SA"/>
        </w:rPr>
        <w:t>Mitsui &amp; Co. (Point Aconi) Ltd. v. Jones Power Co. Ltd. et al</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2000 NSCA 95</w:t>
        </w:r>
      </w:hyperlink>
      <w:r>
        <w:rPr>
          <w:rFonts w:ascii="arial" w:eastAsia="arial" w:hAnsi="arial" w:cs="arial"/>
          <w:color w:val="000000"/>
          <w:sz w:val="20"/>
          <w:lang w:val="en-US" w:eastAsia="en-US" w:bidi="ar-SA"/>
        </w:rPr>
        <w:t xml:space="preserve"> at para. 81 [</w:t>
      </w:r>
      <w:r>
        <w:rPr>
          <w:rFonts w:ascii="arial" w:eastAsia="arial" w:hAnsi="arial" w:cs="arial"/>
          <w:i/>
          <w:color w:val="000000"/>
          <w:sz w:val="20"/>
          <w:lang w:val="en-US" w:eastAsia="en-US" w:bidi="ar-SA"/>
        </w:rPr>
        <w:t>Mitsui</w:t>
      </w:r>
      <w:r>
        <w:rPr>
          <w:rFonts w:ascii="arial" w:eastAsia="arial" w:hAnsi="arial" w:cs="arial"/>
          <w:color w:val="000000"/>
          <w:sz w:val="20"/>
          <w:lang w:val="en-US" w:eastAsia="en-US" w:bidi="ar-SA"/>
        </w:rPr>
        <w:t xml:space="preserve">], leave to appeal ref'd </w:t>
      </w:r>
      <w:hyperlink r:id="rId558" w:history="1">
        <w:r>
          <w:rPr>
            <w:rFonts w:ascii="arial" w:eastAsia="arial" w:hAnsi="arial" w:cs="arial"/>
            <w:i/>
            <w:color w:val="0077CC"/>
            <w:sz w:val="20"/>
            <w:u w:val="single"/>
            <w:shd w:val="clear" w:color="auto" w:fill="FFFFFF"/>
            <w:lang w:val="en-US" w:eastAsia="en-US" w:bidi="ar-SA"/>
          </w:rPr>
          <w:t>[2000] S.C.C.A. No. 526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[128] To interpret the terms of a contract, the court may consider the surrounding circumstances. However, these must never be allowed to overwhelm the words of an agreement: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xml:space="preserve"> at para. 57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[129] While the evidence of surrounding circumstances that can be relied on will vary from case to case, it is limited to those facts and matters known to both parties at the time of execution of the contract: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para. 58.</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[130] The subjective understanding of a party is irrelevant and inadmissible. Rather, "[w]hat is relevant is what an objective bystander would say the parties intended the contract to mean": </w:t>
      </w:r>
      <w:r>
        <w:rPr>
          <w:rFonts w:ascii="arial" w:eastAsia="arial" w:hAnsi="arial" w:cs="arial"/>
          <w:i/>
          <w:color w:val="000000"/>
          <w:sz w:val="20"/>
          <w:lang w:val="en-US" w:eastAsia="en-US" w:bidi="ar-SA"/>
        </w:rPr>
        <w:t>Lam v. University of British Columbia</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2010 BCCA 325</w:t>
        </w:r>
      </w:hyperlink>
      <w:r>
        <w:rPr>
          <w:rFonts w:ascii="arial" w:eastAsia="arial" w:hAnsi="arial" w:cs="arial"/>
          <w:color w:val="000000"/>
          <w:sz w:val="20"/>
          <w:lang w:val="en-US" w:eastAsia="en-US" w:bidi="ar-SA"/>
        </w:rPr>
        <w:t xml:space="preserve"> para. 58, leave to appeal ref'd </w:t>
      </w:r>
      <w:hyperlink r:id="rId561" w:history="1">
        <w:r>
          <w:rPr>
            <w:rFonts w:ascii="arial" w:eastAsia="arial" w:hAnsi="arial" w:cs="arial"/>
            <w:i/>
            <w:color w:val="0077CC"/>
            <w:sz w:val="20"/>
            <w:u w:val="single"/>
            <w:shd w:val="clear" w:color="auto" w:fill="FFFFFF"/>
            <w:lang w:val="en-US" w:eastAsia="en-US" w:bidi="ar-SA"/>
          </w:rPr>
          <w:t>[2010] S.C.C.A. No. 345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[131] An intention that is not communicated to the other party prior to the conclusion of the agreement cannot prevail over the meaning of the words which were used, particularly if the words are reasonably capable of a sensible meaning: </w:t>
      </w:r>
      <w:r>
        <w:rPr>
          <w:rFonts w:ascii="arial" w:eastAsia="arial" w:hAnsi="arial" w:cs="arial"/>
          <w:i/>
          <w:color w:val="000000"/>
          <w:sz w:val="20"/>
          <w:lang w:val="en-US" w:eastAsia="en-US" w:bidi="ar-SA"/>
        </w:rPr>
        <w:t>Skoko v. Chychrun Construction Ltd</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(1980), 25 B.C.L.R. 141</w:t>
        </w:r>
      </w:hyperlink>
      <w:r>
        <w:rPr>
          <w:rFonts w:ascii="arial" w:eastAsia="arial" w:hAnsi="arial" w:cs="arial"/>
          <w:color w:val="000000"/>
          <w:sz w:val="20"/>
          <w:lang w:val="en-US" w:eastAsia="en-US" w:bidi="ar-SA"/>
        </w:rPr>
        <w:t xml:space="preserve"> at 144 (S.C.), aff'd </w:t>
      </w:r>
      <w:hyperlink r:id="rId563" w:history="1">
        <w:r>
          <w:rPr>
            <w:rFonts w:ascii="arial" w:eastAsia="arial" w:hAnsi="arial" w:cs="arial"/>
            <w:i/>
            <w:color w:val="0077CC"/>
            <w:sz w:val="20"/>
            <w:u w:val="single"/>
            <w:shd w:val="clear" w:color="auto" w:fill="FFFFFF"/>
            <w:lang w:val="en-US" w:eastAsia="en-US" w:bidi="ar-SA"/>
          </w:rPr>
          <w:t>[1982] B.C.J. No. 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[133] The law of offer and acceptance requires that the offer be certain and unambiguous: </w:t>
      </w:r>
      <w:r>
        <w:rPr>
          <w:rFonts w:ascii="arial" w:eastAsia="arial" w:hAnsi="arial" w:cs="arial"/>
          <w:i/>
          <w:color w:val="000000"/>
          <w:sz w:val="20"/>
          <w:lang w:val="en-US" w:eastAsia="en-US" w:bidi="ar-SA"/>
        </w:rPr>
        <w:t>Private Career Training Institutions Agency v. Prana Yoga Teacher College Inc</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2013 BCSC 17</w:t>
        </w:r>
      </w:hyperlink>
      <w:r>
        <w:rPr>
          <w:rFonts w:ascii="arial" w:eastAsia="arial" w:hAnsi="arial" w:cs="arial"/>
          <w:color w:val="000000"/>
          <w:sz w:val="20"/>
          <w:lang w:val="en-US" w:eastAsia="en-US" w:bidi="ar-SA"/>
        </w:rPr>
        <w:t xml:space="preserve"> at paras. 42-43.</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[134] Certainty will exist when the words of a contract are found by the court to be capable of being given a reasonably certain meaning: </w:t>
      </w:r>
      <w:r>
        <w:rPr>
          <w:rFonts w:ascii="arial" w:eastAsia="arial" w:hAnsi="arial" w:cs="arial"/>
          <w:i/>
          <w:color w:val="000000"/>
          <w:sz w:val="20"/>
          <w:lang w:val="en-US" w:eastAsia="en-US" w:bidi="ar-SA"/>
        </w:rPr>
        <w:t>Mitsui</w:t>
      </w:r>
      <w:r>
        <w:rPr>
          <w:rFonts w:ascii="arial" w:eastAsia="arial" w:hAnsi="arial" w:cs="arial"/>
          <w:color w:val="000000"/>
          <w:sz w:val="20"/>
          <w:lang w:val="en-US" w:eastAsia="en-US" w:bidi="ar-SA"/>
        </w:rPr>
        <w:t xml:space="preserve"> at para. 82.</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[135] Courts will lean heavily against finding contracts void for uncertainty: </w:t>
      </w:r>
      <w:r>
        <w:rPr>
          <w:rFonts w:ascii="arial" w:eastAsia="arial" w:hAnsi="arial" w:cs="arial"/>
          <w:i/>
          <w:color w:val="000000"/>
          <w:sz w:val="20"/>
          <w:lang w:val="en-US" w:eastAsia="en-US" w:bidi="ar-SA"/>
        </w:rPr>
        <w:t>Berthin v. Berthin</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2016 BCCA 104</w:t>
        </w:r>
      </w:hyperlink>
      <w:r>
        <w:rPr>
          <w:rFonts w:ascii="arial" w:eastAsia="arial" w:hAnsi="arial" w:cs="arial"/>
          <w:color w:val="000000"/>
          <w:sz w:val="20"/>
          <w:lang w:val="en-US" w:eastAsia="en-US" w:bidi="ar-SA"/>
        </w:rPr>
        <w:t xml:space="preserve"> at para. 47, citing </w:t>
      </w:r>
      <w:r>
        <w:rPr>
          <w:rFonts w:ascii="arial" w:eastAsia="arial" w:hAnsi="arial" w:cs="arial"/>
          <w:i/>
          <w:color w:val="000000"/>
          <w:sz w:val="20"/>
          <w:lang w:val="en-US" w:eastAsia="en-US" w:bidi="ar-SA"/>
        </w:rPr>
        <w:t>Copperart Pty. Ltd. v. Bayside Developments Pty. Ltd.</w:t>
      </w:r>
      <w:r>
        <w:rPr>
          <w:rFonts w:ascii="arial" w:eastAsia="arial" w:hAnsi="arial" w:cs="arial"/>
          <w:color w:val="000000"/>
          <w:sz w:val="20"/>
          <w:lang w:val="en-US" w:eastAsia="en-US" w:bidi="ar-SA"/>
        </w:rPr>
        <w:t xml:space="preserve"> (1996) 16 W.A.R. 396 (S.C., Full Court) at 399. An agreement will not fail for uncertainty simply because it may be difficult to interpret: </w:t>
      </w:r>
      <w:r>
        <w:rPr>
          <w:rFonts w:ascii="arial" w:eastAsia="arial" w:hAnsi="arial" w:cs="arial"/>
          <w:i/>
          <w:color w:val="000000"/>
          <w:sz w:val="20"/>
          <w:lang w:val="en-US" w:eastAsia="en-US" w:bidi="ar-SA"/>
        </w:rPr>
        <w:t>Mitsui</w:t>
      </w:r>
      <w:r>
        <w:rPr>
          <w:rFonts w:ascii="arial" w:eastAsia="arial" w:hAnsi="arial" w:cs="arial"/>
          <w:color w:val="000000"/>
          <w:sz w:val="20"/>
          <w:lang w:val="en-US" w:eastAsia="en-US" w:bidi="ar-SA"/>
        </w:rPr>
        <w:t xml:space="preserve"> at para. 52.</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[136] However, where the original contract is incomplete because the essential provisions intended to govern the contractual relationship have not been settled or agreed upon, or the contract is too general or uncertain to be valid in itself, the contract can be found to be unenforceable: Berthin at para. 48 citing </w:t>
      </w:r>
      <w:r>
        <w:rPr>
          <w:rFonts w:ascii="arial" w:eastAsia="arial" w:hAnsi="arial" w:cs="arial"/>
          <w:i/>
          <w:color w:val="000000"/>
          <w:sz w:val="20"/>
          <w:lang w:val="en-US" w:eastAsia="en-US" w:bidi="ar-SA"/>
        </w:rPr>
        <w:t>Bawitko Investments Ltd. v. Kernels Popcorn Ltd</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(1991), 79 D.L.R. (4th) 97</w:t>
        </w:r>
      </w:hyperlink>
      <w:r>
        <w:rPr>
          <w:rFonts w:ascii="arial" w:eastAsia="arial" w:hAnsi="arial" w:cs="arial"/>
          <w:color w:val="000000"/>
          <w:sz w:val="20"/>
          <w:lang w:val="en-US" w:eastAsia="en-US" w:bidi="ar-SA"/>
        </w:rPr>
        <w:t xml:space="preserve"> (Ont. C.A.) at 103-104.</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Words in a contract are presumed to have meaning: </w:t>
      </w:r>
      <w:r>
        <w:rPr>
          <w:rFonts w:ascii="arial" w:eastAsia="arial" w:hAnsi="arial" w:cs="arial"/>
          <w:i/>
          <w:color w:val="000000"/>
          <w:sz w:val="20"/>
          <w:lang w:val="en-US" w:eastAsia="en-US" w:bidi="ar-SA"/>
        </w:rPr>
        <w:t>Pass Creek Enterprises Ltd. v. Kootenay Custom Log Sort Ltd.,</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2003 BCCA 580</w:t>
        </w:r>
      </w:hyperlink>
      <w:r>
        <w:rPr>
          <w:rFonts w:ascii="arial" w:eastAsia="arial" w:hAnsi="arial" w:cs="arial"/>
          <w:color w:val="000000"/>
          <w:sz w:val="20"/>
          <w:lang w:val="en-US" w:eastAsia="en-US" w:bidi="ar-SA"/>
        </w:rPr>
        <w:t xml:space="preserve"> at para. 17. As held in </w:t>
      </w:r>
      <w:r>
        <w:rPr>
          <w:rFonts w:ascii="arial" w:eastAsia="arial" w:hAnsi="arial" w:cs="arial"/>
          <w:i/>
          <w:color w:val="000000"/>
          <w:sz w:val="20"/>
          <w:lang w:val="en-US" w:eastAsia="en-US" w:bidi="ar-SA"/>
        </w:rPr>
        <w:t>Marquest Industries Ltd. v. Willows Poultry Farms Ltd.</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(1968), 1 D.L.R. (3d) 513</w:t>
        </w:r>
      </w:hyperlink>
      <w:r>
        <w:rPr>
          <w:rFonts w:ascii="arial" w:eastAsia="arial" w:hAnsi="arial" w:cs="arial"/>
          <w:color w:val="000000"/>
          <w:sz w:val="20"/>
          <w:lang w:val="en-US" w:eastAsia="en-US" w:bidi="ar-SA"/>
        </w:rPr>
        <w:t xml:space="preserve"> (B.C.C.A.) at 517-18, the court should strive to find such meaning. If the real intentions of the parties can be collected from the language within the four corners of the instrument, the court must give effect to such intentions by supplying anything necessarily to be inferred and rejecting whatever is repugnant to such real intentions so ascertained. The mere fact that the intention is "badly expressed" is not fatal.</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i. The Bonus Agreement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Bonus Agreement admittedly contains a number of grammatical difficulties. However, I find that the words of the agreement and the surrounding circumstances provide sufficient clarity as to what the parties intended the essential terms to mean. Specifically, there is sufficient certainty created by the following elements:</w:t>
      </w:r>
      <w:r>
        <w:rPr>
          <w:rFonts w:ascii="arial" w:eastAsia="arial" w:hAnsi="arial" w:cs="arial"/>
          <w:sz w:val="18"/>
          <w:lang w:val="en-US" w:eastAsia="en-US" w:bidi="ar-SA"/>
        </w:rPr>
        <w:cr/>
      </w:r>
    </w:p>
    <w:p>
      <w:pPr>
        <w:numPr>
          <w:numId w:val="8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Agreement includes the phrase, "Undersigned agree to following bonus amount";</w:t>
      </w:r>
    </w:p>
    <w:p>
      <w:pPr>
        <w:numPr>
          <w:numId w:val="8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Agreement is only executed by Mr. Wang and Ms. Zhao. The Agreement was not signed by the seller, even though Mr. Wang suggests it was in fact the seller who was the party responsible for payment of the bonus; and</w:t>
      </w:r>
    </w:p>
    <w:p>
      <w:pPr>
        <w:numPr>
          <w:numId w:val="8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It was not in the same structure as the "Disclosure of Remuneration" pre-printed standard form used by realtors to disclose to buyers the amount of commission that will be paid to their agent by sellers.</w:t>
      </w:r>
    </w:p>
    <w:p>
      <w:pPr>
        <w:spacing w:before="120"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ii. The ELA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the moment the ELA was signed, all parties would have understood that it related to the assignment of rights to the Sussex Properties, even if the document could also be read by someone unaware of any factual context as referring to the sale of actual title. Mr. Wang knew he did not yet have title and was not transferring title. He himself had written the word "assignment" on envelopes he received with the Deway offer.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Wang also critiques the commission structure under the ELA, which I reproduce here for ease of reference: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Schedule "A"...The seller agrees the following terms:</w:t>
      </w:r>
    </w:p>
    <w:p>
      <w:pPr>
        <w:numPr>
          <w:numId w:val="9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seller agrees the final offer price is $37,800,000.00.</w:t>
      </w:r>
    </w:p>
    <w:p>
      <w:pPr>
        <w:numPr>
          <w:numId w:val="9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If three lots (66525, 6559, 6585 Sussex Ave, Burnaby) will be sold $38,200,000.000, the seller agrees pay selling commission that is sold price 1% to buyer's agent.</w:t>
      </w:r>
    </w:p>
    <w:p>
      <w:pPr>
        <w:numPr>
          <w:numId w:val="9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If three lots (66525, 6559, 6585 Sussex Ave, Burnaby) will be sold between $38,200,000.00- $38,700,000.00, the seller agrees that the excess part will be as the seller's agent of the commission to pay the seller's agent, and there is not any commission pay for the buyer's agent.</w:t>
      </w:r>
    </w:p>
    <w:p>
      <w:pPr>
        <w:numPr>
          <w:numId w:val="9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If three lots (66525, 6559, 6585 Sussex Ave, Burnaby) will be sold over $38,700,000.00, the seller agrees that the excess part will be assigned to the seller and the seller's agent (as the seller's agent of the commission) each 50%.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Wang's argues that paragraphs 3 and 4 are mutually exclusive i.e. once the price reaches a certain level, you only obtain the commission contemplated by the clause in which that price fits. I disagree. I find that paragraphs 3 and 4 are reasonably read as creating cumulative layers of payment, with the new level being triggered upon reaching the identified price point. Mr. Wang's argument that paragraphs 3 and 4 are mutually exclusive makes no commercial sense, since it could result in the agents receiving less commission for achieving a higher price.</w:t>
      </w:r>
      <w:bookmarkStart w:id="102"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02"/>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Wang suggests that the agreement was proven to be uncertain because the Zhaos lowered their claim at trial. However, it is clear that the Zhaos simply erred by including the potential for a buyers' agent commission in their initial calculation. However, such a commission would not be payable in a breach of contract claim because there is in fact no buyer's agent whom the Zhaos need to compensate since Mr. Wang carried out the transaction through Mr. Fu.</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Wang also suggests that the formula is confusing since it is based on the total price paid by the purchaser, rather than on the amount to be received by Mr. Wang himself. However, this is the form in which all the offers came in, and was the manner in which Mr. Fu expressed the offers he received as well. The parties understood that it was going to be paid on the assignor's price, and there is nothing preventing them from using this price as the benchmark.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Wang says the ELA could be read as calculating the bonus on the price obtained paid by the last purchaser in a further string of assignments, which illustrates its flaws and its uncertainty. However, given that the agent being compensated under the ELA would (1) likely have no role in any subsequent assignments, and (2) his client would not benefit from such further assignments, I find that an objective observer would understand that the commission structure in the ELA would only apply to the assignment on which the agent was hired to work by the client, and from which this client could benefit. I see no ambiguity that must be interpreted against the drafter.</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B. Breach of Fiduciary Duty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Wang describes this as his key argument. Mr. Wang argues that as a result of alleged breaches, the Zhaos should be required to repay the "secret profit" of $30,000 earned by 1054499, should be disentitled from retaining the $300,000 bonus in relation to the assembly of the Sussex Properties, and the ELA should not be enforced against him.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light of my factual conclusions above, this argument fails. In particular, I have already found that Mr. Wang was told that:</w:t>
      </w:r>
      <w:r>
        <w:rPr>
          <w:rFonts w:ascii="arial" w:eastAsia="arial" w:hAnsi="arial" w:cs="arial"/>
          <w:sz w:val="18"/>
          <w:lang w:val="en-US" w:eastAsia="en-US" w:bidi="ar-SA"/>
        </w:rPr>
        <w:cr/>
      </w:r>
    </w:p>
    <w:p>
      <w:pPr>
        <w:numPr>
          <w:numId w:val="9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Zhaos were using 1054499 to secure control of 6559 at a time when they could not otherwise present Mr. Wang with the full package of Sussex Properties that Mr. Wang desired;</w:t>
      </w:r>
    </w:p>
    <w:p>
      <w:pPr>
        <w:numPr>
          <w:numId w:val="9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Bonus Agreement amount was to be paid by Mr. Wang himself; and</w:t>
      </w:r>
    </w:p>
    <w:p>
      <w:pPr>
        <w:numPr>
          <w:numId w:val="9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ELA was exclusive.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Wang may not have taken particular note of what he was being told. It was clear from the evidence that he is not a "detail person". But from the perspective of any fiduciary duty, I find he was told what he needed to be told on these core points. I note that the factual findings make it unnecessary for me to decide whether there is in fact a fiduciary duty in relation to the negotiation of contracts that create the realtor-client relationship.</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Wang does cast his net of alleged breaches more broadly, including to conduct that follows the creation of the relationship. I do accept that Mr. Zhao did improperly overstate his right to the interest on Mr. Wang's deposits. But this did not result in any loss to Mr. Wang since Mr. Fu advised Mr. Wang that he could keep the interest for himself if he wished. It was after receiving this more complete advice that Mr. Wang signed the required document for the interest to remain with Home Park. Similarly, Ms. Zhao breached her fiduciary duty by forging one of the Disclosure of Remuneration documents. However, I find that he did see the form, but that he simply refused to sign it after it was properly explained to him. Further, this was simply a form disclosing a commission to be earned from a third party. It did not impose any additional financial obligation on Mr. Wang.</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terms of assessing whether such breaches are deserving of any remedy, I note the following principles set out in </w:t>
      </w:r>
      <w:r>
        <w:rPr>
          <w:rFonts w:ascii="arial" w:eastAsia="arial" w:hAnsi="arial" w:cs="arial"/>
          <w:i/>
          <w:color w:val="000000"/>
          <w:sz w:val="20"/>
          <w:lang w:val="en-US" w:eastAsia="en-US" w:bidi="ar-SA"/>
        </w:rPr>
        <w:t>Mulligan v. Stephenson,</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2016 BCSC 1941</w:t>
        </w:r>
      </w:hyperlink>
      <w:r>
        <w:rPr>
          <w:rFonts w:ascii="arial" w:eastAsia="arial" w:hAnsi="arial" w:cs="arial"/>
          <w:color w:val="000000"/>
          <w:sz w:val="20"/>
          <w:lang w:val="en-US" w:eastAsia="en-US" w:bidi="ar-SA"/>
        </w:rPr>
        <w: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[133] Equitable remedies are flexible, powerful and highly fact-dependent. Discretionary in nature, they are based on what is just in the circumstances of each case...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[135] There are two common remedies for a breach of fiduciary duty. The first compensates the plaintiff for any loss caused by a fiduciary breach. The second deprives the defaulting fiduciary of any profit associated with the breach: </w:t>
      </w:r>
      <w:r>
        <w:rPr>
          <w:rFonts w:ascii="arial" w:eastAsia="arial" w:hAnsi="arial" w:cs="arial"/>
          <w:i/>
          <w:color w:val="000000"/>
          <w:sz w:val="20"/>
          <w:lang w:val="en-US" w:eastAsia="en-US" w:bidi="ar-SA"/>
        </w:rPr>
        <w:t>Canson Enterprises Ltd. v. Boughton &amp; Co.</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[136] Compensation is an equitable monetary remedy. Analogous to restitution, it is intended to restore to the plaintiff that which has been lost as a result of a fiduciary breach: Guerin. In most cases, the loss in question is pecuniary in nature. However, a compensatory award for non-pecuniary loss, analogous to general damages, is also theoretically available. In such cases, although the loss is not measured in pecuniary terms, the award is meant to compensate the plaintiff for the harmful effects caused by the breach: </w:t>
      </w:r>
      <w:r>
        <w:rPr>
          <w:rFonts w:ascii="arial" w:eastAsia="arial" w:hAnsi="arial" w:cs="arial"/>
          <w:i/>
          <w:color w:val="000000"/>
          <w:sz w:val="20"/>
          <w:lang w:val="en-US" w:eastAsia="en-US" w:bidi="ar-SA"/>
        </w:rPr>
        <w:t>Hardman Group Ltd. v. Alexander</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2003 NSSC 151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Dopf v. Royal Bank of Canada</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[1998] B.C.J. No. 87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 find that the noted breaches are so collateral to the core issues in this litigation, and are so removed from any loss, that no general damage-type award is justified on the facts of this case: </w:t>
      </w:r>
      <w:r>
        <w:rPr>
          <w:rFonts w:ascii="arial" w:eastAsia="arial" w:hAnsi="arial" w:cs="arial"/>
          <w:i/>
          <w:color w:val="000000"/>
          <w:sz w:val="20"/>
          <w:lang w:val="en-US" w:eastAsia="en-US" w:bidi="ar-SA"/>
        </w:rPr>
        <w:t>Genesis Fertility Centre Inc. v. Yuzpe,</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2019 BCSC 233</w:t>
        </w:r>
      </w:hyperlink>
      <w:r>
        <w:rPr>
          <w:rFonts w:ascii="arial" w:eastAsia="arial" w:hAnsi="arial" w:cs="arial"/>
          <w:color w:val="000000"/>
          <w:sz w:val="20"/>
          <w:lang w:val="en-US" w:eastAsia="en-US" w:bidi="ar-SA"/>
        </w:rPr>
        <w:t xml:space="preserve"> at paras. 338-340; </w:t>
      </w:r>
      <w:r>
        <w:rPr>
          <w:rFonts w:ascii="arial" w:eastAsia="arial" w:hAnsi="arial" w:cs="arial"/>
          <w:i/>
          <w:color w:val="000000"/>
          <w:sz w:val="20"/>
          <w:lang w:val="en-US" w:eastAsia="en-US" w:bidi="ar-SA"/>
        </w:rPr>
        <w:t>Canson Enterprises</w:t>
      </w:r>
      <w:r>
        <w:rPr>
          <w:rFonts w:ascii="arial" w:eastAsia="arial" w:hAnsi="arial" w:cs="arial"/>
          <w:color w:val="000000"/>
          <w:sz w:val="20"/>
          <w:lang w:val="en-US" w:eastAsia="en-US" w:bidi="ar-SA"/>
        </w:rPr>
        <w:t xml:space="preserve"> at para. 19. Nor is it just and equitable for Home Park to be deprived of the profits of the work they did in fact perform.</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C. Non Est Factum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Andrews &amp; Millet's </w:t>
      </w:r>
      <w:r>
        <w:rPr>
          <w:rFonts w:ascii="arial" w:eastAsia="arial" w:hAnsi="arial" w:cs="arial"/>
          <w:i/>
          <w:color w:val="000000"/>
          <w:sz w:val="20"/>
          <w:lang w:val="en-US" w:eastAsia="en-US" w:bidi="ar-SA"/>
        </w:rPr>
        <w:t>Law of Guarantees</w:t>
      </w:r>
      <w:r>
        <w:rPr>
          <w:rFonts w:ascii="arial" w:eastAsia="arial" w:hAnsi="arial" w:cs="arial"/>
          <w:color w:val="000000"/>
          <w:sz w:val="20"/>
          <w:lang w:val="en-US" w:eastAsia="en-US" w:bidi="ar-SA"/>
        </w:rPr>
        <w:t xml:space="preserve">, 4th ed. (London: Sweet &amp; Maxwell, 2005) at 127, the authors summarize the contractual defence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as follows: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principle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is a special category of the law of mistake, and is extremely narrow in scope. It is a defence which may be available to someone who has been misled into executing a deed or signing a document which is fundamentally different from that which he intended to execute or sign. His mistake must have been as to the essential nature of the transaction, rather than as to its terms; a mistake as to the legal effect of those terms by the signatory or by his legal adviser will not suffice. In most cases in which the defence is raised, the mistake will have been induced by fraud, though this is not an essential or decisive factor.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is a "difficult defence to establish. Otherwise, commercial and other transactions, and the legal rights flowing from those transactions, could be wrongly frustrated. Signed documents need to be accepted at face value except in rare circumstances.": </w:t>
      </w:r>
      <w:r>
        <w:rPr>
          <w:rFonts w:ascii="arial" w:eastAsia="arial" w:hAnsi="arial" w:cs="arial"/>
          <w:i/>
          <w:color w:val="000000"/>
          <w:sz w:val="20"/>
          <w:lang w:val="en-US" w:eastAsia="en-US" w:bidi="ar-SA"/>
        </w:rPr>
        <w:t>Tang v. Chan</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2014 BCSC 2251</w:t>
        </w:r>
      </w:hyperlink>
      <w:r>
        <w:rPr>
          <w:rFonts w:ascii="arial" w:eastAsia="arial" w:hAnsi="arial" w:cs="arial"/>
          <w:color w:val="000000"/>
          <w:sz w:val="20"/>
          <w:lang w:val="en-US" w:eastAsia="en-US" w:bidi="ar-SA"/>
        </w:rPr>
        <w:t xml:space="preserve"> at para. 51.</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Alton v. Lower Mainland Motocross Club</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2017 BCSC 2460</w:t>
        </w:r>
      </w:hyperlink>
      <w:r>
        <w:rPr>
          <w:rFonts w:ascii="arial" w:eastAsia="arial" w:hAnsi="arial" w:cs="arial"/>
          <w:color w:val="000000"/>
          <w:sz w:val="20"/>
          <w:lang w:val="en-US" w:eastAsia="en-US" w:bidi="ar-SA"/>
        </w:rPr>
        <w:t xml:space="preserve"> at paras. 46-47, the court elaborated on the proper approach to the defence stating:</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[46] Mr. Alton relies on </w:t>
      </w:r>
      <w:r>
        <w:rPr>
          <w:rFonts w:ascii="arial" w:eastAsia="arial" w:hAnsi="arial" w:cs="arial"/>
          <w:i/>
          <w:color w:val="000000"/>
          <w:sz w:val="20"/>
          <w:lang w:val="en-US" w:eastAsia="en-US" w:bidi="ar-SA"/>
        </w:rPr>
        <w:t>Farrell Estates v. Win-Up Restaurant Ltd.</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2010 BCSC 1752</w:t>
        </w:r>
      </w:hyperlink>
      <w:r>
        <w:rPr>
          <w:rFonts w:ascii="arial" w:eastAsia="arial" w:hAnsi="arial" w:cs="arial"/>
          <w:color w:val="000000"/>
          <w:sz w:val="20"/>
          <w:lang w:val="en-US" w:eastAsia="en-US" w:bidi="ar-SA"/>
        </w:rPr>
        <w:t xml:space="preserve">. That case states that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is a narrow document [sic] that applies when a party fails to realize the essential nature of the transaction. It is often induced by fraud and should be kept within narrowly prescribed limits for persons of full capacity. The doctrine is one of fundamental mistake. If there is no evidence of fraud, deliberate misrepresentation, or deceptive behaviour, the key question is whether the relevant contractual terms were reasonably brought to the plaintiff's attention through the form of the contract itself. If the answer to that question is yes, then the plaintiff cannot claim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[47] The analysis in determining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is not purely subjective, and involves an objective component, namely, what would a reasonably careful person believe when reading the contract? The court in </w:t>
      </w:r>
      <w:r>
        <w:rPr>
          <w:rFonts w:ascii="arial" w:eastAsia="arial" w:hAnsi="arial" w:cs="arial"/>
          <w:i/>
          <w:color w:val="000000"/>
          <w:sz w:val="20"/>
          <w:lang w:val="en-US" w:eastAsia="en-US" w:bidi="ar-SA"/>
        </w:rPr>
        <w:t>Farrell Estates</w:t>
      </w:r>
      <w:r>
        <w:rPr>
          <w:rFonts w:ascii="arial" w:eastAsia="arial" w:hAnsi="arial" w:cs="arial"/>
          <w:color w:val="000000"/>
          <w:sz w:val="20"/>
          <w:lang w:val="en-US" w:eastAsia="en-US" w:bidi="ar-SA"/>
        </w:rPr>
        <w:t xml:space="preserve"> stated at para. 100:</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[100] The principles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as formulated in the weight of the authorities, can be summarized as follows:</w:t>
      </w:r>
    </w:p>
    <w:p>
      <w:pPr>
        <w:numPr>
          <w:numId w:val="9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burden of proving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rests with the party seeking to disown their signature. For a person of full capacity the application of the doctrine must be kept within narrowly prescribed limits.</w:t>
      </w:r>
    </w:p>
    <w:p>
      <w:pPr>
        <w:numPr>
          <w:numId w:val="9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person who seeks to invoke the remedy must show that the document signed is fundamentally different from what the person believed he or she was signing.</w:t>
      </w:r>
    </w:p>
    <w:p>
      <w:pPr>
        <w:numPr>
          <w:numId w:val="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Even if the person shows such a fundamental difference, the court must examine whether the signer was careless in failing to take reasonable precautions in the execution of the document. The court must also consider the conduct of the party relying on the document and whether they qualify as an innocent party, in order to determine which party, by application of reasonable care, was in the better position to avoid the loss.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A party's comprehension of the language of the contract will be relevant to the defence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Royal Bank of Canada v. Hussain</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(1997), 37 O.R. (3d) 85</w:t>
        </w:r>
      </w:hyperlink>
      <w:r>
        <w:rPr>
          <w:rFonts w:ascii="arial" w:eastAsia="arial" w:hAnsi="arial" w:cs="arial"/>
          <w:color w:val="000000"/>
          <w:sz w:val="20"/>
          <w:lang w:val="en-US" w:eastAsia="en-US" w:bidi="ar-SA"/>
        </w:rPr>
        <w:t xml:space="preserve"> (S.C.) provides helpful guidance in this regard. A husband and wife each signed personal guarantees on loans made by the plaintiff bank to the husband's companies. The wife was an officer of the company. The wife claimed she did not understand the guarantees, which she had not read and which had not been explained to her. She signed them in the presence of her husband only, and under his instruction. The court found that the bank was aware the wife had limited comprehension of English and little involvement with the companies, yet it made no attempt to determine whether she comprehended the risks being assumed. The bank was content to let the husband obtain his wife's signature without its own investigation. In these circumstances, the court accepted the wife's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The court concluded at pp. 91, 94:</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Both defendants then argue that the guarantees are void because of the defence of non est factum. That defence is available when an individual signing a contractual document is mistaken as to the nature and character of a document. However, the Supreme Court of Canada in </w:t>
      </w:r>
      <w:r>
        <w:rPr>
          <w:rFonts w:ascii="arial" w:eastAsia="arial" w:hAnsi="arial" w:cs="arial"/>
          <w:i/>
          <w:color w:val="000000"/>
          <w:sz w:val="20"/>
          <w:lang w:val="en-US" w:eastAsia="en-US" w:bidi="ar-SA"/>
        </w:rPr>
        <w:t>Marvco Color Research Ltd. v. Harris</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[1982] 2 S.C.R. 774</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26 R.P.R. 48</w:t>
        </w:r>
      </w:hyperlink>
      <w:r>
        <w:rPr>
          <w:rFonts w:ascii="arial" w:eastAsia="arial" w:hAnsi="arial" w:cs="arial"/>
          <w:color w:val="000000"/>
          <w:sz w:val="20"/>
          <w:lang w:val="en-US" w:eastAsia="en-US" w:bidi="ar-SA"/>
        </w:rPr>
        <w:t>, held that the defence is not available if an individual was careless when signing the document...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This is not a case like </w:t>
      </w:r>
      <w:r>
        <w:rPr>
          <w:rFonts w:ascii="arial" w:eastAsia="arial" w:hAnsi="arial" w:cs="arial"/>
          <w:i/>
          <w:color w:val="000000"/>
          <w:sz w:val="20"/>
          <w:lang w:val="en-US" w:eastAsia="en-US" w:bidi="ar-SA"/>
        </w:rPr>
        <w:t>Marvco</w:t>
      </w:r>
      <w:r>
        <w:rPr>
          <w:rFonts w:ascii="arial" w:eastAsia="arial" w:hAnsi="arial" w:cs="arial"/>
          <w:color w:val="000000"/>
          <w:sz w:val="20"/>
          <w:lang w:val="en-US" w:eastAsia="en-US" w:bidi="ar-SA"/>
        </w:rPr>
        <w:t xml:space="preserve">, where the individuals signing the document were estopped from denying its validity because of their carelessness in not reading it. Ms. Al-Dhif could not have understood the document had she tried to read it. In the </w:t>
      </w:r>
      <w:r>
        <w:rPr>
          <w:rFonts w:ascii="arial" w:eastAsia="arial" w:hAnsi="arial" w:cs="arial"/>
          <w:i/>
          <w:color w:val="000000"/>
          <w:sz w:val="20"/>
          <w:lang w:val="en-US" w:eastAsia="en-US" w:bidi="ar-SA"/>
        </w:rPr>
        <w:t>Marvco</w:t>
      </w:r>
      <w:r>
        <w:rPr>
          <w:rFonts w:ascii="arial" w:eastAsia="arial" w:hAnsi="arial" w:cs="arial"/>
          <w:color w:val="000000"/>
          <w:sz w:val="20"/>
          <w:lang w:val="en-US" w:eastAsia="en-US" w:bidi="ar-SA"/>
        </w:rPr>
        <w:t xml:space="preserve"> case, Estey J. remarked on the equities that led to his conclusion, saying that as between two innocent parties harmed by the improper conduct of a third party, the loss should fall on the party who could have prevented the loss by the exercise of some care. On the facts of the present case, the bank cannot claim to be an innocent party within the meaning of that term in Estey J.'s judgment because of the circumstances and especially the knowledge of the bank respecting Ms. Al-Dhif and the operation of Mr. Hussain's companies. This was a classic case in which the bank should have at least inquired into her understanding at the time she signed the documents and suggested the need for independent legal advice, given the real danger that she did not understand what she was signing, and that she could be subject to undue influence by her husband. Instead, the bank turned a blind eye to her circumstances, and, therefore, I conclude that it would be inequitable to hold her liable on the guarantees.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National Bank of Canada v. Digest Reporting Service Ltd.</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[1985] 6 W.W.R. 481</w:t>
        </w:r>
      </w:hyperlink>
      <w:r>
        <w:rPr>
          <w:rFonts w:ascii="arial" w:eastAsia="arial" w:hAnsi="arial" w:cs="arial"/>
          <w:color w:val="000000"/>
          <w:sz w:val="20"/>
          <w:lang w:val="en-US" w:eastAsia="en-US" w:bidi="ar-SA"/>
        </w:rPr>
        <w:t xml:space="preserve"> (C.A.), the Manitoba Court of Appeal adopted a similar approach. In that case, a 67 year old, uneducated, hard of hearing female defendant was released from a guarantee based on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She had been given the relevant document with no explanation as to its meaning, and had signed simply because her daughter asked her to. Matas J.A. (Philp J.A. concurring) stated at p.485:</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I understand the effect of </w:t>
      </w:r>
      <w:r>
        <w:rPr>
          <w:rFonts w:ascii="arial" w:eastAsia="arial" w:hAnsi="arial" w:cs="arial"/>
          <w:i/>
          <w:color w:val="000000"/>
          <w:sz w:val="20"/>
          <w:lang w:val="en-US" w:eastAsia="en-US" w:bidi="ar-SA"/>
        </w:rPr>
        <w:t>Marvco</w:t>
      </w:r>
      <w:r>
        <w:rPr>
          <w:rFonts w:ascii="arial" w:eastAsia="arial" w:hAnsi="arial" w:cs="arial"/>
          <w:color w:val="000000"/>
          <w:sz w:val="20"/>
          <w:lang w:val="en-US" w:eastAsia="en-US" w:bidi="ar-SA"/>
        </w:rPr>
        <w:t xml:space="preserve"> is to severely limit the availability of the defence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A signatory to a document will be expected to stand behind his signature. But in special circumstances, depending on the existence of the factors mentioned by Estey, J., it may be possible to raise the defence. In the case at bar, it is necessary to examine the conduct of National as well as what was done by [the daughter] and [the defendant].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Matas J.A. accepted the trial judge's finding that the defendant had not known what she had signed. The court stated at pp.488-489:</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On the other side of the coin the learned trial judge found that National ought to have taken more care in seeing to the proper execution of the document and held that National, by leaving it to Mrs. Bowden to have the letter of guarantee completed by her mother, must bear the risk that it might not be adequately explained or that it might even be misrepresented.</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It is my opinion that National does not qualify as an innocent third party. The bank wanted additional personal guarantees. It was in its interest to get them. But it did not take even minimal steps to ensure that Mrs. Berard would know what she was signing. Its carelessness in handling the transaction is indicated by the fact that it did not supply Mrs. Berard a copy of the guarantee after it had received the executed document. In my view, National was too casual in its handling of the transaction to be heard to complain.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Zhang v. Soong</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2012 BCSC 758</w:t>
        </w:r>
      </w:hyperlink>
      <w:r>
        <w:rPr>
          <w:rFonts w:ascii="arial" w:eastAsia="arial" w:hAnsi="arial" w:cs="arial"/>
          <w:color w:val="000000"/>
          <w:sz w:val="20"/>
          <w:lang w:val="en-US" w:eastAsia="en-US" w:bidi="ar-SA"/>
        </w:rPr>
        <w:t xml:space="preserve">, the defendant was a 75-year-old woman who spoke basic English, but could not read or write the language. She sought to avoid a contract for sale of her residential property. The defendant said the realtor did not explain the documents prior to her signing them. She said the realtor actually told her many times that, notwithstanding the signed documents, she could stop the sale at any time. The realtor denied this. The realtor said she did explain the contract to the defendant, including that it would be binding. On a summary trial application, Justice Gray was unable to resolve the factual dispute. She did suggest that had she accepted the defendant's evidence,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would have been available. The defendant could not read the contract. In those circumstances, it was reasonable for her to rely on her real estate agent to explain what the contract said: para. 95. If the real estate agent had in fact told the defendant that the contract was rescindable at any time, that would be a fundamentally different agreement than what was actually signed, and the defendant would not have been careless in signing it: para. 95.</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1468025 Ontario Limited v. 998614 Ontario Inc.,</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2015 ONSC 7216</w:t>
        </w:r>
      </w:hyperlink>
      <w:r>
        <w:rPr>
          <w:rFonts w:ascii="arial" w:eastAsia="arial" w:hAnsi="arial" w:cs="arial"/>
          <w:color w:val="000000"/>
          <w:sz w:val="20"/>
          <w:lang w:val="en-US" w:eastAsia="en-US" w:bidi="ar-SA"/>
        </w:rPr>
        <w:t xml:space="preserve">, aff'd </w:t>
      </w:r>
      <w:hyperlink r:id="rId582" w:history="1">
        <w:r>
          <w:rPr>
            <w:rFonts w:ascii="arial" w:eastAsia="arial" w:hAnsi="arial" w:cs="arial"/>
            <w:i/>
            <w:color w:val="0077CC"/>
            <w:sz w:val="20"/>
            <w:u w:val="single"/>
            <w:shd w:val="clear" w:color="auto" w:fill="FFFFFF"/>
            <w:lang w:val="en-US" w:eastAsia="en-US" w:bidi="ar-SA"/>
          </w:rPr>
          <w:t>2016 ONCA 504</w:t>
        </w:r>
      </w:hyperlink>
      <w:r>
        <w:rPr>
          <w:rFonts w:ascii="arial" w:eastAsia="arial" w:hAnsi="arial" w:cs="arial"/>
          <w:color w:val="000000"/>
          <w:sz w:val="20"/>
          <w:lang w:val="en-US" w:eastAsia="en-US" w:bidi="ar-SA"/>
        </w:rPr>
        <w:t xml:space="preserve"> involved financial arrangements between two companies controlled by a son and his father. The plaintiff son sought to enforce a loan agreement against the father and his company. The father relied on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claiming that at the time he signed the loan agreement, he was 68 years old with a limited capacity to read English, and only a grade one education. The court held that the father was literate enough to be able to understand the general nature of the signed agreement, and that he had, in fact, understood it. Further, on the father's own version of events, he had signed the agreement without attempting to read it and without asking any questions. This despite the fact that he was in a law office at the time, with a lawyer with whom he was comfortable. The court found he was careless, and declined to accept the defence.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Gadhri v. 0760815 B.C. Ltd.,</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2016 BCSC 521</w:t>
        </w:r>
      </w:hyperlink>
      <w:r>
        <w:rPr>
          <w:rFonts w:ascii="arial" w:eastAsia="arial" w:hAnsi="arial" w:cs="arial"/>
          <w:color w:val="000000"/>
          <w:sz w:val="20"/>
          <w:lang w:val="en-US" w:eastAsia="en-US" w:bidi="ar-SA"/>
        </w:rPr>
        <w:t xml:space="preserve">, rev'd in part on other grounds </w:t>
      </w:r>
      <w:hyperlink r:id="rId584" w:history="1">
        <w:r>
          <w:rPr>
            <w:rFonts w:ascii="arial" w:eastAsia="arial" w:hAnsi="arial" w:cs="arial"/>
            <w:i/>
            <w:color w:val="0077CC"/>
            <w:sz w:val="20"/>
            <w:u w:val="single"/>
            <w:shd w:val="clear" w:color="auto" w:fill="FFFFFF"/>
            <w:lang w:val="en-US" w:eastAsia="en-US" w:bidi="ar-SA"/>
          </w:rPr>
          <w:t>2017 BCCA 31</w:t>
        </w:r>
      </w:hyperlink>
      <w:r>
        <w:rPr>
          <w:rFonts w:ascii="arial" w:eastAsia="arial" w:hAnsi="arial" w:cs="arial"/>
          <w:color w:val="000000"/>
          <w:sz w:val="20"/>
          <w:lang w:val="en-US" w:eastAsia="en-US" w:bidi="ar-SA"/>
        </w:rPr>
        <w:t>, the case involved a joint venture and other contractual arrangements with Mr. Gadhri. Mr. Gadhri asked the court to declare several agreements between the parties void because he did not know English or real estate development concepts well enough to understand the agreements signed. The court held that the defence was not made out. The testimony at trial showed that Mr. Gadhri was an experienced businessperson, capable of understanding agreements and documents in English. He was also advised to seek legal advice before signing any of the agreements. Thus, his claim that he would sign a document without reading or understanding it was not believable. The court also noted that even if Mr. Gadhri truly had difficulties with English, he had access to people who could advise him in his own language.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Applying these principles to the present case, it is true that, given his language barrier, Mr. Wang relied on the Zhaos to explain the documents. What is in dispute is whether the legal effect of the documents was adequately described to him. For example, the use of the Mandarin term for "exclusive" should have been sufficient to communicate to him that he was not free to deal with others without triggering contractual consequences. Perhaps more explanation could have been given, but I find that the explanation was not so flawed as to establish the defence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Specifically, I find no deceptive behaviour here. These factual findings following a full trial sets this case apart from the decision in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xml:space="preserve"> where the court was unable to make the required findings on the summary trial application before it.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direct interactions between the parties also distinguish this case from </w:t>
      </w:r>
      <w:r>
        <w:rPr>
          <w:rFonts w:ascii="arial" w:eastAsia="arial" w:hAnsi="arial" w:cs="arial"/>
          <w:i/>
          <w:color w:val="000000"/>
          <w:sz w:val="20"/>
          <w:lang w:val="en-US" w:eastAsia="en-US" w:bidi="ar-SA"/>
        </w:rPr>
        <w:t>Royal Bank of Canada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National Bank of Canada,</w:t>
      </w:r>
      <w:r>
        <w:rPr>
          <w:rFonts w:ascii="arial" w:eastAsia="arial" w:hAnsi="arial" w:cs="arial"/>
          <w:color w:val="000000"/>
          <w:sz w:val="20"/>
          <w:lang w:val="en-US" w:eastAsia="en-US" w:bidi="ar-SA"/>
        </w:rPr>
        <w:t xml:space="preserve"> where the defendant banks failed to provide any explanation of the documents. The facts here are closer to those in </w:t>
      </w:r>
      <w:r>
        <w:rPr>
          <w:rFonts w:ascii="arial" w:eastAsia="arial" w:hAnsi="arial" w:cs="arial"/>
          <w:i/>
          <w:color w:val="000000"/>
          <w:sz w:val="20"/>
          <w:lang w:val="en-US" w:eastAsia="en-US" w:bidi="ar-SA"/>
        </w:rPr>
        <w:t>1468025 Ontario Limited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Gadhri,</w:t>
      </w:r>
      <w:r>
        <w:rPr>
          <w:rFonts w:ascii="arial" w:eastAsia="arial" w:hAnsi="arial" w:cs="arial"/>
          <w:color w:val="000000"/>
          <w:sz w:val="20"/>
          <w:lang w:val="en-US" w:eastAsia="en-US" w:bidi="ar-SA"/>
        </w:rPr>
        <w:t xml:space="preserve"> where the defence was rejected.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Even if Mr. Wang did not understand the documents' fundamental character, I find he was careless in not listening carefully to the explanations provided to him, or in not seeking additional advice. On a series of $30-40 million commercial real estate transactions, it would have been reasonable for him to seek more detailed advice from lawyers, accountants, or his other real estate contacts, any of which would presumably have disabused him of any misunderstanding. He clearly had access to other agents and lawyers, as was the case in </w:t>
      </w:r>
      <w:r>
        <w:rPr>
          <w:rFonts w:ascii="arial" w:eastAsia="arial" w:hAnsi="arial" w:cs="arial"/>
          <w:i/>
          <w:color w:val="000000"/>
          <w:sz w:val="20"/>
          <w:lang w:val="en-US" w:eastAsia="en-US" w:bidi="ar-SA"/>
        </w:rPr>
        <w:t>Gadhri</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Argo Ventures</w:t>
      </w:r>
      <w:r>
        <w:rPr>
          <w:rFonts w:ascii="arial" w:eastAsia="arial" w:hAnsi="arial" w:cs="arial"/>
          <w:color w:val="000000"/>
          <w:sz w:val="20"/>
          <w:lang w:val="en-US" w:eastAsia="en-US" w:bidi="ar-SA"/>
        </w:rPr>
        <w: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[120] Even if I were to accept that Mr. Choi relied exclusively on Mr. Seo to explain the terms of a contract of purchase and sale for a property worth $6.5 million (a substantial amount even for Mr. Choi), his decision to do so was unreasonable and careless.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[121] Mr. Choi was also careless in not seeking legal advice prior to executing the Contract. Mr. Choi could have sought time to contact his lawyers prior to executing the Counteroffer. Had he done so, he could have disabused himself of any misunderstanding as to what he was signing. While the Counteroffer was delivered late in the day on a Friday, there is no evidence that Mr. Choi was under pressure to execute it immediately. The only rush for Mr. Choi was that he thought he was getting a good deal and wanted to enter into a binding contract quickly.</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[122] In conclusion, the circumstances of this case do not support a defence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Wang has not met his onus of establishing the availability of this defence on a balance of probabilities.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D. Misrepresentation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Given that I have found the Zhaos properly described the documents to Mr. Wang, I find no basis for a misrepresentation claim.</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E. Mistake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Wang argues that even if the Zhaos genuinely believed that they had an exclusive listing agreement and a bonus agreement in place, the agreements should not be enforced on the basis of mistake.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find that there was no mutual mistake. The Zhaos understood the documents that were signed.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As for the concept unilateral mistake, in </w:t>
      </w:r>
      <w:r>
        <w:rPr>
          <w:rFonts w:ascii="arial" w:eastAsia="arial" w:hAnsi="arial" w:cs="arial"/>
          <w:i/>
          <w:color w:val="000000"/>
          <w:sz w:val="20"/>
          <w:lang w:val="en-US" w:eastAsia="en-US" w:bidi="ar-SA"/>
        </w:rPr>
        <w:t>Performance Industries Ltd. v. Sylvan Lake Golf &amp; Tennis Club Ltd.</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2002 SCC 19</w:t>
        </w:r>
      </w:hyperlink>
      <w:r>
        <w:rPr>
          <w:rFonts w:ascii="arial" w:eastAsia="arial" w:hAnsi="arial" w:cs="arial"/>
          <w:color w:val="000000"/>
          <w:sz w:val="20"/>
          <w:lang w:val="en-US" w:eastAsia="en-US" w:bidi="ar-SA"/>
        </w:rPr>
        <w:t>, the court stated:</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[35] As stated, high hurdles are placed in the way of a businessperson who relies on his or her own unilateral mistake to resile from the written terms of a document which he or she has signed and which, on its face, seems perfectly clear. The law is determined not to open the proverbial floodgates to dissatisfied contract makers who want to extricate themselves from a poor bargain.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 am unable to find that there was a unilateral mistake. I find that the information was communicated to Mr. Wang in a form that should have been understood. Even if a unilateral mistake were established, I find it should not lead to the remedy sought. Mr. Wang effectively seeks rectification of the contracts i.e. to remove the exclusive element of the ELA, and to only provide his consent to make the sellers responsible under the Bonus Agreements. The court will not rectify a contract on the basis of unilateral mistake unless the preconditions set forth in </w:t>
      </w:r>
      <w:r>
        <w:rPr>
          <w:rFonts w:ascii="arial" w:eastAsia="arial" w:hAnsi="arial" w:cs="arial"/>
          <w:i/>
          <w:color w:val="000000"/>
          <w:sz w:val="20"/>
          <w:lang w:val="en-US" w:eastAsia="en-US" w:bidi="ar-SA"/>
        </w:rPr>
        <w:t>Sylvan</w:t>
      </w:r>
      <w:r>
        <w:rPr>
          <w:rFonts w:ascii="arial" w:eastAsia="arial" w:hAnsi="arial" w:cs="arial"/>
          <w:color w:val="000000"/>
          <w:sz w:val="20"/>
          <w:lang w:val="en-US" w:eastAsia="en-US" w:bidi="ar-SA"/>
        </w:rPr>
        <w:t xml:space="preserve"> are made out, specifically:</w:t>
      </w:r>
      <w:r>
        <w:rPr>
          <w:rFonts w:ascii="arial" w:eastAsia="arial" w:hAnsi="arial" w:cs="arial"/>
          <w:sz w:val="18"/>
          <w:lang w:val="en-US" w:eastAsia="en-US" w:bidi="ar-SA"/>
        </w:rPr>
        <w:cr/>
      </w:r>
    </w:p>
    <w:p>
      <w:pPr>
        <w:numPr>
          <w:numId w:val="10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There must be a prior oral agreement, which the written document does not reflect: </w:t>
      </w:r>
      <w:r>
        <w:rPr>
          <w:rFonts w:ascii="arial" w:eastAsia="arial" w:hAnsi="arial" w:cs="arial"/>
          <w:i/>
          <w:color w:val="000000"/>
          <w:sz w:val="20"/>
          <w:lang w:val="en-US" w:eastAsia="en-US" w:bidi="ar-SA"/>
        </w:rPr>
        <w:t>Sylvan</w:t>
      </w:r>
      <w:r>
        <w:rPr>
          <w:rFonts w:ascii="arial" w:eastAsia="arial" w:hAnsi="arial" w:cs="arial"/>
          <w:color w:val="000000"/>
          <w:sz w:val="20"/>
          <w:lang w:val="en-US" w:eastAsia="en-US" w:bidi="ar-SA"/>
        </w:rPr>
        <w:t xml:space="preserve"> at para. 35;</w:t>
      </w:r>
    </w:p>
    <w:p>
      <w:pPr>
        <w:numPr>
          <w:numId w:val="10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other party must have known or ought to have known of the mistake in reducing the oral terms to writing, and permitting the other party to take advantage of the error must amount to "fraud or the equivalent of fraud". In this context, "fraud" means a finding that it would be "unconscientious for a person to avail himself of the advantage obtained": </w:t>
      </w:r>
      <w:r>
        <w:rPr>
          <w:rFonts w:ascii="arial" w:eastAsia="arial" w:hAnsi="arial" w:cs="arial"/>
          <w:i/>
          <w:color w:val="000000"/>
          <w:sz w:val="20"/>
          <w:lang w:val="en-US" w:eastAsia="en-US" w:bidi="ar-SA"/>
        </w:rPr>
        <w:t>Sylvan</w:t>
      </w:r>
      <w:r>
        <w:rPr>
          <w:rFonts w:ascii="arial" w:eastAsia="arial" w:hAnsi="arial" w:cs="arial"/>
          <w:color w:val="000000"/>
          <w:sz w:val="20"/>
          <w:lang w:val="en-US" w:eastAsia="en-US" w:bidi="ar-SA"/>
        </w:rPr>
        <w:t xml:space="preserve"> at para. 39;</w:t>
      </w:r>
    </w:p>
    <w:p>
      <w:pPr>
        <w:numPr>
          <w:numId w:val="10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party alleging the mistake must demonstrate "'the precise form' in which the written instrument can be made to express the prior intention": </w:t>
      </w:r>
      <w:r>
        <w:rPr>
          <w:rFonts w:ascii="arial" w:eastAsia="arial" w:hAnsi="arial" w:cs="arial"/>
          <w:i/>
          <w:color w:val="000000"/>
          <w:sz w:val="20"/>
          <w:lang w:val="en-US" w:eastAsia="en-US" w:bidi="ar-SA"/>
        </w:rPr>
        <w:t>Sylvan</w:t>
      </w:r>
      <w:r>
        <w:rPr>
          <w:rFonts w:ascii="arial" w:eastAsia="arial" w:hAnsi="arial" w:cs="arial"/>
          <w:color w:val="000000"/>
          <w:sz w:val="20"/>
          <w:lang w:val="en-US" w:eastAsia="en-US" w:bidi="ar-SA"/>
        </w:rPr>
        <w:t xml:space="preserve"> at para. 40; and</w:t>
      </w:r>
    </w:p>
    <w:p>
      <w:pPr>
        <w:numPr>
          <w:numId w:val="10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All of the above criteria must be established by "convincing proof": para. 41.</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am not satisfied that there was a prior oral agreement inconsistent with the written documents. Further, even if Mr. Wang was mistaken (a finding I have not made), the evidence does not establish that the Zhaos knew of this mistake or sought to take improper advantage of it.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F. Unconscionability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Morrison v. Coast Finance Ltd.</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(1965), 55 D.L.R. (2d) 710</w:t>
        </w:r>
      </w:hyperlink>
      <w:r>
        <w:rPr>
          <w:rFonts w:ascii="arial" w:eastAsia="arial" w:hAnsi="arial" w:cs="arial"/>
          <w:color w:val="000000"/>
          <w:sz w:val="20"/>
          <w:lang w:val="en-US" w:eastAsia="en-US" w:bidi="ar-SA"/>
        </w:rPr>
        <w:t xml:space="preserve"> (B.C.C.A.) at 713, Davey J.A. (Bull J.A. concurring) set out the requisite components of this doctrine: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On such a claim the material ingredients are proof of inequality in the position of the parties arising out of the ignorance, need or distress of the weaker, which left him in the power of the stronger, and proof of substantial unfairness of the bargain obtained by the stronger.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find no abuse of power by the Zhaos here. Mr. Wang was the dominant financial force in the transactions. His only disadvantage was his lack of English skills, but he had the resources to remedy that problem. In any event, based on my finding that the Zhaos explained the key elements of the agreements to Mr. Wang, I cannot find that the Zhaos took unfair advantage of Mr. Wang's language difficulties.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Furthermore, there is no proof of substantial unfairness of the bargain obtained. The compensation payable under both the ELA and the Bonus Agreement combined was still less than what Mr. Wang agreed to pay the other real estate agent, Mr. Fu, for only one component of the transaction: </w:t>
      </w:r>
      <w:r>
        <w:rPr>
          <w:rFonts w:ascii="arial" w:eastAsia="arial" w:hAnsi="arial" w:cs="arial"/>
          <w:i/>
          <w:color w:val="000000"/>
          <w:sz w:val="20"/>
          <w:lang w:val="en-US" w:eastAsia="en-US" w:bidi="ar-SA"/>
        </w:rPr>
        <w:t>Tang</w:t>
      </w:r>
      <w:r>
        <w:rPr>
          <w:rFonts w:ascii="arial" w:eastAsia="arial" w:hAnsi="arial" w:cs="arial"/>
          <w:color w:val="000000"/>
          <w:sz w:val="20"/>
          <w:lang w:val="en-US" w:eastAsia="en-US" w:bidi="ar-SA"/>
        </w:rPr>
        <w:t xml:space="preserve"> at para. 58.</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G. Consensus Ad Idem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This argument was really a reiteration of Mr. Wang's assertions of uncertainty of terms,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and mistake. I reject this argument for the same reasons I rejected these other contractual defences above.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H. Unjust Enrichment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A claim for unjust enrichment cannot succeed if there is a juristic reason for the gain. It is trite law that a contract can provide such a juristic reason: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 44. I have found that the ELA and the Bonus Agreement are valid and enforceable contracts. Thus, there is a clear juristic reason for any enrichment of Home Park.</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 xml:space="preserve">I.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Wang raised this cause of action in his pleadings but it was not pursued in final argument in light of the restriction against the pursuit of such claims for pure economic losses.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J. Illegality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Wang also raised this issue in his pleadings but it was not pursued in final argument.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u w:val="single"/>
          <w:lang w:val="en-US" w:eastAsia="en-US" w:bidi="ar-SA"/>
        </w:rPr>
        <w:t>V. DISPOSITION AND COSTS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Home Park shall have judgment in their action in the amount of $1,150,000 plus taxes and any applicable pre-judgment interest. Mr. Wang's third party proceeding against the Zhaos is dismissed.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Wang's action for return of the $300,000 bonus is also dismissed.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If the parties are unable to agree on costs, the Zhaos and Home Park may provide written submissions of no more than 15 pages within 30 days of this judgment. Mr. Wang will then have a further 30 days to respond with written submissions of no more than 15 pages. The Zhaos will then have a further 10 days to reply with written submissions of no more than 5 pages.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W.K. BRANCH J.</w:t>
      </w:r>
      <w:r>
        <w:rPr>
          <w:rFonts w:ascii="arial" w:eastAsia="arial" w:hAnsi="arial" w:cs="arial"/>
          <w:sz w:val="18"/>
          <w:lang w:val="en-US" w:eastAsia="en-US" w:bidi="ar-SA"/>
        </w:rPr>
        <w:cr/>
      </w:r>
    </w:p>
    <w:p>
      <w:pPr>
        <w:spacing w:after="240"/>
        <w:rPr>
          <w:rFonts w:ascii="arial" w:eastAsia="arial" w:hAnsi="arial" w:cs="arial"/>
          <w:sz w:val="18"/>
          <w:lang w:val="en-US" w:eastAsia="en-US" w:bidi="ar-SA"/>
        </w:rPr>
      </w:pPr>
      <w:r>
        <w:pict>
          <v:line id="_x0000_s1125" style="position:absolute;z-index:251789312" from="0,15pt" to="180pt,15pt" strokecolor="#bcbeb0" strokeweight="0.5pt">
            <v:stroke linestyle="single"/>
          </v:line>
        </w:pict>
      </w:r>
    </w:p>
    <w:p>
      <w:pPr>
        <w:rPr>
          <w:rFonts w:ascii="arial" w:eastAsia="arial" w:hAnsi="arial" w:cs="arial"/>
          <w:sz w:val="18"/>
          <w:lang w:val="en-US" w:eastAsia="en-US" w:bidi="ar-SA"/>
        </w:rPr>
      </w:pPr>
    </w:p>
    <w:p>
      <w:pPr>
        <w:spacing w:before="120" w:after="20" w:line="240" w:lineRule="atLeast"/>
        <w:ind w:left="720" w:hanging="360"/>
        <w:jc w:val="both"/>
        <w:rPr>
          <w:rFonts w:ascii="arial" w:eastAsia="arial" w:hAnsi="arial" w:cs="arial"/>
          <w:sz w:val="18"/>
          <w:lang w:val="en-US" w:eastAsia="en-US" w:bidi="ar-SA"/>
        </w:rPr>
      </w:pPr>
      <w:bookmarkStart w:id="103"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03"/>
      <w:r>
        <w:rPr>
          <w:rFonts w:ascii="arial" w:eastAsia="arial" w:hAnsi="arial" w:cs="arial"/>
          <w:sz w:val="18"/>
          <w:lang w:val="en-US" w:eastAsia="en-US" w:bidi="ar-SA"/>
        </w:rPr>
        <w:tab/>
      </w:r>
      <w:r>
        <w:rPr>
          <w:rFonts w:ascii="arial" w:eastAsia="arial" w:hAnsi="arial" w:cs="arial"/>
          <w:color w:val="6D6E71"/>
          <w:sz w:val="18"/>
          <w:lang w:val="en-US" w:eastAsia="en-US" w:bidi="ar-SA"/>
        </w:rPr>
        <w:t>WeChat is a Chinese messaging service.</w:t>
      </w:r>
    </w:p>
    <w:p>
      <w:pPr>
        <w:spacing w:before="120" w:after="20" w:line="240" w:lineRule="atLeast"/>
        <w:ind w:left="720" w:hanging="360"/>
        <w:jc w:val="both"/>
        <w:rPr>
          <w:rFonts w:ascii="arial" w:eastAsia="arial" w:hAnsi="arial" w:cs="arial"/>
          <w:sz w:val="18"/>
          <w:lang w:val="en-US" w:eastAsia="en-US" w:bidi="ar-SA"/>
        </w:rPr>
      </w:pPr>
      <w:bookmarkStart w:id="104"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04"/>
      <w:r>
        <w:rPr>
          <w:rFonts w:ascii="arial" w:eastAsia="arial" w:hAnsi="arial" w:cs="arial"/>
          <w:sz w:val="18"/>
          <w:lang w:val="en-US" w:eastAsia="en-US" w:bidi="ar-SA"/>
        </w:rPr>
        <w:tab/>
      </w:r>
      <w:r>
        <w:rPr>
          <w:rFonts w:ascii="arial" w:eastAsia="arial" w:hAnsi="arial" w:cs="arial"/>
          <w:color w:val="6D6E71"/>
          <w:sz w:val="18"/>
          <w:lang w:val="en-US" w:eastAsia="en-US" w:bidi="ar-SA"/>
        </w:rPr>
        <w:t>For example, if paragraph 3 of the commission structure did not apply once the purchase price exceeded 38,700,000, then the Zhaos would earn a lower commission on a purchase price of 39,000,000 compared to 38,700,000. This is because, under Mr. Wang's proposed approach, the respective commissions would have been calculated as follows:</w:t>
      </w:r>
    </w:p>
    <w:p>
      <w:pPr>
        <w:numPr>
          <w:numId w:val="104"/>
        </w:numPr>
        <w:spacing w:before="120" w:after="20" w:line="240" w:lineRule="atLeast"/>
        <w:ind w:left="1080"/>
        <w:jc w:val="both"/>
        <w:rPr>
          <w:rFonts w:ascii="arial" w:eastAsia="arial" w:hAnsi="arial" w:cs="arial"/>
          <w:sz w:val="18"/>
          <w:lang w:val="en-US" w:eastAsia="en-US" w:bidi="ar-SA"/>
        </w:rPr>
      </w:pPr>
      <w:r>
        <w:rPr>
          <w:rFonts w:ascii="arial" w:eastAsia="arial" w:hAnsi="arial" w:cs="arial"/>
          <w:color w:val="000000"/>
          <w:sz w:val="18"/>
          <w:lang w:val="en-US" w:eastAsia="en-US" w:bidi="ar-SA"/>
        </w:rPr>
        <w:t xml:space="preserve">Purchase price of 38,700,000 (calculated under para. 3): 38,700,000-38,200,000 = </w:t>
      </w:r>
      <w:r>
        <w:rPr>
          <w:rFonts w:ascii="arial" w:eastAsia="arial" w:hAnsi="arial" w:cs="arial"/>
          <w:b/>
          <w:color w:val="000000"/>
          <w:sz w:val="18"/>
          <w:lang w:val="en-US" w:eastAsia="en-US" w:bidi="ar-SA"/>
        </w:rPr>
        <w:t>$500,000</w:t>
      </w:r>
      <w:r>
        <w:rPr>
          <w:rFonts w:ascii="arial" w:eastAsia="arial" w:hAnsi="arial" w:cs="arial"/>
          <w:color w:val="000000"/>
          <w:sz w:val="18"/>
          <w:lang w:val="en-US" w:eastAsia="en-US" w:bidi="ar-SA"/>
        </w:rPr>
        <w:t xml:space="preserve"> commission</w:t>
      </w:r>
    </w:p>
    <w:p>
      <w:pPr>
        <w:spacing w:before="120" w:after="20" w:line="240" w:lineRule="atLeast"/>
        <w:ind w:left="720"/>
        <w:jc w:val="both"/>
        <w:rPr>
          <w:rFonts w:ascii="arial" w:eastAsia="arial" w:hAnsi="arial" w:cs="arial"/>
          <w:sz w:val="18"/>
          <w:lang w:val="en-US" w:eastAsia="en-US" w:bidi="ar-SA"/>
        </w:rPr>
      </w:pPr>
      <w:r>
        <w:rPr>
          <w:rFonts w:ascii="arial" w:eastAsia="arial" w:hAnsi="arial" w:cs="arial"/>
          <w:color w:val="6D6E71"/>
          <w:sz w:val="18"/>
          <w:lang w:val="en-US" w:eastAsia="en-US" w:bidi="ar-SA"/>
        </w:rPr>
        <w:t xml:space="preserve"> </w:t>
      </w:r>
    </w:p>
    <w:p>
      <w:pPr>
        <w:numPr>
          <w:numId w:val="105"/>
        </w:numPr>
        <w:spacing w:before="120" w:after="20" w:line="240" w:lineRule="atLeast"/>
        <w:jc w:val="both"/>
        <w:rPr>
          <w:rFonts w:ascii="arial" w:eastAsia="arial" w:hAnsi="arial" w:cs="arial"/>
          <w:sz w:val="18"/>
          <w:lang w:val="en-US" w:eastAsia="en-US" w:bidi="ar-SA"/>
        </w:rPr>
      </w:pPr>
      <w:r>
        <w:rPr>
          <w:rFonts w:ascii="arial" w:eastAsia="arial" w:hAnsi="arial" w:cs="arial"/>
          <w:color w:val="000000"/>
          <w:sz w:val="18"/>
          <w:lang w:val="en-US" w:eastAsia="en-US" w:bidi="ar-SA"/>
        </w:rPr>
        <w:t xml:space="preserve">Purchase price of 39,000,000 (calculated under para. 4): (39,000,000-38,700,000) / 2 = </w:t>
      </w:r>
      <w:r>
        <w:rPr>
          <w:rFonts w:ascii="arial" w:eastAsia="arial" w:hAnsi="arial" w:cs="arial"/>
          <w:b/>
          <w:color w:val="000000"/>
          <w:sz w:val="18"/>
          <w:lang w:val="en-US" w:eastAsia="en-US" w:bidi="ar-SA"/>
        </w:rPr>
        <w:t>$150,000 commission</w:t>
      </w:r>
    </w:p>
    <w:p>
      <w:pPr>
        <w:rPr>
          <w:rFonts w:ascii="arial" w:eastAsia="arial" w:hAnsi="arial" w:cs="arial"/>
          <w:sz w:val="18"/>
          <w:lang w:val="en-US" w:eastAsia="en-US" w:bidi="ar-SA"/>
        </w:rPr>
      </w:pPr>
    </w:p>
    <w:p>
      <w:pPr>
        <w:ind w:left="200"/>
        <w:rPr>
          <w:rFonts w:ascii="arial" w:eastAsia="arial" w:hAnsi="arial" w:cs="arial"/>
          <w:sz w:val="18"/>
          <w:lang w:val="en-US" w:eastAsia="en-US" w:bidi="ar-SA"/>
        </w:rPr>
        <w:sectPr>
          <w:type w:val="continuous"/>
          <w:pgMar w:top="840" w:right="1000" w:bottom="840" w:left="1000" w:header="400" w:footer="400"/>
          <w:pgNumType w:fmt="decimal"/>
          <w:cols w:space="720"/>
        </w:sectPr>
      </w:pPr>
      <w:r>
        <w:rPr>
          <w:rFonts w:ascii="arial" w:eastAsia="arial" w:hAnsi="arial" w:cs="arial"/>
          <w:sz w:val="18"/>
          <w:lang w:val="en-US" w:eastAsia="en-US" w:bidi="ar-SA"/>
        </w:rPr>
        <w:br/>
      </w:r>
      <w:r>
        <w:pict>
          <v:line id="_x0000_s1126" style="position:absolute;z-index:2518056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Youyi Group Holdings (Canada) Ltd. v. Brentwood Lanes Canada Ltd., [2019] B.C.J. No. 836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A.P.A. Mayer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10-13, 16-20, 30-31,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1-3, 6-10, 20-24, 27-30,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 4-6, 11-15, 18-21, 2017; February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26-28, March 1-2, 5-9, 12-13,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30, May 1-4, 7-8, September 17-18,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20-21, 24-28, October 1-4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22-25,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S128965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836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739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 R.P.R. (6th) 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1294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Youyi Group Holdings (Canada) Ltd. and DHI Holdings Inc., Plaintiffs, and Brentwood Lanes Canada Ltd. and Maple Ridge Lanes (1982) Ltd., Defendants, and Xiao Dong Liu, also known as Allen Liu, Pacific Success Management &amp; Consultants Inc., Pacific Fortuna Management &amp; Consultants Inc., Kevin Hien, Sunrich Realty Ltd. dba Amex Sunrich Realty, Franga Holdings Ltd. and Anken International Investment Corp.,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(453 paras.)</w:t>
      </w:r>
    </w:p>
    <w:p>
      <w:pPr>
        <w:jc w:val="both"/>
        <w:rPr>
          <w:rFonts w:ascii="arial" w:eastAsia="arial" w:hAnsi="arial" w:cs="arial"/>
          <w:sz w:val="20"/>
          <w:lang w:val="en-US" w:eastAsia="en-US" w:bidi="ar-SA"/>
        </w:rPr>
      </w:pPr>
      <w:bookmarkStart w:id="105" w:name="Counsel_28"/>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 Coval, M. Pontin, K. Milinazzo, H.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Parlow, S. Coblin, N. Preshaw.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by Counterclaim, Sunrich Realty Ltd. dba Amex Sunrich Realty and Kevin Hien: J. Fiddick, D.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by Counterclaim, Xiao Dong Liu, Pacific Fortuna Management &amp; Consultants Inc., and Pacific Success Management &amp; Consultants Inc.: S. Coval, M. Pontin, K. Milinazzo, H. Mann.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28"/>
      <w:bookmarkEnd w:id="106"/>
      <w:r>
        <w:pict>
          <v:line id="_x0000_s1128" style="position:absolute;z-index:2517442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PRELIMINARY COMMENTS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UNENFORCEABILITY OF THE PURCHASE AGREEMENTS DUE TO CONSPIRACY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of Civil Conspiracy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 on Conspiracy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Was Jeong Lee told about the RM5s zoning potential for the Brentwood property before the Purchase Agreements were signed?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there a scheme to improperly funnel commissions to Kevin Hien?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Were the Brentwood Agreement and Zoning Warranty designed to mask collusion between Allen Liu and Kevin Hien?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Did Allen Liu and Kevin Hien Conspire to Falsify or Co-ordinate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Alleged Fraud Against Neil Wong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with Respect to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UNENFORCEABILITY OF THE PURCHASE AGREEMENTS DUE TO BREACH OF FIDUCIARY DUTY AND KNOWING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Kevin Hien have a fiduciary duty to the Vendors which he breached?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Did the Purchasers knowingly assist Kevin Hien in breaching his fiduciary duty to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UNENFORCEABILITY OF THE PURCHASE AGREEMENTS DUE TO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UNENFORCEABILITY OF THE PURCHASE AGREEMENTS FOR PUBLIC POLICY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of the Relevant Law on "Unlawful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 on Unlawful Purposes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Rent Reduction Schedule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Lease Addendum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False Purchase and Sale Agreement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Was there a $38.8 million first offer to purchase the Brentwood property set out in a Letter of Intent?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Summary of Findings Regarding the Alleged First Offer and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Summary of Findings Regarding the False Purchase and Sale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Agreement</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Conclusion Regarding the Intended Unlawful Purposes of the False Purchase and Sale Agreement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Were the Purchase Agreements or Agreements or Documents Related to the Purchase Agreements Used to Mislead lenders, appraisers, investors and potential assignees?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Related Illegal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on Unlawful Purposes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THE DUTY OF HONEST PERFORMANCE BY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PURCHASERS' CLAIM FOR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COUNTERCLAIMS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Counterclaims Against Kevin Hien and Amex Sunrich Realty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AND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A.P.A. MAYER J."/>
            <w:bookmarkEnd w:id="107"/>
            <w:r>
              <w:rPr>
                <w:rFonts w:ascii="arial" w:eastAsia="arial" w:hAnsi="arial" w:cs="arial"/>
                <w:b/>
                <w:color w:val="000000"/>
                <w:sz w:val="30"/>
                <w:lang w:val="en-US" w:eastAsia="en-US" w:bidi="ar-SA"/>
              </w:rPr>
              <w:t>A.P.A. MAYER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concerns a dispute with respect to the enforceability of two contracts made in October 2011, for the purchase and sale of two valuable commercial properties sold as a package deal - one in the Brentwood area of Burnaby and the other in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4.2 acre Burnaby property (the "Brentwood property") is located at 5502 Lougheed Highway and is owned by the defendant Brentwood Lanes Canada Ltd. The Brentwood property, being by far the more valuable of the two properties, was the primary focus of the package deal. In an agreement dated October 6, 2011 (the "Brentwood Agreement") Brentwood Lanes agreed to sell the Brentwood property to the defendant by counterclaim, Pacific Success Management &amp; Consultants Inc., for $28.8 million. The Brentwood Agreement was eventually assigned to the plaintiff Youyi Group Holdings (Canada) Ltd. ("Youyi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.82 acre Maple Ridge property (the "Maple Ridge property") is located at 22730 119th Avenue in downtown Maple Ridge and is owned by the defendant Maple Ridge Lanes (1981) Ltd. Pursuant to a separate but linked agreement also dated October 6, 2011, Maple Ridge Lanes agreed to sell this property to Pacific Success Management &amp; Consultants Inc. for $3.2 million (the "Maple Ridge Agreement"). The Maple Ridge Agreement was eventually assigned to the plaintiff DHI Holdings Inc. ("DHI").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these reasons, I will refer to the Brentwood Agreement and Maple Ridge Agreement collectively as the "Purchase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vendors, Brentwood Lanes and Maple Ridge Lanes (the "Vendors"), are related companies under common ownership and are managed by their president, Jeong Lee. The purchasers, Youyi Canada and DHI (the "Purchasers"), are also related companies under common ownership and are managed by their president Xiao Dong Liu, also known as Allen Liu, who is also a defendant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sale of the Brentwood and Maple Ridge properties was scheduled to complete on December 19, 2012. On December 4, 2012, the Vendors wrote to the Purchasers notifying them that they would not be proceeding with the sale and advised that it was their position that the Purchase Agreements had been repudiated or were unenforceable because of various alleged wrongdoings by the Purchasers and the parties' real estate agent, the defendant by counterclaim Kevin Hien, who represented both the Purchasers and Vendors under a dual agency agreement. On December 7, 2012, the Purchasers responded rejecting what they considered to be the Vendors' wrongful repudiation of the Purchase Agreements, which they contend arose as a result of sellers' remorse.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Purchasers commenced this action on December 18, 2012, seeking specific performance of the Purchase Agreements or damages in lieu of specific performance and later filed certificates of pending litigation against the Brentwood and Maple Ridge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stakes in this claim are high because of a dramatic increase in the value of commercial property from the time the Purchase Agreements were signed to the date of trial. Since this action was commenced in December 2012, the value of the Brentwood property has increased from approximately $28.8 million, the then agreed upon sale price, to somewhere around $76 million, based on a July 2017 appraisal for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trial of this matter took place over seventy-seven days, including 17 days of closing submissions. This was a long commercial trial by any measure, involving testimony from a number of witnesses and the review of a large number of exhibits. Cross-examination of Allen Liu, the main witness for the Purchasers, took approximately 15 days. Cross-examination of Jeong Lee, the main witness for the Vendors, took just under 4 days. Cross-examination of Kevin Hien took approximately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is apparent from the extensive cross-examinations, credibility was a central issue at trial and a number of key facts are in dispute. In the background section which follows, I have, for the most part, only set out facts which are not disputed and which concern the matters to be decided upon. I will deal with findings of credibility including my findings regarding the disputed facts later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Jeong Lee and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Jeong Lee, is the president of the Vendors. He and his father began to invest in real estate in Canada starting in 1995 when the Lees purchased the Maple Ridge property and Maple Ridge Lanes bowling center operation as a qualifying investment for immigration purposes. In 1999, the Lees purchased the Brentwood property and Brentwood Lanes bowling center operation and the Mayfair Lanes bowling center in Saanich as a package. In 2003, the Lees earned a large profit by selling the Mayfair Lanes bowling center and used the proceeds to purchase two more bowling centers in Windsor, Ontario in 2007 and the Westwood Plateau Golf &amp; Country Club in Coquitlam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Brentwood property is a prime, high-density development property in the well developed Brentwood area of Burnaby. It is right next to the Holdom SkyTrain station, which is part of the Millennium SkyTrain line, and within an easy commute to Simon Fraser University. The property is eligible for to be rezoned "RM5" which allows for high density multiple family development. Until December 2010, assuming that RM5 zoning had been obtained, the allowable density on the Brentwood property would have been a 2.6 FAR (FAR being "Floor Area Ratio" - the maximum allowable buildable floor area building relative to lot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allowable density for the Brentwood property changed in December 2010 when the City of Burnaby increased the allowable density in the multi-family zones in the four Burnaby town centers, which included the Brentwood area. The City created a new RM5</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designation under which property owners have the ability to apply for additional density in exchange for a cash payment to the city or the provision of community amenities. As a result of these changes as of December 2010 the total potential density for a multi-unit residential development on the Brentwood property had almost doubled to 5.0 FAR. From a development standpoint this likely made the property much more valuable to developers interested in a high density, multi-tower, mixed-use commercial and residential high-rise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Maple Ridge property is in downtown Maple Ridge and is also suitable for high density residential development but nowhere near the same scale or value as that possible for the Brentwood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Franga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early April 2011, a group of three insurance industry colleagues, Neil Wong, Gary Chow and Stanley Chow, apparently recognizing the potential to profit from the active British Columbia real estate market, agreed to work together to earn referral fees by putting sellers and buyers of commercial properties together. The original group, which I will refer to in these reasons as the "Franga Group", was later expanded to include Kevin Hien.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Neil Wong was an insurance broker and a former restaurateur and hotel operator and at the time the Purchase Agreements were concluded, was the father-in-law of Jeong Lee's long-serving vice president. Gary Chow is also an insurance broker and a shareholder and director of the defendant by counterclaim Franga Holdings Ltd. ("Franga Holdings"). Stanley Chow (no relation to Gary Chow) is an accountant and had worked with both Neil Wong and Gary Chow. None of the members of the original Franga Group had any experience in selling commercial real estate but they did have connections to commercial property owners, which in the case of Neil Wong included hotel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Kevin Hien had become a licenced realtor in Alberta in 1988 and a realtor in British Columbia in 1998. He has worked with the defendant by counterclaim Sunrich Realty Ltd. ("Amex Sunrich Realty") since 1998, primarily acting for buyers and sellers of residential property. He had limited experience in commercial real estate sales and had no experience selling high rise development properties before becoming involved in efforts to sell the Brentwood and Maple Ridge properties. I will refer to Kevin Hien and Amex Sunrich Realty collectively as the "Hien parties"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early April 2011, a meeting was arranged at an IKEA restaurant in Coquitlam between Neil Wong, Gary Chow and Stanley Chow and Kevin Hien. Gary Chow, who had known Kevin Hien for many years, introduced him to the rest of the group. Kevin Hien brought along two clients who were interested in acquiring hotel properties and a discussion ensued regarding the types of properties his clients were interested in purchasing. After the meeting with Kevin Hien's clients ended and they had left, Neil Wong brought up the idea of asking his friend and insurance client Jeong Lee if he was interested in selling the Lees' four bowling centers and golf club.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Franga Group Obtains the Right to Sell and Searches for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Neil Wong subsequently approached Jeong Lee on or about April 11, 2011, and Jeong Lee advised that he would consider selling his four bowling center properties and golf club for the right price so long as he could retain management of their respective operations for a time through a vendor lease-back arrangement. Neil Wong passed this good news on to his fellow Franga Group team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Throughout April 2011 the members of the Franga Group worked on formalizing the terms on which they would work together. This started with a draft team agreement circulated by Neil Wong on April 13, 2011, which all of the Franga Group members, including Kevin Hien, signed. Despite his attempts at trial to distance himself from the Franga Group, it is clear that Kevin Hien had become a full-fledged member of this group by April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Recognizing that they needed formal authorization to sell the Lee's properties, Neil Wong and Kevin Hien began the process of drafting a form of exclusive listing agreement in the latter half of April 2011. This resulted in the conclusion of an agreement with Jeong Lee on April 29, 2011 (the "April 2011 Authorization and Fee Agreement"). The April 2011 Authorization and Fee Agreement granted Franga Holdings the exclusive right to sell the four bowling centers (but not the golf club) for a total price of $45 million, with Franga's fee being any amount over a $45 million sale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Jeong Lee did not actually meet the members of the Franga Group, other than Neil Wong who he already knew, until a meeting in early May 2011. This first meeting took place at Brentwood Lanes and was attended by Jeong Lee, Kevin Hien, Neil Wong and Gary Chow. Shortly after this meeting Kevin Hien and Neil Wong completed a marketing brochure for the four bowling centers in both English and Chinese which members of the Franga Group began to circulate. The target market for these properties was high net worth, non-resident Chinese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May to July 2011, members of the Franga Group searched for buyers for the Lee's properties. Gary Chow was working with a potential buyer who expressed an interest in purchasing only the Brentwood and Maple Ridge properties. Kevin Hien remained in contact with the clients who had participated in the early April 2011 meeting at IKEA and had expressed an interest in the bowling center properties. It soon became apparent to the members of the Franga Group that potential purchasers were primarily interested in the more valuable Brentwood property which Jeong Lee was not prepared to sell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July 5, 2011, after further discussions between Neil Wong and Jeong Lee, Neil Wong advised the other members of the Franga Group that Jeong Lee would consider selling the Brentwood and Maple Ridge properties on their own so long as he could lease the properties back for a period of time to allow him to continue to operate the bowling centers. Neil Wong advised members of the Franga Group that in his view, Jeong Lee would require a combined price of around $38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July 7, 2011, Neil Wong sent an email to Gary Chow and Kevin Hien recommending that they seek an offer of $39.999 million, inclusive of a total 5% commission for buyer's and seller's agents. Neil Wong stated in his email that "[t]here are other interested buyers inquiring about these properties the buyer now need to proceed immediately with their offer </w:t>
      </w:r>
      <w:r>
        <w:rPr>
          <w:rFonts w:ascii="arial" w:eastAsia="arial" w:hAnsi="arial" w:cs="arial"/>
          <w:color w:val="000000"/>
          <w:sz w:val="20"/>
          <w:u w:val="single"/>
          <w:lang w:val="en-US" w:eastAsia="en-US" w:bidi="ar-SA"/>
        </w:rPr>
        <w:t>before the seller increase the prices</w:t>
      </w:r>
      <w:r>
        <w:rPr>
          <w:rFonts w:ascii="arial" w:eastAsia="arial" w:hAnsi="arial" w:cs="arial"/>
          <w:color w:val="000000"/>
          <w:sz w:val="20"/>
          <w:lang w:val="en-US" w:eastAsia="en-US" w:bidi="ar-SA"/>
        </w:rPr>
        <w:t>" (emphasis added). The marketing brochure originally prepared by Neil Wong and Kevin Hien in May was modified to now include only the Brentwood and Maple Ridge properties, for a combined sale price of $39.999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or about July 11, 2011, while the Franga Group's marketing efforts were still underway, Neil Wong discovered that it might be possible to obtain approval from the City of Burnaby for a higher density development on the Brentwood property. On July 13, 2011, he forwarded zoning information he had obtained to Gary Chow and Kevin Hien. In his correspondence, Neil Wong expressed his view that this justified a price higher than the combined $39.9 million sale price for the Brentwood and Maple Ridge properties that the group had been discussing. The zoning information sent by Neil Wong to the other members of the Franga Group was not provided by him or any other member of the Franga Group to Jeong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July 18, 2011, Jeong Lee was asked to and did sign an addendum to the April 2011 Authorization and Fee Agreement (the "July 2011 Fee Addendum"). The July 2011 Fee Addendum modified the original agreement and granted Franga Holdings the exclusive right to sell the Brentwood and Maple Ridge properties as a package for a total price of $39.999 million and provided that Franga would receive a fee equivalent to 4% of the first $35 million of the sale price and 20% of the balance of the sale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July 25, 2011, in an effort to generate more interest in the Brentwood and Maple Ridge properties, the Franga Group published an advertisement in a local Chinese language newspaper. The four Franga Group members contributed equally to the cost of this ad. There is no independent evidence of any further sales-related activity by members of the Franga Group, including contact with potential purchasers, during the month of August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September 5 and 6, 2011, Neil Wong sent further emails to Kevin Hien regarding the higher density zoning potential for the Brentwood property. In his September 5th email, he stated that: "with the changes to allow higher density, perhaps another 10% or 15% will add 3-5 more storey(s)". In his September 6th email he stated that "the City will give special incentives and higher density for this property when the application is made and according to the info in the plan up to 25 storys [sic]". As was the case with the zoning information Neil Wong had sent to the other members of the Franga Group in July, none of this zoning information was provided to Jeong Lee.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Allen Liu is Introduced to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Allen Liu is the president and owner of the Purchasers and of the defendants by counterclaim, Pacific Success Management &amp; Consultants Inc., and Pacific Fortuna Management &amp; Consultants Inc. ("Pacific Success" and "Pacific Fortuna").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Allen Liu had been involved in various business enterprises in China and in 2006, became the president of a real estate company headquartered in Dalian that had completed a large mixed residential and commercial multi-tower development in that city in 2009. He immigrated to Canada with his family in 2001 and began to invest in properties in British Columbia in or about 2008, first purchasing a strip mall on No. 3 Road in Richmond that year and then another strip mall on Alexandra Road in Richmond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first recorded communication between Allen Liu and any person regarding the Brentwood and Maple Ridge properties occurred on September 13, 2011. On that day, Kevin Hien contacted Allen Liu by telephone and later sent him an email attaching Chinese and English language versions of the marketing brochure for the Brentwood and Maple Ridge properties. Kevin Hien's email simply stated "... Mr. Liu: Hello, please find attached information in Chinese and English, one copy each, for your reference. Please feel free to call if you have any questions. Thanks."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Kevin Hien testified that he was introduced to Allen Liu in the late summer of 2011 through one of Allen Liu's then employees, Audrey Zhao, at Liu's restaurant, the Rainflower Restaurant located on his No. 3 Road property in Richmond. According to Kevin Hien, he had been introduced to Audrey Zhao by his friend Candy Chen. Candy Chen is the owner of the defendant by counterclaim, Anken International Investment Corp. ("Anken"). Allen Liu also testified that he first met Kevin Hien at the Rainflower Restaurant. The timing of and manner in which Allen Liu first met Kevin Hien, including the date when negotiations for the purchase of the Brentwood property commenced, is disputed. I will deal with my findings of fact in this regard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20 and 21, 2011, Neil Wong sent additional emails to Kevin Hien regarding the development potential for the Brentwood property, enclosing newspaper articles concerning using "s" zoning to obtain approval for higher density development in Burnaby and information he had obtained from the City of Burnaby website regarding RM5s zoning. Less than one day later on September 22, 2011, Kevin Hien sent an email to Allen Liu enclosing planning maps from the City of Burnaby planning department and information regarding RM5 zoning, advising that the density of a development on the Brentwood property could go up to 5.0 FAR. Again, this additional zoning information was not provided to Jeong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September 23, 2011, as a result of a previous inquiry made by Allen Liu or someone on his behalf, Allen Liu received an email from John Pan with Studio One Architects ("Studio One") providing zoning information for the Brentwood property and advising that the lot was (or had the potential to be) zoned RM5 in the Brentwood area plans with a maximum development density of 5.0 FAR. John Pan's email also noted that "there is some land use limitation on the west side along the creek, but not a large proportion." This is the first documented communication between Allen Liu and Studio One, or anyone else except for Kevin Hien, regarding the Brentwood property and was the first reference to any concerns regarding the impact of a creek on its development potential.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Purchase Agreements and Related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September 26, 2011, at a meeting at Brentwood Lanes, Kevin Hien submitted an offer to Jeong Lee, which had been signed by Allen Liu in his personal capacity and by his then potential partner Tie Shi Li, to purchase both the Maple Ridge and Brentwood properties for the combined price of $32 million (the "September 2011 Offer"). Neil Wong was present at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trial, Allen Liu and Kevin Hien testified that there had been an earlier negotiation in early September 2011 which resulted in Allen Liu making an offer to purchase the Brentwood property for $38.8 million (the "Alleged First Offer") and that this was set out in a letter of intent (the "Letter of Intent"). The Vendors deny that the Alleged First Offer was ever made and deny the existence of the Letter of Intent. The Vendors say that the first offer to purchase both the Brentwood and Maple Ridge properties was the September 2011 Offer. I will deal with the evidence with respect to the Alleged First Offer and Letter of Intent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September 2011 Offer had a proposed subject removal date of November 30, 2011, and a closing date of December 19, 2012. The offer included payment of an up-front deposit of $50,000 and a further $450,000 payable upon removal of subjects. It also provided that the seller could lease back the Brentwood property for a period of three years with annual rent equal to 5.5% of the purchase price for the property and lease back the Maple Ridge property for annual rent equal to 3.3% of the price attributed to that property. The offer showed Kevin Hien of Amex Sunrich Realty as the seller's agent and both Kevin Hien and another realtor, Lester Lin of Multiple Realty, as buyer's agents. Lester Lin was a friend of Kevin Hien's and never acted as Allen Liu's real-estate agent. Allen Liu testified that he did not know Lester Lin and did not notice that the offer showed Lester Lin as his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Jeong Lee was prepared to accept virtually all of the terms of the September 2011 Offer and hand marked various proposed changes on the draft. He requested a reduction in the lease-back rate for the Brentwood property from 5.5% to 3% of the purchase price and for the Maple Ridge property, from 3.3% to 2% of the purchase price. As a result of this request, Kevin Hien drafted a separate schedule dated September 26, 2011, which included an option to reduce the lease-back rents to the amounts Jeong Lee had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marked up version of the September 2011 Offer and the September 26, 2011 rent reduction schedule were signed by Jeong Lee on behalf of the Vendors on or about September 27, 2011. At some point afterwards, Jeong Lee's changes to the September 2011 Offer were initialled by Tie Shi Li but they were never initialled by Allen Liu and as a result, the September 2011 Offer was never finalized. At this time Allen Liu, Tie Shi Li and Jeong Lee also signed other real estate forms provided by Kevin Hien including Real Estate Board Limited Dual Agency Agreements and a Working with a Real Estate Agent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late September 2011, members of the Franga Group were still engaged in discussions regarding how to share any commissions payable to them on the sale of the Brentwood and Maple Ridge Properties. On September 28, 2011, Kevin Hien wrote to Neil Wong advising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"Multiple Realty has been pushing me for a commission agreement to secure their 2% commission. I can not give them any thing in writing now simply because I don't have anything with Mr. Lee yet; therefore the transfer of the listing need to happen the sooner the better. I worry if I don't have any thing for them in writing, the progress of the deal will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What Kevin Hien meant when he indicated that Multiple Realty was asking for a 2% commission is in dispute and will be addressed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October 4, 2011, Neil Wong, who testified that at this time he believed that one-half of the commission on the sale of the Brentwood and Maple Ridge properties would now be paid to a buyers' agent, circulated a proposal to Kevin Hien regarding how the team members would allocate the Franga Group's 2% share of the total 4% commission. His proposal was that the largest share of the Franga Group commission would be paid to him and Kevin Hien, with Gary Chow and Stanley Chow receiving a smaller portion. Kevin Hien responded only that "it looks okay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or about October 6, 2011, the April 2011 Authorization and Fee Agreement, which had been modified by the July 2011 Fee Addendum, was terminated and two separate exclusive listing contracts were concluded for the Brentwood and Maple Ridge properties showing Amex Sunrich Realty as the listing broker with a commission of 2% payable on the selling price for each property. The arrangements under which the Franga Group's share of the commission would be distributed remained outstanding at that time and would later became a source of conflict between the members of the Franga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mid-October 2011 after Allen Liu had returned from a trip to China where he spoke with a potential investor Youyi China, he requested that the September 2011 Offer be divided into two separate agreements - one for the Brentwood property and one for the Maple Ridge property. According to Allen Liu, this request arose as Youyi China, who had now replaced Tie Shi Li as a potential partner, was only interested in the Brentwood property. As a result, two separate purchase and sale agreements dated October 6, 2011, were prepared by Kevin Hien and signed by Allen Liu - the Brentwood Agreement and the Maple Ridge Agreement. The Brentwood Agreement was made subject to an unconditional agreement to also purchase the Maple Ridge property. Jeong Lee accepted both offers and signed the relevant agreements on or about October 17, 2011. Lester Lin was not included as a buyer's agent on either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Brentwood Agreement provided that Allen Liu's company Pacific Success was to purchase the Brentwood property for $28.8 million and the term of the lease-back to the seller was increased from three to four years. As had been done with the September 2011 Offer, an option to reduce lease-back rent from 5% to 3% of the purchase price, exercisable on three month's notice, was included in a separately page-numbered schedule (the "Rent Reduction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Maple Ridge Agreement provided that Allen Liu's company Pacific Fortuna was to purchase that property for $3.2 million. Annual rent payable as part of a three year lease-back arrangement was set at 10% of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allocation of the global $32 million purchase price for the properties ($28.8 million for Brentwood and $3.2 million for Maple Ridge) was somewhat notional, having been determined by Jeong Lee based on a $3.2 million offer he had received for the Maple Ridge property three years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the Purchase Agreements were signed, there were a number of amendments made in a series of schedules. For the Brentwood Agreement, those included the following:</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schedule dated November 10, 2011, which, amongst other things, changed the name of the purchaser to Allen Liu's company, the newly incorporated Youyi Canada, and extended the subject removal date from November 30, 2011, to January 30, 2012;</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schedule dated January 15, 2012, under which the vendor agreed to close on the sale earlier than December 2012 if the purchaser so requested and to provide vendor financing secured as a second mortgage on the Brentwood property of up to $8 million and under which the purchaser provided a warranty to only seek to rezone the property to RM5 and not RM5s;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schedule dated January 30, 2012, under which both parties confirmed that they were satisfied with their own due diligence regarding the property and its zoning and confirming removal of subjects by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schedules to Maple Ridge Agreement contained changes similar in theme to those described above including, amongst other things, changing the name of the purchaser first to Pacific Fortuna and eventually to DHI.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Starting in early November 2011, the parties commenced negotiation of lease agreements for the Brentwood and Maple Ridge properties (the "Brentwood Lease" and the "Maple Ridge Lease") which were signed on November 18, 2011, but were not to take effect until after closing on December 19, 2012. Annual rent for the Brentwood property was shown in the body of the Brentwood Lease as $1.58 million and a separate schedule, again separately page numbered, was prepared showing the correct rent of $1.008 million (the "Lease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addition, letters of commitment concerning the financing to be provided by the Vendors (the "Letters of Commitment") were drafted and signed on or about November 16 and 18, 2011, under which Brentwood Lanes committed to provide a second mortgage to Youyi in the amount of $4.5 million secured against the Brentwood property and Maple Ridge Lanes agreed to provide a second mortgage to Pacific Fortuna for $500,000 secured against the Maple Ridge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False Purchase and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November 2011, at the request of Allen Liu, Kevin Hien asked Jeong Lee to sign a false purchase and sale agreement for the Brentwood property, dated September 6, 2011 (the "False Purchase and Sale Agreement"), along with a schedule dated October 5, 2011, purporting to terminate this agreement. Jeong Lee and Allen Liu signed both of these documents on the same day, around mid-November.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Aside from the fact that it was backdated, the False Purchase and Sale Agreement differed from the Brentwood Agreement in that it showed a purchase price for the Brentwood property of $38.8 million, $10 million more than the price actually agreed upon, and stated that a $10 million deposit had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was not disputed at trial that a purchase and sale agreement for the Brentwood property was not concluded on September 6, 2011. The False Purchase and Sale Agreement was a fabrication. Allen Liu and Kevin Hien testified that that this document was requested by Youyi China and was simply an attempt to memorialize the terms of the Letter of Intent, a copy of which they claimed had not been retained. Jeong Lee testified that there was no Letter of Intent and that he understood that Allen Liu intended to use the False Purchase and Sale Agreement to demonstrate his negotiating skills to Youyi China. The Vendors contend that the False Purchase and Sale Agreement was intended to be used and was used by Allen Liu or his agents to mislead potential lenders and joint venture partners or assignees. I will provide my findings of fact regarding the creation and use of the False Purchase and Sale Agreement later in my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Project Assessment Work Completed by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Starting in October 2011, Allen Liu commissioned or directed Studio One to commission on his behalf a number of reports. These included a land survey, a geotechnical report, an order of magnitude development cost estimate, appraisals, a market study and a preliminary concept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preliminary concept plan was prepared by Studio One and showed a three tower development on the Brentwood property (and therefore was premised upon receipt of RM5s zoning approval from the City of Burnaby). Allen Liu testified that he had not told Studio One to create a three tower concept plan and that he did not pay close attention to the concept plan after he received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December 2011, Studio One commissioned a consulting report from a property appraiser, Eric Pan of Burgess Cawley Consulting, setting out an overview of the high-rise condo market in Burnaby, development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and sensitivity analysis based on the Studio One three-tower concept plan (the "December 2011 Profitability Report"). Later, in June 2012, Eric Pan completed two additional reports, a market study on a proposed multi-phased, mixed development of the Brentwood property (the "June 2012 Consulting Report") and a further appraisal in which Eric Pan estimated the value of the Brentwood property to be $38.8 million (the "June 2012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December 2011 Profitability Report and the June 2012 Appraisal, Eric Pan referenced incorrect information regarding the purchase price for the property, stating that "the subject property has been placed under contract for $38.8 million". Eric Pan's evidence is that first Studio One and later Allen Liu advised him that the purchase price for the Brentwood property was $38.8 million. Allen Liu denies that he told Eric Pan that the purchase price was $38.8 million. I will deal with this evidence later in my reasons. All three reports completed by Eric Pan were premised on the ability to develop the Brentwood property in accordance with the RM5s zoning provisions, with a total potential density of 5.0 FAR.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Jeong Lee Learns About the RM5s Zoning Potential for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December 2, 2011, Jeong Lee received an unsolicited offer to purchase the Brentwood property for $27.5 million. Given that this unsolicited offer was close to the $28.8 million sale price for the property he had already accepted, he became concerned that the price he had agreed to was not well above market price as he says he had been led to believe by Kevin Hien. He contacted Kathryn Jones with Collingwood Appraisals, an appraiser he had worked with in the past, and asked her to prepare an appraisal for the property. Kathryn Jones advised Jeong Lee not to sell the property for $28.8 million because its zoning had changed to RM5s and as a result, its value was much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parties do not agree when Jeong Lee first became aware of the potential to rezone the Brentwood property. Kevin Hien and Gary Chow's evidence at trial was that Kevin Hien provided zoning information to Jeong Lee at their first meeting in May 2011. Jeong Lee denies that any such information was provided. I will deal with the conflicting evidence in this regard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he first spoke with Kathryn Jones, Jeong Lee contacted Kevin Hien and informed him that he had learned that the zoning for the Brentwood property had changed. Jeong Lee asked Kevin Hien to find out what Allen Liu was planning on building on the Brentwood property and was later told that Allen Liu confirmed that he did not intend to rezone the property to RM5s and was satisfied building only two towers of the same size as those recently developed by another developer on an adjacent property - that is, that Liu did not intend to develop the Brentwood property to its full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Jeong Lee then asked Kevin Hien to request that Allen Liu commit to restrict a rezoning application to seek only RM5 and not RM5s zoning for the Brentwood property. Allen Liu agreed to this restriction which was set out in a January 15, 2012 schedule to the Brentwood Agreement (the "Zoning Warranty"). The Zoning Warranty did not bind subsequent, unrelated purchasers. In other words, if Allen Liu assigned the Brentwood Agreement or later sold the property to an arms-length third party, the Zoning Warranty would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January 20, 2012, Jeong Lee received a copy of Kathryn Jones' appraisal report valuing the Brentwood property at $38 million. Despite his belief that he had sold the Brentwood property for approximately $10 million less than it was worth, he did not make any efforts to get out of the deal at that time. On January 30, 2012, the Purchasers removed the final subject conditions on the Brentwood and Maple Ridge properties and paid the balance of the required deposits.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or about January 30, 2012, Jeong Lee was asked by Kevin Hien to sign and did sign, replacement referral agreements setting out referral fees payable by Brentwood Lanes to Anken and the Franga Group and by Maple Ridge Lanes to Anken (the "January 2012 Referral Fee Agreements"). Those agreements made reference to an October 15, 2011 referral fee agreement with Allen Liu the nature and purpose of which is disputed. I will discuss the October 15, 2011 referral later in my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Purchasers' Financing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Purchasers' efforts to obtain financing for the purchase of the Brentwood and Maple Ridge properties started in November 2011 when Allen Liu engaged Tina Mu, a licensed mortgage broker. On December 1, 2011, Tina Mu obtained a discussion letter from Canadian Western Bank ("CWB") regarding $14.4 million in potential financing for the purchase of the Brentwood property, based on a loan-to-value ratio of 50%. Tina Mu testified that she had been told that the purchase price of the Brentwood property was $28.8 million, the correct price, and the CWB discussion letter referenced this price. Ultimately, the Purchasers did not proceed with a formal application for $14.4 million in financing from CWB.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Many months later, after the Purchasers had received the June 2012 Appraisal from Eric Pan estimating the market value of the Brentwood property to be $38.8 million (the same price Eric Pan had been told the property had been sold for), Allen Liu asked Tina Mu to go back to CWB to seek more financing. He provided her with both a copy of the False Purchase and Sale Agreement, which he told her was a previously concluded agreement which had been cancelled, and Eric Pan's appraisal. Allen Liu's evidence, which is consistent with that of Tina Mu, is that he told her not to share the False Purchase and Sale Agreement with anyone. Tina Mu was not provided with a copy of the Rent Reduction Schedule or Lease Addendum for the Brentwood property and Allen Liu did not tell her that the leaseback rent for the property was only $1.008 million. Despite Tina Mu's efforts, CWB was not prepared to lend more than $14.4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is no evidence that the Purchasers took any further substantive steps towards obtaining purchase financing until approximately the fall of 2012. At that time, Tina Mu recommenced discussions with CWB and in November 2012 was successful in obtaining a commitment letter from them for $1.6 million in financing for the purchase of the Maple Ridge property to be secured by a first mortgage. This financing from CWB was conditional upon Allen Liu demonstrating that he had $12 million cash-on-hand. The circumstances under which Allen Liu sought to show that he in fact had $12 million in cash will be discussed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October 2012, Allen Liu engaged another mortgage broker, Paul Kang with Dominion Lending. On or about October 15, 2012, Paul Kang commenced discussions on behalf of the Purchasers with two private mortgage lenders, Realtech Capital ("Realtech") and Trez Capital ("Trez"). Discussions with both of those lenders continued through into November and early December 2012 but financing arrangements were not completed prior to termination of the Purchase Agreements by Jeong Lee on December 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addition to discussions with lenders, Allen Liu carried out further discussions with Jeong Lee regarding potential vendor financing of $8 million. At a meeting in May 2012, Allen Liu proposed using either of his Richmond strip mall properties as security rather than granting second mortgages over the Brentwood and Maple Ridge properties as was contemplated in the Purchase Agreements and Letters of Commitment. This alternative financing arrangement was not finalized at that time as Jeong Lee advised he had to think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No further discussions between Allen Liu and Jeong Lee regarding vendor financing occurred until they met again in October 2012. Allen Liu testified that at this meeting, the parties agreed on an arrangement under which the Purchasers would pay a further $8 million deposit which the Vendors would then loan back to the Purchasers to use towards the purchase of the Brentwood and Maple Ridge properties. Allen Liu again offered to provide security for this vendor financing arrangement by granting the Vendors a second mortgage over his Richmond strip mall properties. I note that in closing submissions, Purchasers' counsel conceded that no agreement regarding this modified vendor financing arrangement was ever concluded but that this potential arrangement was only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November 2012, Kevin Hien, acting on instructions from Allen Liu, attempted to implement the modified vendor financing arrangement by carrying out a deposit payment scheme. In his email to Jeong Lee dated November 15, 2012, Kevin Hien explained how this scheme would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[Allen Liu's] suggesting procedures are as follow:</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say starting tomorrow Nov 16, he (Youyi Group) will issue a cheque of 3 mil to Brentwood (see if your wife or account can deposit the cheque on your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receiving the cheque, make the deposit right away, then you can sign him a receipt (sample attached as doc. 1) from Korea, OR your wife/accountant signs the receipt on Brendwood's behalf (Mr. Liu's bank needs to see the receipt).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days later, say Nov 18, your wife/accountant will issue a cheque of 3mil back to Mr. Liu's company Pacific Success, at the same time Youyi will sign you the loan agreement stating that they </w:t>
      </w:r>
      <w:r>
        <w:rPr>
          <w:rFonts w:ascii="arial" w:eastAsia="arial" w:hAnsi="arial" w:cs="arial"/>
          <w:color w:val="000000"/>
          <w:sz w:val="20"/>
          <w:u w:val="single"/>
          <w:lang w:val="en-US" w:eastAsia="en-US" w:bidi="ar-SA"/>
        </w:rPr>
        <w:t>have received</w:t>
      </w:r>
      <w:r>
        <w:rPr>
          <w:rFonts w:ascii="arial" w:eastAsia="arial" w:hAnsi="arial" w:cs="arial"/>
          <w:color w:val="000000"/>
          <w:sz w:val="20"/>
          <w:lang w:val="en-US" w:eastAsia="en-US" w:bidi="ar-SA"/>
        </w:rPr>
        <w:t xml:space="preserve"> the 3mil loan from you (sample attached as doc.2).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days later, say Nov 20, Pacific Success will deposit your cheque, and repeat the same process for next amount of 5 mil.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completing all the process, the bank will see the 8 mil has been paid to the Seller, it is actually a loan. Another way to look at this: The 8 mil is funded prior to the Date of Completion with Mr. Liu's own money; when the closing date comes on Dec 19, this amount will be adjusted by the lawyers (the actualy funding of the loan).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time is running short, please let me know if his proposed plan works for you, so we can work on it right away in order to close the deal on time. Your timely reply will be greatly appreciated. Thanks.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Best Regards, Kevin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Kevin Hien continued to correspond with Jeong Lee over the following week in an effort to have him participate in this scheme, which I will refer to going forward as the "False Deposit Scheme". In response to inquiries from Jeong Lee regarding the False Deposit Scheme, Kevin Hien sent a further email on November 21, 2012, explaining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Mr. Lee,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Because Mr. Liu's lender needs to see that he has the $8 million before they give final approval on the mortgage, at this time we can not tell them that the 8 mil is actually coming from you as seller's loan</w:t>
      </w:r>
      <w:r>
        <w:rPr>
          <w:rFonts w:ascii="arial" w:eastAsia="arial" w:hAnsi="arial" w:cs="arial"/>
          <w:color w:val="000000"/>
          <w:sz w:val="20"/>
          <w:lang w:val="en-US" w:eastAsia="en-US" w:bidi="ar-SA"/>
        </w:rPr>
        <w:t>. Wait till after the 1st mortgage actually funded on Dec 19, then we can register your loan as 2nd mortgage (that is the collateral!)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Although Kevin Hien continued to make efforts to carry out the False Deposit Scheme, Jeong Lee refused to cooperate and the contemplated $8 million "deposit" was never paid to Jeong Lee.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Purchasers' Discussions with Joint Venture Partners or Assignees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October 2011, after Allen Liu had cut ties with his initial potential partner Mr. Tie Shi Li, Allen Liu's company, Youyi Canada, entered into a joint venture agreement with Youyi China for the purchase and development of the Brentwood property. Allen Liu's evidence is that he had a number of discussions with Youyi China regarding their participation in this project starting in early September 2011 and met with them and discussed the project during visits to China in October and December 2011 and early 2012. The Vendors dispute that Allen Liu met with Youyi China in early September 2011 and contend that he could not have started discussions with them until the second half of that month. I will provide my findings of fact in this respect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June 2012, Youyi China representatives travelled to Vancouver and met with Allen Liu and Francis Zheng and various consultants including Jim Wong and John Pan with Studio One, the appraiser Eric Pan and law, accounting and construction firms to discuss a potential development of the Brentwood property. Despite their apparent initial interest in participating in the purchase of the Brentwood property, Youyi China sent a letter on July 28, 2012, terminating the joint venture agreement citing "domestic policy and other reasons". Other than this letter, no other records of communication between Youyi China and Allen Liu were 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After Youyi China backed out of the deal in July 2012, Allen Liu began to work with Susan Wu, a real estate agent, to investigate the potential assignment of the Brentwood Agreement or a joint venture development arrangement. On August 1, 2012, Susan Wu made contact with Brett Aura, an agent with Cushman &amp; Wakefield Ltd. who was acting for the large developer Ledingham McCallister ("LedMac"), regarding a potential assignment. She was also engaged in parallel discussions with another potential purchaser through its agent Peter Balomenos.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documentary evidence establishes that LedMac and Peter Balomenos' client were interested in taking an assignment of the Brentwood Agreement and that the Purchasers were considering assigning the property - although Allen Liu testified that he was primarily interested in finding a joint-venture partner. Peter Balomenos' client submitted a non-binding letter of intent from his client to purchase an assignment of the Brentwood Agreement in mid-September and LedMac submitted its own offer in early October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LedMac, had been provided with the False Purchase and Sale Agreement by Susan Wu and believed until approximately November 2012 that the Purchasers had an agreement to purchase the Brentwood property for $38.8 million and had paid a $10 million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Purchasers engaged a Vancouver law firm, Fasken, who wrote to both LedMac and Peter Balomenos' client in mid-October 2012 expressing a preference to joint venture but also provided a draft assignment agreement to each of those parties. The draft assignment agreements proposed payment of a substantial assignment fee to the Purchasers, which in the case of Balomenos' client was $10 million and in the case of LedMac $10.8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Ultimately the Purchasers did not proceed with discussions regarding an assignment of the right to purchase the Brentwood property with either party. They did continue with discussions with LedMac into early December 2012 regarding a possible joint venture which culminated in a proposal from the Purchasers under which Youyi Canada would contribute the Brentwood property with a contributed land value of $45 million, but a joint venture arrangement was not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Rescind the Purchase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or about November 15, 2012, Jeong Lee was contacted by Neil Wong with respect to what had deteriorated into a dispute over how the Franga Group members would share commissions from the sale of the Brentwood and Maple Ridge properties. Neil Wong sought Jeong Lee's assistance in protecting his share of the Franga Group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Neil Wong told Jeong Lee that he believed the agreed upon $32 million sale price for the Maple Ridge and Brentwood properties was disappointingly low. He also told Jeong Lee that he had provided information on the RM5s zoning potential for the Brentwood property to Kevin Hien the year before, well before the Purchase Agreements were signed in October 2011. Jeong Lee was not impressed. It appears that he began to suspect that Kevin Hien had intentionally withheld information regarding the Brentwood property's RM5s zoning potential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November 17, 2012, Jeong Lee wrote to Neil Wong asking him if he had any information to support Jeong Lee's suspicion that Kevin Hien had an under-the-table commission agreement with Allen Liu which would explain Kevin Hein's support for what Jeong Lee now considered to be a low sale price for the Brentwood property and would justify Jeong Lee getting out of the deal. Neil Wong responded advising that he did not have any such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December 4, 2012, the Vendors' then counsel sent a letter to counsel for the Purchasers and to Kevin Hien advising that the Vendors were entitled to rescission of the Brentwood and Maple Ridge Agreements and would not be proceeding with the sale of the properties (the "Termination Letter"). In the Termination Letter, the Vendors asserted that the Purchasers and Kevin Hien were engaged in a scheme to defraud the Purchasers' lenders, that the Purchasers and Kevin Hien had colluded to deceive the Vendors with respect to the true value of the Brentwood property and that Kevin Hien had counselled the Vendors to enter into improvident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December 7, 2012, the Purchasers responded rejecting what they considered to be wrongful repudiation of the Purchase Agreements by the Vendors and commenced this action on December 18,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Comments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Before I proceed further with my reasons, I consider it appropriate to make some general comments with respect to credibility, which as I have already said is a central issue in this case. Credibility issues arose as a result of changes in witnesses' evidence before and during trial, the nature of responses to questioning at trial including the witnesses' demeanour, the overall plausibility or logic of the witnesses' testimony and the conflicts in evidence of both the party witnesses and the evidence of independent witnesses and the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am conscious of the principles set out in the leading authorities concerning how the court should deal with credibility and reliability questions. Those include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R. v. H.C.</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2009 ONCA 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Pacheco v. Antunovich</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2015 BCCA 100</w:t>
        </w:r>
      </w:hyperlink>
      <w:r>
        <w:rPr>
          <w:rFonts w:ascii="arial" w:eastAsia="arial" w:hAnsi="arial" w:cs="arial"/>
          <w:color w:val="000000"/>
          <w:sz w:val="20"/>
          <w:lang w:val="en-US" w:eastAsia="en-US" w:bidi="ar-SA"/>
        </w:rPr>
        <w:t>, and the cases referenced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Credibility involves an assessment of the trustworthiness of a witness' testimony based upon the sincerity of a witness and the accuracy of the evidence that the witness provides. In some cases it becomes apparent that a witness has made a conscious decision not to tell the truth. In other cases, a witness may be sincere but their evidence may not be accurate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Evaluating the accuracy of a witness' evidence involves consideration of factors including the witness' ability and opportunity to observe events, the firmness of their memory, their objectivity, whether the witness' evidence harmonizes with independent evidence that has been accepted, whether the witness changes his pre-trial evidence by the time of trial or their testimony at trial during direct and cross-examination, whether the witness' testimony seems implausible, and the demeanor of a witness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An acceptable methodology for assessing credibility is to first consider the testimony of a witness on its own followed by an analysis of whether the witness' story is inherently believable in the context of the facts of the entire case. Then, the testimony should be evaluated based upon the consistency of the evidence with that of other witnesses and with documentary evidence, with testimony of non-party, disinterested witnesses being particularly instructive. At the end, the court should determine which version of events is the most consistent with the preponderance of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additional factors which may impact credibility include the following:</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series of inconsistencies, considered in their totality, may become quite significant and cause the trier of fact to have a reasonable doubt about the reliability of the witness' testimony: see paras. 57-59, 86 of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adopting the comments of Rowles J.A. at paras. 28-29 in </w:t>
      </w:r>
      <w:r>
        <w:rPr>
          <w:rFonts w:ascii="arial" w:eastAsia="arial" w:hAnsi="arial" w:cs="arial"/>
          <w:i/>
          <w:color w:val="000000"/>
          <w:sz w:val="20"/>
          <w:lang w:val="en-US" w:eastAsia="en-US" w:bidi="ar-SA"/>
        </w:rPr>
        <w:t>R. v. R.W.B</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(1993), 24 B.C.A.C. 1</w:t>
        </w:r>
      </w:hyperlink>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witness is found to have lied under oath, their credibility may be wholly undermined: </w:t>
      </w:r>
      <w:r>
        <w:rPr>
          <w:rFonts w:ascii="arial" w:eastAsia="arial" w:hAnsi="arial" w:cs="arial"/>
          <w:i/>
          <w:color w:val="000000"/>
          <w:sz w:val="20"/>
          <w:lang w:val="en-US" w:eastAsia="en-US" w:bidi="ar-SA"/>
        </w:rPr>
        <w:t>Le v. Milburn</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1987 CarswellBC 2936</w:t>
        </w:r>
      </w:hyperlink>
      <w:r>
        <w:rPr>
          <w:rFonts w:ascii="arial" w:eastAsia="arial" w:hAnsi="arial" w:cs="arial"/>
          <w:color w:val="000000"/>
          <w:sz w:val="20"/>
          <w:lang w:val="en-US" w:eastAsia="en-US" w:bidi="ar-SA"/>
        </w:rPr>
        <w:t xml:space="preserve"> (W.L.) at para. 1; </w:t>
      </w:r>
      <w:r>
        <w:rPr>
          <w:rFonts w:ascii="arial" w:eastAsia="arial" w:hAnsi="arial" w:cs="arial"/>
          <w:i/>
          <w:color w:val="000000"/>
          <w:sz w:val="20"/>
          <w:lang w:val="en-US" w:eastAsia="en-US" w:bidi="ar-SA"/>
        </w:rPr>
        <w:t>Jones v. Jones</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2008 BCSC 1401</w:t>
        </w:r>
      </w:hyperlink>
      <w:r>
        <w:rPr>
          <w:rFonts w:ascii="arial" w:eastAsia="arial" w:hAnsi="arial" w:cs="arial"/>
          <w:color w:val="000000"/>
          <w:sz w:val="20"/>
          <w:lang w:val="en-US" w:eastAsia="en-US" w:bidi="ar-SA"/>
        </w:rPr>
        <w:t xml:space="preserve"> at paras. 31, 32 and 60;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9.</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Collusion and deception between two or more witnesses in the course of a litigation may taint the entirety of a witness's evidence: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 190;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Credibility will be undermined when a witness seeks to rely on false documents regarding the issues at trial: </w:t>
      </w:r>
      <w:r>
        <w:rPr>
          <w:rFonts w:ascii="arial" w:eastAsia="arial" w:hAnsi="arial" w:cs="arial"/>
          <w:i/>
          <w:color w:val="000000"/>
          <w:sz w:val="20"/>
          <w:lang w:val="en-US" w:eastAsia="en-US" w:bidi="ar-SA"/>
        </w:rPr>
        <w:t>Osayande v. Canada (Minister of Citizenship And Immigration)</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2002 FCT 368</w:t>
        </w:r>
      </w:hyperlink>
      <w:r>
        <w:rPr>
          <w:rFonts w:ascii="arial" w:eastAsia="arial" w:hAnsi="arial" w:cs="arial"/>
          <w:color w:val="000000"/>
          <w:sz w:val="20"/>
          <w:lang w:val="en-US" w:eastAsia="en-US" w:bidi="ar-SA"/>
        </w:rPr>
        <w:t xml:space="preserve"> at paras. 19 and 21;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Credibility will be undermined when a witness (or party) has failed to produce documents: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 188; </w:t>
      </w:r>
      <w:r>
        <w:rPr>
          <w:rFonts w:ascii="arial" w:eastAsia="arial" w:hAnsi="arial" w:cs="arial"/>
          <w:i/>
          <w:color w:val="000000"/>
          <w:sz w:val="20"/>
          <w:lang w:val="en-US" w:eastAsia="en-US" w:bidi="ar-SA"/>
        </w:rPr>
        <w:t>Pacific West Systems Supply Ltd. v. Vossenaar</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2012 BCSC 1610</w:t>
        </w:r>
      </w:hyperlink>
      <w:r>
        <w:rPr>
          <w:rFonts w:ascii="arial" w:eastAsia="arial" w:hAnsi="arial" w:cs="arial"/>
          <w:color w:val="000000"/>
          <w:sz w:val="20"/>
          <w:lang w:val="en-US" w:eastAsia="en-US" w:bidi="ar-SA"/>
        </w:rPr>
        <w:t xml:space="preserve"> at paras. 84 to 86;</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Credibility will be in doubt when a witness's explanation defies business logic or common sense: </w:t>
      </w:r>
      <w:r>
        <w:rPr>
          <w:rFonts w:ascii="arial" w:eastAsia="arial" w:hAnsi="arial" w:cs="arial"/>
          <w:i/>
          <w:color w:val="000000"/>
          <w:sz w:val="20"/>
          <w:lang w:val="en-US" w:eastAsia="en-US" w:bidi="ar-SA"/>
        </w:rPr>
        <w:t>R. v. Storey</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2010 NBQB 86</w:t>
        </w:r>
      </w:hyperlink>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Wang v. Wang</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2017 BCSC 2395</w:t>
        </w:r>
      </w:hyperlink>
      <w:r>
        <w:rPr>
          <w:rFonts w:ascii="arial" w:eastAsia="arial" w:hAnsi="arial" w:cs="arial"/>
          <w:color w:val="000000"/>
          <w:sz w:val="20"/>
          <w:lang w:val="en-US" w:eastAsia="en-US" w:bidi="ar-SA"/>
        </w:rPr>
        <w:t xml:space="preserve"> at paras. 45-46 and 89-90;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Credibility may be impacted when a witness is evasive, longwinded and argumentative in their responses to questions: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paras. 191 to 192.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 court should not be overly focused on the demeanor of a witness or the smoothness of their presentation. Testifying at trial, which in this case included extensive cross-examinations on matters occurring almost seven years ago, is a stressful endeavor. Special care should be given not to equate difficulties in providing evidence through an interpreter with evasiveness. In this case Allen Liu, Gary Chow and Candy Chen provided their evidence through an interpreter and I have taken the difficulties inherent in translated evidence into account in assessing their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Purchasers rely heavily on the testimony of Allen Liu and Kevin Hien. They also rely on the testimony of Allen Liu's right hand man, Francis Zheng, and Kevin Hien's friend Candy Chen. The Hien parties, Anken and Franga Holdings rely on the testimony of Kevin Hien and his friends, Gary Chow and Candy Chen. Jeong Lee was the only party witness for the Vendors. In my view, none of these witnesses can be described as independent as each of them has a stake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do not find Allen Liu to have been a credible witness. There were a number of occasions where his testimony at trial was inconsistent with his earlier sworn evidence. In addition, some of his direct examination evidence at trial was internally inconsistent and at times his direct examination evidence changed during cross-examination. He did not answer many questions in a manner that allowed me to feel confident that he was telling the truth. For example, although he seemed to have excellent recollection of dates and times of meeting or contents of discussions during direct examination, his recollection diminished significantly during cross-examination. There were a number of occasions when Allen Liu simply neglected to answer the questions put to him or provided long-winded and unresponsive answers. Some of his evidence defied business logic including, in particular, his evidence regarding the circumstances that lead up to and the reason for drafting of the False Purchase and Sale Agreement. As a result of my serious concerns regarding the reliability of Allen Liu's evidence, I must and do consider it in light of its general plausibility and its consistency with the evidence of independent witnesses and proven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also find that Kevin Hien was not a credible witness. His evidence suffered from many of the same credibility frailties as Allen Liu's. He offered no explanation why he, as a realtor, would have prepared the False Purchase and Sale Agreement which, even on his evidence that it was prepared to memorialize the terms of an earlier offer and not an agreement, was a fraudulent document. He was caught in one blatant lie at trial concerning his friendship with Candy Chen which he only recanted after he was confronted with incontrovertible video evidence. Although, as I have already said, demeanour should be considered carefully in assessing credibility, especially demeanor during a heavy cross-examination, I found that Kevin Hien was excessively argumentative and evasive.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My impression of Francis Zheng is that he tailored his evidence in an attempt to make it consistent with that of his ex-boss, Allen Liu. Like Allen Liu and Kevin Hien, he had a far better memory during direct examination than he did during cross-examination. In a few cases, his evidence was directly contradicted by independent witnesses or seemed far fetched. I was not required to rely on much if any of the evidence of Francis Zheng to make findings on the significant disputed facts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my view, Candy Chen sought to tailor her evidence during her examination for discovery and at trial to make it consistent with that of Kevin Hien. When questioned at trial on the same video evidence used to impeach Kevin Hien's testimony regarding her relationship with him, she provided what I consider to be a made-up excuse. In addition, Candy Chen's evidence regarding her negotiation of a large referral fee agreement with Gary Chow lacks plausibility and does not accord with business logic. In general, I find that she was not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Gary Chow was called to essentially bolster the evidence of Kevin Hien. His testimony on the alleged discussion with Jeong Lee in May 2011 regarding RM5s zoning potential for the Brentwood property was internally inconsistent and was completely at odds with his earlier evidence at discovery. With respect to his demeanour and, in particular, his argumentativeness, his testimony made Kevin Hien look serene by comparison. This hostility he showed in answering the questions of Vendors' counsel did not assist him in my overall assessment of his credibility. Some of Gary Chow's evidence is simply implausible, including his explanation for the $332,000 referral fee agreement made with Candy Chen. Unless his evidence is supported by the evidence of other independent witnesses, I give Gary Chow's evidence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I said earlier, the Vendors rely primarily on the evidence of Jeong Lee to respond to that of the witnesses listed above. There were no serious challenges made to his testimony at trial and I find that he was a credible witness. In addition, the Vendors rely on the evidence of Neil Wong. Neil Wong's evidence suffered from some reliability deficits. However, these deficits do not arise as a result of a finding that Neil Wong was being untruthful, but rather because I am not confident that he was able to clearly recall the sequence of events that occurred in 2011 and 2012. As will be seen from my reasons, it was not necessary for me to rely on much of Neil Wong's evidence except where there is a supporting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Various judgments have, with undisguised scorn, referred to repeated witness untruthfulness during trials as a "festival of mendacity", that is, a festival of deceitfulness. I find that this description is appropriate in this case and in particular with respect to much of the evidence of Allen Liu, Kevin Hien, Gary Chow and Candy Chen. It is tempting to dispense with all of their evidence on the basis that they were entirely unreliable witnesses, but justice demands that I spill more ink. Borrowing the words of Madame Justice Allen, I must "attempt to ascertain the truth despite the unreliability of the evidence of the parties": </w:t>
      </w:r>
      <w:r>
        <w:rPr>
          <w:rFonts w:ascii="arial" w:eastAsia="arial" w:hAnsi="arial" w:cs="arial"/>
          <w:i/>
          <w:color w:val="000000"/>
          <w:sz w:val="20"/>
          <w:lang w:val="en-US" w:eastAsia="en-US" w:bidi="ar-SA"/>
        </w:rPr>
        <w:t>Sangha v. Reliance Investment Group Ltd.</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2011 BCSC 1324</w:t>
        </w:r>
      </w:hyperlink>
      <w:r>
        <w:rPr>
          <w:rFonts w:ascii="arial" w:eastAsia="arial" w:hAnsi="arial" w:cs="arial"/>
          <w:color w:val="000000"/>
          <w:sz w:val="20"/>
          <w:lang w:val="en-US" w:eastAsia="en-US" w:bidi="ar-SA"/>
        </w:rPr>
        <w:t xml:space="preserve"> at para.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Adverse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Vendors ask this Court to draw a number of adverse inferences which they contend arise as a result of the Purchasers' and Hien parties' failure to call witnesses or produce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Vendors criticize the Purchasers for not calling witnesses including: John Pan, previously with Studio One; Mr. Du, president of Youyi China; Allen Liu's ex-employee Audrey Zhao; and two of the Purchasers' lawyers who worked on the transaction. As well, the Vendors criticize the Hien parties for failing to call Lester Lin, the agent with Multiple Realty whose name appeared on the September 2011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discretion to draw an adverse inference remains with the trial judge and the exercise of this discretion includes consideration of factors such as the nature of the adverse inference sought, the level of control of the party against whom the adverse interest is sought in respect of a witness or documents, and whether the witness was readily available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 agree with the comments in a number of recent decisions that the modern rules of discovery provide an opportunity to the parties to investigate in depth the strengths and weaknesses of the other side's case and that this may militate against making an adverse inference finding: see </w:t>
      </w:r>
      <w:r>
        <w:rPr>
          <w:rFonts w:ascii="arial" w:eastAsia="arial" w:hAnsi="arial" w:cs="arial"/>
          <w:i/>
          <w:color w:val="000000"/>
          <w:sz w:val="20"/>
          <w:lang w:val="en-US" w:eastAsia="en-US" w:bidi="ar-SA"/>
        </w:rPr>
        <w:t>Taiga Building Products Ltd. v. Deloitte &amp; Touché, LLP</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2014 BCSC 1083</w:t>
        </w:r>
      </w:hyperlink>
      <w:r>
        <w:rPr>
          <w:rFonts w:ascii="arial" w:eastAsia="arial" w:hAnsi="arial" w:cs="arial"/>
          <w:color w:val="000000"/>
          <w:sz w:val="20"/>
          <w:lang w:val="en-US" w:eastAsia="en-US" w:bidi="ar-SA"/>
        </w:rPr>
        <w:t xml:space="preserve"> at para. 132. That is mostly what occurred in this case. This action was commenced in 2012 and extensive discovery has been carried out. The parties have had ample opportunity to determine what witnesses were required to make their respective cases. In my view, there was not much if any surprise testimony at trial which would justify significant adverse inferences being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do not consider it appropriate or necessary to make any blanket adverse inference findings at this point. Where I have drawn an adverse inference, I will explain my rationale for doing so at the appropriate place in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this action, the Purchasers seek an order for specific performance of the Purchase Agreements or, alternatively, seek an award of damages for breach of the Purchase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Vendors seek an order dismissing the Purchasers' claims on the basis that the Purchase Agreements are not enforceable for the following reasons: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a conspiracy between the Purchasers and Kevin Hien to suppress RM5s zoning information;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as a result of the Purchasers providing knowing assistance to the Hien parties to breach their fiduciary duties to the Vendors by not providing this information to them;</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as a result of various breaches by the Hien defendants of their obligations to the Vendors for which the Purchasers are vicariously liable;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because the Purchase Agreements are part of an unlawful transaction tainted by illegality.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Vendors' counterclaim against the Hien parties seeking an award of damages for conspiracy, breach of fiduciary duty, breach of contract and misrepresentation. The Vendors also seek an award of aggravated and punitive damages against the Hien parties, the Liu parties, Anken and Franga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Hien parties and the Liu parties deny all claims against them and seek dismissal of the Vendors' counterclaim. Anken and Franga Holdings have not filed defences to the Vendors' counterclaims.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first question to be answered is whether, for the reasons pled by the Vendors, the Purchase Agreements are unenforceable. If they are unenforceable, no further analysis is required concerning the Purchasers' claims. Accordingly, in the reasons which follow, I will first consider the following issues: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Purchase Agreements unenforceable as a result of:</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conspiracy between the Purchasers and Kevin Hien?</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Purchasers providing knowing assistance to the Kevin Hien in breaching the Hien parties' fiduciary duty to the Vendors?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unlawful conduct on the part of Kevin Hien for which the Purchasers are vicariously liable?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should this Court decline to enforce the Purchase Agreements for public policy reasons because they are part of an unlawful transaction or otherwise tainted by illegality?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Only if the Purchase Agreements are found to be enforceable will it be necessary for this Court to consider the other contractual defences and whether the Purchasers are entitled to the remedy of specific performance 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Even if the Purchasers' claims are dismissed, it is still necessary to determine whether the conduct of the Hien and Liu parties constituted illegal conduct justifying an award to the Vendors of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Unenforceability of the Purchase Agreements Due to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Vendors contend that Allen Liu and Kevin Hien conspired together to keep information from Jeong Lee regarding the rezoning potential of the Brentwood property and thereby prevent him from realizing the true value of the property to his detriment. The Vendors say that in exchange for Kevin Hien's assistance in doing this, Allen Liu cooperated in enabling Kevin Hien to divert to himself as much of the commissions or referral fees payable on the sale the Brentwood and Maple Ridge properties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Plaintiffs and Kevin Hien contend that there is no direct evidence of such a conspiracy and further contend that the Defendants have not established proof by compelling evidence to justify this Court drawing an inference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 of 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As set out in the leading case in this area, </w:t>
      </w:r>
      <w:r>
        <w:rPr>
          <w:rFonts w:ascii="arial" w:eastAsia="arial" w:hAnsi="arial" w:cs="arial"/>
          <w:i/>
          <w:color w:val="000000"/>
          <w:sz w:val="20"/>
          <w:lang w:val="en-US" w:eastAsia="en-US" w:bidi="ar-SA"/>
        </w:rPr>
        <w:t>Cement LaFarge v. B.C. Lightweight Aggregate</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at 471-472 [</w:t>
      </w:r>
      <w:r>
        <w:rPr>
          <w:rFonts w:ascii="arial" w:eastAsia="arial" w:hAnsi="arial" w:cs="arial"/>
          <w:i/>
          <w:color w:val="000000"/>
          <w:sz w:val="20"/>
          <w:lang w:val="en-US" w:eastAsia="en-US" w:bidi="ar-SA"/>
        </w:rPr>
        <w:t>Cement LaFarge</w:t>
      </w:r>
      <w:r>
        <w:rPr>
          <w:rFonts w:ascii="arial" w:eastAsia="arial" w:hAnsi="arial" w:cs="arial"/>
          <w:color w:val="000000"/>
          <w:sz w:val="20"/>
          <w:lang w:val="en-US" w:eastAsia="en-US" w:bidi="ar-SA"/>
        </w:rPr>
        <w:t>], the tort of civil conspiracy arises in two possible situations which can be referred to as predominant purpose conspiracy and unlawful means conspiracy:</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 that injury to the plaintiff is likely to and does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British Columbia Court of Appeal acknowledged at para. 49 of its decision in </w:t>
      </w:r>
      <w:r>
        <w:rPr>
          <w:rFonts w:ascii="arial" w:eastAsia="arial" w:hAnsi="arial" w:cs="arial"/>
          <w:i/>
          <w:color w:val="000000"/>
          <w:sz w:val="20"/>
          <w:lang w:val="en-US" w:eastAsia="en-US" w:bidi="ar-SA"/>
        </w:rPr>
        <w:t>XY, LLC v. Zhu</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2013 BCCA 352</w:t>
        </w:r>
      </w:hyperlink>
      <w:r>
        <w:rPr>
          <w:rFonts w:ascii="arial" w:eastAsia="arial" w:hAnsi="arial" w:cs="arial"/>
          <w:color w:val="000000"/>
          <w:sz w:val="20"/>
          <w:lang w:val="en-US" w:eastAsia="en-US" w:bidi="ar-SA"/>
        </w:rPr>
        <w:t xml:space="preserve">, that there is not a great deal of case law in Canada on the meaning of "unlawful means" or "unlawful act" in the context of civil conspiracy. The Court of Appeal referenced the decision of the Ontario Court of Appeal in </w:t>
      </w:r>
      <w:r>
        <w:rPr>
          <w:rFonts w:ascii="arial" w:eastAsia="arial" w:hAnsi="arial" w:cs="arial"/>
          <w:i/>
          <w:color w:val="000000"/>
          <w:sz w:val="20"/>
          <w:lang w:val="en-US" w:eastAsia="en-US" w:bidi="ar-SA"/>
        </w:rPr>
        <w:t>Agribrands Purina Canada Inc. v. Kasamekas</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2011 ONCA 460</w:t>
        </w:r>
      </w:hyperlink>
      <w:r>
        <w:rPr>
          <w:rFonts w:ascii="arial" w:eastAsia="arial" w:hAnsi="arial" w:cs="arial"/>
          <w:color w:val="000000"/>
          <w:sz w:val="20"/>
          <w:lang w:val="en-US" w:eastAsia="en-US" w:bidi="ar-SA"/>
        </w:rPr>
        <w:t xml:space="preserve"> at para. 38, which included the following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required, therefore, to meet the "unlawful conduct" element of the conspiracy tort is that the defendants engage, in concert, in acts that are wrong in law, whether actionable in private law or not.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either of the two situations outlined in </w:t>
      </w:r>
      <w:r>
        <w:rPr>
          <w:rFonts w:ascii="arial" w:eastAsia="arial" w:hAnsi="arial" w:cs="arial"/>
          <w:i/>
          <w:color w:val="000000"/>
          <w:sz w:val="20"/>
          <w:lang w:val="en-US" w:eastAsia="en-US" w:bidi="ar-SA"/>
        </w:rPr>
        <w:t>Canada Cement</w:t>
      </w:r>
      <w:r>
        <w:rPr>
          <w:rFonts w:ascii="arial" w:eastAsia="arial" w:hAnsi="arial" w:cs="arial"/>
          <w:color w:val="000000"/>
          <w:sz w:val="20"/>
          <w:lang w:val="en-US" w:eastAsia="en-US" w:bidi="ar-SA"/>
        </w:rPr>
        <w:t xml:space="preserve">, the party alleging a civil conspiracy must be able to demonstrate actual damage resulting from the wrong-doers conduct: </w:t>
      </w:r>
      <w:r>
        <w:rPr>
          <w:rFonts w:ascii="arial" w:eastAsia="arial" w:hAnsi="arial" w:cs="arial"/>
          <w:i/>
          <w:color w:val="000000"/>
          <w:sz w:val="20"/>
          <w:lang w:val="en-US" w:eastAsia="en-US" w:bidi="ar-SA"/>
        </w:rPr>
        <w:t>Cement LaFarge</w:t>
      </w:r>
      <w:r>
        <w:rPr>
          <w:rFonts w:ascii="arial" w:eastAsia="arial" w:hAnsi="arial" w:cs="arial"/>
          <w:color w:val="000000"/>
          <w:sz w:val="20"/>
          <w:lang w:val="en-US" w:eastAsia="en-US" w:bidi="ar-SA"/>
        </w:rPr>
        <w:t xml:space="preserve"> at 472.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evidentiary burden to prove civil conspiracy is high and requires proof by compelling evidence. Compelling evidence is required either directly or by inference that there was an agreement between two or more parties which was implemented with resulting harm to the plaintiff. Proof must be plainly established and where a party seeks to prove conspiracy inferentially the facts must be such that they cannot fairly admit of any other inference being drawn from them: </w:t>
      </w:r>
      <w:r>
        <w:rPr>
          <w:rFonts w:ascii="arial" w:eastAsia="arial" w:hAnsi="arial" w:cs="arial"/>
          <w:i/>
          <w:color w:val="000000"/>
          <w:sz w:val="20"/>
          <w:lang w:val="en-US" w:eastAsia="en-US" w:bidi="ar-SA"/>
        </w:rPr>
        <w:t>Golden Capital Securities Limited v. Rempel et al</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2004 BCCA 565</w:t>
        </w:r>
      </w:hyperlink>
      <w:r>
        <w:rPr>
          <w:rFonts w:ascii="arial" w:eastAsia="arial" w:hAnsi="arial" w:cs="arial"/>
          <w:color w:val="000000"/>
          <w:sz w:val="20"/>
          <w:lang w:val="en-US" w:eastAsia="en-US" w:bidi="ar-SA"/>
        </w:rPr>
        <w:t xml:space="preserve"> at paras. 46-47, referring to, in part, </w:t>
      </w:r>
      <w:r>
        <w:rPr>
          <w:rFonts w:ascii="arial" w:eastAsia="arial" w:hAnsi="arial" w:cs="arial"/>
          <w:i/>
          <w:color w:val="000000"/>
          <w:sz w:val="20"/>
          <w:lang w:val="en-US" w:eastAsia="en-US" w:bidi="ar-SA"/>
        </w:rPr>
        <w:t>Sweeney v. Coote</w:t>
      </w:r>
      <w:r>
        <w:rPr>
          <w:rFonts w:ascii="arial" w:eastAsia="arial" w:hAnsi="arial" w:cs="arial"/>
          <w:color w:val="000000"/>
          <w:sz w:val="20"/>
          <w:lang w:val="en-US" w:eastAsia="en-US" w:bidi="ar-SA"/>
        </w:rPr>
        <w:t xml:space="preserve">, [1907] A.C. 221 at 222;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2013 BCCA 367</w:t>
        </w:r>
      </w:hyperlink>
      <w:r>
        <w:rPr>
          <w:rFonts w:ascii="arial" w:eastAsia="arial" w:hAnsi="arial" w:cs="arial"/>
          <w:color w:val="000000"/>
          <w:sz w:val="20"/>
          <w:lang w:val="en-US" w:eastAsia="en-US" w:bidi="ar-SA"/>
        </w:rPr>
        <w:t xml:space="preserve"> at para.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It is often the case that there is no direct evidence of a conspiracy as the conspirators often make extensive efforts to cover their tracks. In these cases, it becomes necessary for conspiracy to be established by inference from the totality of the evidence, which may include a consideration of several isolated incidents: </w:t>
      </w:r>
      <w:r>
        <w:rPr>
          <w:rFonts w:ascii="arial" w:eastAsia="arial" w:hAnsi="arial" w:cs="arial"/>
          <w:i/>
          <w:color w:val="000000"/>
          <w:sz w:val="20"/>
          <w:lang w:val="en-US" w:eastAsia="en-US" w:bidi="ar-SA"/>
        </w:rPr>
        <w:t>Canadian Community Reading Plan Inc. v. Quality Service Programs Inc.</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10 B. L.R. (3d) 45</w:t>
        </w:r>
      </w:hyperlink>
      <w:r>
        <w:rPr>
          <w:rFonts w:ascii="arial" w:eastAsia="arial" w:hAnsi="arial" w:cs="arial"/>
          <w:color w:val="000000"/>
          <w:sz w:val="20"/>
          <w:lang w:val="en-US" w:eastAsia="en-US" w:bidi="ar-SA"/>
        </w:rPr>
        <w:t xml:space="preserve"> (Ont. C.A.), at para. 25, citing </w:t>
      </w:r>
      <w:r>
        <w:rPr>
          <w:rFonts w:ascii="arial" w:eastAsia="arial" w:hAnsi="arial" w:cs="arial"/>
          <w:i/>
          <w:color w:val="000000"/>
          <w:sz w:val="20"/>
          <w:lang w:val="en-US" w:eastAsia="en-US" w:bidi="ar-SA"/>
        </w:rPr>
        <w:t>R. v. Paradis</w:t>
      </w:r>
      <w:r>
        <w:rPr>
          <w:rFonts w:ascii="arial" w:eastAsia="arial" w:hAnsi="arial" w:cs="arial"/>
          <w:color w:val="000000"/>
          <w:sz w:val="20"/>
          <w:lang w:val="en-US" w:eastAsia="en-US" w:bidi="ar-SA"/>
        </w:rPr>
        <w:t xml:space="preserve"> (1933), </w:t>
      </w:r>
      <w:hyperlink r:id="rId614" w:history="1">
        <w:r>
          <w:rPr>
            <w:rFonts w:ascii="arial" w:eastAsia="arial" w:hAnsi="arial" w:cs="arial"/>
            <w:i/>
            <w:color w:val="0077CC"/>
            <w:sz w:val="20"/>
            <w:u w:val="single"/>
            <w:shd w:val="clear" w:color="auto" w:fill="FFFFFF"/>
            <w:lang w:val="en-US" w:eastAsia="en-US" w:bidi="ar-SA"/>
          </w:rPr>
          <w:t>[1934] S.C.R. 165</w:t>
        </w:r>
      </w:hyperlink>
      <w:r>
        <w:rPr>
          <w:rFonts w:ascii="arial" w:eastAsia="arial" w:hAnsi="arial" w:cs="arial"/>
          <w:color w:val="000000"/>
          <w:sz w:val="20"/>
          <w:lang w:val="en-US" w:eastAsia="en-US" w:bidi="ar-SA"/>
        </w:rPr>
        <w:t xml:space="preserve"> (S.C.C.) at para. 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their submissions, the Vendors did not specify whether they are alleging predominant purpose conspiracy or unlawful means conspiracy, the two classes of conspiracy set out in </w:t>
      </w:r>
      <w:r>
        <w:rPr>
          <w:rFonts w:ascii="arial" w:eastAsia="arial" w:hAnsi="arial" w:cs="arial"/>
          <w:i/>
          <w:color w:val="000000"/>
          <w:sz w:val="20"/>
          <w:lang w:val="en-US" w:eastAsia="en-US" w:bidi="ar-SA"/>
        </w:rPr>
        <w:t>Cement LaFarge</w:t>
      </w:r>
      <w:r>
        <w:rPr>
          <w:rFonts w:ascii="arial" w:eastAsia="arial" w:hAnsi="arial" w:cs="arial"/>
          <w:color w:val="000000"/>
          <w:sz w:val="20"/>
          <w:lang w:val="en-US" w:eastAsia="en-US" w:bidi="ar-SA"/>
        </w:rPr>
        <w:t>. In my view, predominant purpose conspiracy applies and requires an evaluation of whether a defendant used lawful or unlawful means, the predominant purpose of which was to cause injury to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question to be answered in this case is whether the defendant has shown, directly or by inference, that there was an agreement between Allen Liu and Kevin Hien to withhold information concerning the RM5s zoning potential for the Brentwood property from Jeong Lee, that the agreement was implemented and that this resulted in Jeong Lee's decision to sell the property for less than it was worth.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on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Vendors concede that there is no direct evidence of an agreement between Allen Liu and Kevin Hien to withhold RM5s zoning information from Jeong Lee. The Vendors ask this Court to infer that such an agreement was made by considering of a number of isolated pieces of evidence. This includes evidence of the following:</w:t>
      </w:r>
      <w:r>
        <w:rPr>
          <w:rFonts w:ascii="arial" w:eastAsia="arial" w:hAnsi="arial" w:cs="arial"/>
          <w:sz w:val="20"/>
          <w:lang w:val="en-US" w:eastAsia="en-US" w:bidi="ar-SA"/>
        </w:rPr>
        <w:cr/>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Kevin Hien to advise Jeong Lee of the RM5s zoning potential for the Brentwood property;</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Collusion between Allen Liu and Kevin Hien to improperly funnel commission on the sale of the Brentwood and Maple Ridge properties to Kevin Hien;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Collusion between Allen Liu and Kevin Hien in the creation of various documents and agreements which were designed to deceive both investors and lenders;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Collusion between Allen Liu and Kevin Hien with respect to various clauses in or schedules to the Brentwood Agreement which were designed to mask their efforts to deceive Jeong Lee with respect to RM5s zoning;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Collusion between Allen Liu and Kevin Hien and others, to present false evidence prior to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Purchasers, whose position is adopted by the Hien parties, contend that the Vendors' submissions mischaracterize and understate the evidence required to establish a conspiracy claim. Further, the Purchasers and the Hien parties contend that none of the facts relied upon by the Defendants come close to establishing the necessary foundation required at law to prove conspiracy. In particular, they contend that the Vendors have not plainly established proof by compelling evidence to support an inference that there was an agreement between Allen Liu and Kevin Hien to deceive Jeong Lee about the RM5s zoning potential for the Brentwood property. The Purchasers say that the inferences sought by the Vendors are just as consistent with no conspiracy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will first set out my reasons with respect to the various isolated events which the Vendors say support an inference of collusion and will provide my conclusion on this defence at the end of this 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Jeong Lee told about the RM5s zoning potential for the Brentwood property before the Purchase Agreements were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Kevin Hien's evidence, which is supported by the Purchasers, is that he told Jeong Lee about the potential for the Brentwood property to be zoned RM5s, or at least that he discussed the high density zoning potential for the property, during their first meeting in May 2011. Jeong Lee's evidence is that Kevin Hien never provided him with any zoning information and that he only became aware of the relatively new RM5s zoning potential for the Brentwood property in December 2011, well after the Purchase Agreements were signed, when he was prompted to obtain an appraisal from Kathryn Jones for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find that Kevin Hien first told Allen Liu about the Brentwood property's RM5s zoning potential when he emailed him relevant information on September 22, 2011. This finding is consistent with the timing of Allen Liu's receipt of information regarding the Brentwood property, including zoning information, from John Pan with Studio One Architects on September 23,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his September 23 email, John Pan advised Allen Liu that the lot was set as RM5s in the Brentwood area plans with a maximum FAR of 5. It is noteworthy that John Pan's September 23 email does not reference any previous discussions with Allen Liu with respect to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John Pan was not called as a witness at trial. The evidence of John Pan's colleague at Studio One, Jim Wong, who did testify at trial, was that it is possible that John Pan could have obtained information regarding the zoning potential for the Brentwood property within a day of a request for such information being made by Allen Liu. I accept Jim Wong's evidence in this respect and, accordingly, no adverse inference needs to be drawn with respect to the Purchaser's failure to call John Pan to provide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Allen Liu testified that he first consulted with John Pan regarding the Brentwood property in early or mid-September 2011. There is no documentary evidence of any such communication between Allen Liu and anyone at Studio One prior to the September 23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Given the lack of corroborating evidence supporting Allen Liu's testimony that he contacted anyone at Studio One in mid-September 2011 regarding the Brentwood property and the timing of Kevin Hien's September 22 email to Allen Liu regarding zoning, I do not find Allen Liu's evidence to be credible. I find that Allen Liu first contacted Studio One after he learned of the RM5s zoning potential for the Brentwood property from Kevin Hien on September 22, 2011. This also suggests strongly that Kevin Hien did not appreciate the RM5s zoning potential for the Brentwood property prior to receiving an email from Neil Wong on September 22, 2011 - or he would have provided this important information to Allen Liu earlier - and therefore does not support his contention that he told Jeong Lee that the Brentwood property could be zoned RM5s in May 2011. There is no evidence independent evidence confirming that Kevin Hien told Allen Liu about the Brentwood property's RM5s zoning potential prior to September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Kevin Hien admitted that he did not send the RM5s zoning information that sent to Allen Liu on September 22 to Jeong Lee. His explanation is that he did not need to do so because he had already provided relevant zoning information to him in May 2011 when he and other members of the Franga Group first met with Jeong Lee. Kevin Hien's evidence with respect to what he told Jeong Lee and what documents he shared with him during their meeting in May 2011 changed over time and is not consistent with the evidence of others at the first meeting, including Jeong Lee and Neil Wong. Gary Chow's evidence on this point was frankly, all over the map. I will deal with Gary Chow's evidence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At his examination for discovery, Kevin Hien testified that he provided documents to Jeong Lee during the May 2011 meeting including a "zoning map" and other information regarding RM5s zoning - although he said that they did not specifically discuss RM5s zoning but only briefly discussed the higher density zoning potential for the Brentwood property. He also testified at discovery that he knew at that time that the Brentwood property had the potential to be rezoned to RM5s.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At trial, Kevin Hien's evidence with respect to what was discussed at the May 2011 meeting changed somewhat from his evidence at discovery. On direct examination, he testified that at the May 2011 meeting he went through the zoning bylaw for the Brentwood property and specifically, albeit quickly, discussed the potential to obtain RM5s zoning which would allow development up to a density of FAR 5.0. He testified that he left an envelope of documents with Jeong Lee which included, amongst other things, the zoning bylaw and a Brentwood "Land use Map". He did not mention the zoning map as he had during his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cross-examination, Kevin Hien repeated the evidence that he provided on direct examination that he provided Jeong Lee with a land use map but, contrary to his discovery evidence, denied that he had provided the zoning map included with the documents he produced in the litigation. He testified that the zoning map included in his documents was obtained by him after January 2012 when Jeong Lee asked him to get zoning information from the City of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This is relevant to Kevin Hien's credibility on this point as the zoning map contained within Kevin Hien's documents is dated May 19, 2011, which is after the meeting with members of the Franga Group and Jeong Lee earlier in May. That is, he could not have reviewed this document with Jeong Lee in early May 2011 because it did not yet exist. This suggests, as the Vendors contend, that he changed his evidence from discovery at trial when he realized that the zoning map post-dated the May meeting, which occurred earlier in the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Jeong Lee's evidence at trial was that there was no discussion at the May 2011 meeting regarding the true zoning potential for Brentwood property and that no package of documents was left with him by Kevin Hien. His evidence is consistent with that of Neil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Gary Chow's evidence regarding discussions concerning RM5s zoning during the meeting in May 2011 changed dramatically during this litigation. During his examination for discovery, he testified that were no discussions regarding zoning and that no zoning documents were presented at this meeting. Similarly, when cross-examined at trial by the Vendors as an adverse witness, he repeated his evidence that Kevin Hien never discussed zoning, high density zoning potential or FAR at any meeting that he attended. Gary Chow changed his evidence completely when cross-examined by counsel for the Hien parties later the same day, stating that at the May 2011 meeting with Jeong Lee, Kevin Hien brought a package of information about the Brentwood property which included zoning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consider the changes to Gary Chow's evidence at discovery and at trial regarding zoning discussions to be troubling, and I find his evidence in this respect unreliable as a result. As I said above, in my view Gary Chow was not a credible witness in general and I have difficulty believing any of his evidence where it conflicts with that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find that Kevin Hien lied during his examination for discovery regarding the provision of a zoning map to Jeong Lee in May 2011. I find that it is likely that when he realized after his discovery that the date on the zoning map in his materials was after the date of the Franga Group's first meeting with Jeong Lee, he sought to modify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the whole, I find the testimony of Kevin Hien and Gary Chow regarding discussions with Jeong Lee in May 2011 about the RM5s zoning potential for the Brentwood property to be completely false. It is likely their evidence at trial was concocted after the fact when they realized the implications of not having provided the RM5s zoning information to Jeong Lee before he signed the Brentwood Agreement in October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Vendors contend that aside from the unreliability of the evidence of Kevin Hien and Gary Chow at trial on this issue, the documentary evidence is inconsistent with Kevin Hien's evidence that he knew about the potential for RM5s zoning and provided zoning documents to Jeong Lee in May 2011. In particular, they point to the following:</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marketing brochures prepared by Neil Wong and Kevin Hien after May 2011 reference the potential to develop the Brentwood property to density of FAR 5.0 but only refer to far lower densities of between 2.2 and 2.96;</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when Jeong Lee contacted Kevin Hien in January 2012 to ask him if he know about the RM5s zoning potential for the Brentwood property, he denied knowing about this and offered to research it with the City of Burnaby;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Kevin Hien became aware in November 2012 that Jeong Lee was upset when he learned from Neil Wong that Kevin Hien may have known about the RM5s zoning potential well before execution of the Brentwood Agreement, he did not claim that he had already provided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With respect to the first point, regarding the understated potential densities listed in the marketing brochures, the Vendors contend that Kevin Hien's evidence at trial that he did not include a reference to the property's full zoning potential because he was taught to be conservative when marketing real estate should not be believed. This argument has merit. It would be surprising indeed for a realtor not to include such positive zoning information in marketing materials. RM5s zoning had the potential to almost double the density for a development on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With respect to second and third points, regarding the failure of Kevin Hien to defend himself from criticism that he did not provide RM5s zoning information to Jeong Lee, I also consider that this argument has merit. There is no evidence that after he was contacted by Jeong Lee in or about January 2012, which is shortly after Jeong Lee says he first became aware of RM5s zoning, that Kevin Hien attempted to remind him that he had already provided him this information. In my view, given the significance of potential RM5s zoning, if Kevin Hien had provided such information to Jeong Lee in May 2011, it would seem abundantly logical that he would have reminded him of this when Jeong Lee asked questions about zoning in January 2012 or later in November 2012 when the issue arose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content of the Franga Group's email exchanges in July through September 2011 regarding the Brentwood property's zoning potential is also noteworthy. In his July 13, 2011 email to members of the Franga Group, Neil Wong states that "The past 2 days I went to both city halls [Maple Ridge and Burnaby] to inquire the zoning &amp; SFR of these two properties ... The two city's planning department advised me that there are density changes, with a higher ratio than is zoned" and "from these information today, the $39,999,000 price is very reasonable ... The true value of these two properties now is more." Neil Wong did not reference any earlier discussions regarding zoning and his email suggests that the potential enhanced zoning was new to him and he considered that it had a significant impact on the value of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response to Neil Wong's September 5, 2011 email attaching further information on zoning for the Brentwood property, Kevin Hien only responded "well received, thx." He did not indicate that this information had already been obtained by him and provided to Jeong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Finally, on September 20 and 21, 2011, Neil Wong wrote to Kevin Hien forwarding an article which appeared in the Burnaby Now paper regarding the potential to obtain "s" zoning to obtain a higher density development and RM5s zoning information including in his message a note "I hope this will help". The last email from Neil Wong was sent at 5:15 pm on September 21, 2011. Kevin Hien did not respond to Neil Wong but, less than 24 hours later on September 22, 2011, at 12:08 pm, he forwarded the zoning information to Allen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Jeong Lee's evidence is that the receipt of an unsolicited offer to sell the Brentwood property for $27.5 million on December 2, 2011, prompted him to reach out to an appraiser he had worked with in the past, Kathryn Jones. His evidence is that he first learned of the new zoning potential from Kathryn Jones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Jeong Lee's evidence is supported by that of Kathryn Jones, who testified that she advised him in mid-December 2011 that the allowable density for the Brentwood property had been changed and that the property could be worth more than the $28.8 million offer he told Katherine Jones he had received. This is also consistent with the timing of the drafting of the Zoning Warranty, in that, if Jeong Lee had known about the RM5s zoning potential for Brentwood earlier, why did the Zoning Warranty discussion only start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my view, the evidence supports a finding that Kevin Hien and other members of the Franga Group first became aware of the potential for the Brentwood property to be zoned RM5s prior to July 2011 but did not appreciate the significance of RM5s zoning until mid to late September. Further, there is no evidence that any member of the Franga Group communicated such information to Jeong Lee prior to him signing the Purchase Agreements in October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do not accept the evidence of Kevin Hien and Gary Chow that Kevin Hien discussed the RM5s zoning potential for the Brentwood property or had any discussions regarding the property's zoning potential during the May 2011 meeting with Jeong Lee. I accept Jeong Lee's evidence that only he became aware of the potential for the Brentwood property to be zoned RM5s after he spoke with Kathryn Jones in December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am conscious of the fact that Jeong Lee's friend, Neil Wong, did not provide the RM5s zoning information to him. The Purchasers and Hien defendants contend that this is unlikely, given their relationship (Neil Wong's daughter was married to Jeong Lee's Vice President). The reason why Neil Wong did not provide this information to Jeong Lee is not known. One possibility is that Neil Wong was focussed more on inducing a buyer to submit an offer rather than ensuring that Jeong Lee received the best possible price for the Brentwood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there a scheme to improperly funnel commissions to Kevin Hien?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Vendors contend that in exchange for a Kevin Hien's agreement with Allen Liu to suppress positive zoning information regarding the Brentwood property, Allen Liu agreed to participate in or otherwise facilitated a scheme to improperly funnel commissions on the sale of the Burnaby and Maple Ridge properties to Kevin Hien.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this respect, the Vendors rely upon four main pieces of evidence: the inclusion of Lester Lin's name as a buyer's agent on the September 2011 Offer; the subsequent referral fee agreement dated October 15, 2011 (the "October 2011 Referral Fee Agreement") which they allege was in favour of Allen Liu; that Allen Liu's document production includes the January 2012 Referral Fee Agreements which they allege proves that he was aware of the commission scheme; and, finally, the involvement of Kevin Hien's fiend Candy Chen as a recipient of a portion of the Franga Group referral fee.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Lester Lin as a "Straw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Kevin Hien's friend Lester Lin was recorded as a buyer's agent along with Kevin Hien on the September 2011 Offer but he was not listed as a buyer's agent on the Purchase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Allen Liu testified that he never noticed that Lester Lin's was inserted as his agent on the September 2011 Offer although he admitted during cross-examination that other documents had been translated for him by Kevin Hien.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As set out in background facts, on September 28, 2011, Kevin Hien wrote to Neil Wong advising that Multiple Realty had been "pushing for an agreement to secure their 2% commission" and "I worry if I don't have anything for them in writing, the progress of the deal will be affected!". Kevin Hien did not include this email in his list of documents provided in this litigation and it was obtained by the Vendors from Neil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During his examination for discovery, before his September 28, 2011 email to Neil Wong was put to him, Kevin Hien denied that he ever told Neil Wong that there was an agent from Multiple Realty that required a 2% commission and that the deal might collapse if Multiple Realty didn't get paid. Kevin Hien's testimony during his direct examination at trial, in response to a question from his counsel regarding why he had sent this email to Neil Wong, was that he had planned to travel to China in the fall of 2011 and had asked Lester Lin to assist with the paperwork on the deal while he was out of town. He also testified that the 2% he mentioned in his email to Neil Wong was really 2% of his 2% share of the commission. He testified that there was an agreement signed between him and Lester Lin regarding this arrangement but as he didn't ultimately need Lester Lin's help he didn't keep a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response to a question from the Court why he would have looked to Lester Lin to help finalize the Brentwood and Maple Ridge property sales, Kevin Hien testified that he didn't trust an agent from his own agency to handle matters for him while he was away and did not tell anyone from his agency that he was preparing to leave the closing arrangements on this major deal to another agent in another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Neil Wong's evidence was that on September 25 or 26, Kevin Hien asked him to replace the April 2011 Authorization and Fee Agreement, as amended in July 2011, with a listing agreement in the name of Amex Sunrich Realty and that Hien told him that they had to pay half of the commission to a buyer's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his examination for discovery, Kevin Hien's evidence was that Lester Lin was to be paid a flat $20,000 in the event that he was out of Canada and needed Lin's assistance. During cross-examination at trial, Kevin Hien provided a confused response to questions regarding the discrepancies between his discovery evidence and his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contend that Kevin Hien's evidence with respect to why Lester Lin was included as a buyer's agent is wildly contradictory and not supported by a single document or any evidence from Mr. Lin, who was not called as a witness at trial.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Kevin Hien's evidence on this issue, before and during trial, was inconsistent and this inconsistency calls his credibility into question. With respect to his testimony at trial regarding the remarks he made in his September 28, 2011 email to Neil Wong that Multiple Realty was pushing for a 2% commission, I find his assertion that this meant Mr. Lin would receive a 2% of his 2% commission to be completely unbelievable. The words of his email to Neil Wong speak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find it difficult to believe that Kevin Hien would entrust the final stages of this lucrative real estate transaction to a friend. I also consider it convenient that Kevin Hien did not retain a copy of his alleged commission sharing agreement with Lester Lin and find it appropriate to draw an adverse inference from Kevin Hien's failure produce this alleged agreement or to call Lester Lin as a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also find there is compelling evidence that on August 22, 2017, just before this trial commenced, Kevin Hien deleted documents in a folder titled "Lester" from an electronic document production system maintained by or for the Canadian Real Estate Association ("CREA"), called WEBForms. Kevin Hien provided no explanation for this deletion. I consider it appropriate to draw an inference that the documents he deleted would not be helpful to the Hien parties'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the whole of the evidence before me on this issue, I disbelieve all of the evidence of Kevin Hien and prefer the evidence of Jeong Lee and Neil Wong. Although I find Allen Liu's evidence that he was not aware that Lester Lin was listed as his agent on the September 2011 Offer to be suspicious, I am unable to conclude whether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find that the only plausible explanation for including Lester Lin's name as a buyer's agent on the September 2011 Offer was to enable an attempt by Kevin Hien to funnel half of the commission on the sale of the Brentwood and Maple Ridge properties away from his fellow Franga Group members. I am unable to conclude whether he was doing so in order to funnel the commission to himself or possibly, to Allen Liu.</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October 2011 Referral Fee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Vendors contend that at or around the same time that the Purchase Agreements were signed in early October, the October 2011 Referral Fee Agreement under which Allen Liu would receive half of the 4% commission paid by Jeong Lee on the sale of the properties was also signed- essentially, a kickback.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During his direct examination, Jeong Lee testified that Kevin Hien told him that Allen Liu wanted to take one half of the commission payable as a referral fee. Jeong Lee testified that although he wasn't happy with the arrangement to provide Allen Liu with a kickback, Kevin Hien convinced him that if he didn't agree to sign a referral fee agreement, Liu would simply bring a buyer's agent back into the deal and Lee would have to pay that amount of commission anyway. Jeong Lee also considered that Allen Liu had done a good job locating a property for his potential Chinese investors. Jeong Lee's evidence was that he either did not keep a copy of the October 2011 Referral Fee Agreement or that he had lost his copy. Allen Liu and Kevin Hien also claim they did not keep a copy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Kevin Hien corroborated Jeong Lee's evidence in three respects: first, he confirmed that the document had existed; second, he admitted the he had prepared it; and third, he admitted that he provided the document to Allen Liu to sign. Kevin Hien testified that the document did not provide for payment of a commission to Allen Liu but rather contained a proposal, agreed upon by the Franga Group team members, to ask Allen Liu to pay half of the 4% commission that Jeong Lee had already agreed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Allen Liu's evidence was not consistent with any one else's. He denied any knowledge of the alleged October 2011 Referral Fee Agreement or that he had requested a kickback. He also denied that he had been asked to pay a portion of the referral fee. His testimony at trial was that an agreement to pay him a kickback would not make sense as there would be no reason to pay him a commission, as the parties could have simply reduced the purchase price by 2%. In my view Allen Liu's evidence would make sense if he was the only person contributing towards the purchase price for the Brentwood property. That is, if he had a partner who was paying the purchase price or had assigned the Purchase Agreements to someone else, he would have received a kickback. The evidence establishes that in October 2011, Allen Liu was pursuing Youyi China as an investment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As stated above, on or about January 30, 2012, Jeong Lee was asked by Kevin Hien to sign and did sign the January 2012 Referral Fee Agreements, which set out commissions payable by Brentwood Lanes to Anken and the Franga Group and by Maple Ridge Lanes to Anken. These agreements were drafted by Kevin Hien and they all included the statement: "Note. Referral fee agreement previously signed with Mr. Xiao Dong Liu October 15, 2011, will be replaced with this agreement." Jeong Lee's evidence at trial was that he was not sure who the payees in the January 2012 Referral Fee Agreements were (although he must have known who Franga was) but was satisfied that he was not going to be paying a commission of more than 4% in total, as he had expected to do, and as a result signed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On cross-examination, Kevin Hien agreed that the note at the bottom of the January 2012 Referral Fee Agreements suggested that an October 2011 Referral Fee Agreement with Allen Liu had been signed. He could not explain why he included this note, which referred to a document that he claimed in direct examination had not been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Gary Chow's evidence at his examination for discovery when he was taken to the note on the January 2012 Referral Fee Agreements, was that he hadn't seen the October 2011 Referral Fee Agreement but knew there was such an agreement and had been told by Kevin Hien that it had been signed by Allen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do not accept Kevin Hien's or Allen Liu's evidence with respect to the existence or nature of the October 2011 Referral Fee Agreement. I find it troubling that Kevin Hien did not keep a copy of this document, which he says he prepared. This is not the first document related to this transaction that Kevin Hien did not keep or does not have any record of preparing.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Kevin Hien's explanation respecting why he included a reference to an unsigned October 2011 Referral Fee Agreement in the January 2012 Referral Fee Agreements defies logic. With respect to his evidence that he was referring to a proposal made to Allen Liu under which Allen Liu would pay a referral fee, there is no reliable corroborating evidence in this respect. I find it exceedingly unlikely that the Franga Group had in fact proposed, in the midst of finalizing a negotiation with Allen Liu for purchase of the Brentwood and Maple Ridge properties, that Allen Liu, the purchaser, would pay half of a sales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accept Jeong Lee's evidence, which is consistent with the evidence of Gary Chow and the note included on the January 2012 Referral Fee Agreements, that he and Allen Liu signed such an October 2011 Referral Fee Agreement. I reject Allen Liu's evidence that he was not aware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have already found that the initial plan was to use Lester Lin to divert 2% of the available 4% commission to either Kevin Hien or Allen Liu. I infer that as of October 15, 2011, the plan had changed somewhat as a result of the removal of Lester Lin as a buyer's agent and was now to divert 2% of the commission directly to Allen Liu in the first instance. I am not sure if the intention was that Allen Liu would keep the kick-back amount or if he intended to pass it on to Kevin Hien.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Purchasers' Possession of Copies of the January 2012 Referral Fee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Vendors contend that the fact that the Purchasers had listed the January 2012 Referral Fee Agreements in their list of documents in this litigation demonstrates that Allen Liu must have had them in his files because they had previously been given to him by Kevin Hien. Accordingly, they say he was lying when he testified at trial that he hadn't seen these documents. They contend that if their assertion is accepted this demonstrates that Allen Liu was a participant in the scheme to improperly funnel a share of the Franga Group's referral fee to Kevin Hien through Anken.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As I outlined above, Allen Liu denied that he had any knowledge of the alleged October 2011 Referral Fee Agreement but I did not find his evidence credible. Allen Liu also denied that he had any knowledge of the January 2012 Referral Fee Agreements with Anken and Franga and claimed that those documents had nothing to do with him but concerned payment of commissions by Jeong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During cross-examination by counsel for the Vendors, Kevin Hien testified that he had no idea how the January 2012 Referral Fee Agreements came to be in Allen Liu's possession. During a later cross-examination by counsel for the Purchasers several months later, Kevin Hien changed his story and provided a detailed explanation of how these agreements ended up in Allen Liu's document production. He testified that upon receipt of the Vendors' letter repudiating the Brentwood Agreement, he met with the Purchasers' counsel before any litigation was commenced and provided him with documents relating to the sale of the Brentwood property, which included the January 2012 Referral Fee Agreements. The Purchasers contend that there are other documents in Allen Liu's original list of documents which must have been provided to him by Kevin Hien.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find that Kevin Hien was not being truthful in his evidence regarding how the January 2012 Referral Fee Agreements ended up in Allen Liu's document production. His evidence changed substantially during his cross-examination and in my view is not credible. I find that Kevin Hien probably provided these documents to Allen Liu because the arrangement to direct half of the sale commission directly to Allen Liu, as was agreed to in the October 2011 Referral Fee Agreement, had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Although I have made this finding, I agree with the Plaintiffs that there is no evidentiary basis to make the inferential leap that because Allen Liu had been provided with copies of the January 2012 Referral Fee Agreements by Kevin Hien, this can only mean that Allen Liu had conspired with Kevin Hien to keep information regarding the RM5s zoning potential for the Brentwood property from Jeong Lee.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Role of Candy Chen and Anken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Purchasers, the Hien parties, Gary Chow and Candy Chen, the owner of the defendant by counterclaim Anken, contend that it was as a result of Candy Chen's introduction of Kevin Hien to Audrey Zhao, an employee of Allen Liu, that Allen Liu began to investigate a purchase of the Brentwood and Maple Ridge properties. Kevin Hien and Candy Chen testified that this introduction justified the arrangements made in January 2012 to pay Anken a substantial referral fee of close to $332,000.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Audrey Zhao, who I expect could corroborate the evidence of Allen Liu, Kevin Hien, and Candy Chen regarding the circumstances of the first meeting between Kevin Hien and Allen Liu, was not called as a witness at trial by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Vendors contend that the evidence of Kevin Hien and Candy Chen regarding her role in introducing Allen Liu to the Brentwood and Maple Ridge properties, which is supported in part by Allen Liu's evidence, is a complete fiction. They also contend that Allen Liu's evidence with respect to when and how he first learned about the Brentwood property is not truthful. They say that Allen Liu first became aware of the properties on or around September 13, 2011, the date when he received a phone call and email from Kevin Hien.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Vendors submit that Candy Chen was brought in by Kevin Hien in January 2012 simply to divert even more of the remaining 2% commission payable to the Franga Group to him through Candy Chen's newly formed company, Anken.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Kevin Hien and Candy Chen testified that Hien was introduced to Audrey Zhao at Allen Liu's Rainflower Restaurant in Richmond. Candy Chen stated that she told Kevin Hien that Audrey Zhao's boss, Allen Liu, was interested in real estate and it was decided that he would go the Rainflower in the hopes of meeting Allen Liu. Candy Chen could not say precisely when the alleged introduction of Kevin Hien to Audrey Zhao took place. At one point in her evidence, she testified that she believed the meeting occurred in July or August 2011 when kids were out of school, but later testified that she was uncertain about the date of this first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Kevin Hien's evidence regarding the date of the first meeting has changed over time. In an affidavit sworn on December 10, 2013, in support of Allen Liu's response to the Vendors' application to set aside the CPL registered on the Brentwood property, he swore as follows with respect to timing and nature of his first meetings with Allen Liu:</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first met with Audrey Zhao in early August 2011 at the Rainflower restaurant and she told him that Allen Liu was interested in purchasing a development site in British Columbia;</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meeting he asked Audrey Zhao to arrange for a meeting between him and Allen Liu which took place later in August at a Tim Hortons café.</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later met with Allen Liu in early September at the Rainflower restaurant and at that meeting Allen Liu instructed him to prepare an offer to purchase the Brentwood property for $38.8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At trial Kevin Hien's testimony was that he first met with Allen Liu at the Rainflower Restaurant in July or August, gave him his business card and told him he had a commercial project he might be interested in. He also testified that he met with Allen Liu three of four times in early September, before the alleged $38.8 million offer was made on September 6, 2011. Under heavy cross-examination when it was put to him that there was not a shred of documentary evidence indicating that he was engaged with Allen Liu prior to September 13, 2011, Kevin Hien said that he could not recall when he first met Allen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With respect to what was discussed at this alleged first meeting, Kevin Hien testified that they did not discuss business until a later meeting a few days later at a Tim Hortons in Richmond when he provided the marketing brochure and zoning information to Allen Liu. Candy Chen's evidence on discovery was that the first meeting at the Rainflower Restaurant only involved her, Kevin Hien and Audrey Zhao. At trial, she initially changed her discovery evidence stating that Kevin Hien met with Allen Liu that day, but on cross-examination was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Allen Liu's evidence is slightly different than Kevin Hien's. He testified that he first learned about the Brentwood property when he was introduced to Kevin Hien by Audrey Zhao at the Rainflower Restaurant in early September 2011. His recollection of their discussion at the first meeting was not clear but believed that they spoke briefly and it was only in later meetings that Kevin Hien introduced the Brentwood property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Interestingly, the December 7, 2012 letter from Purchasers' legal counsel to counsel for the Vendors, rejecting the Vendors' notice to terminate set out in the Termination Letter, tells yet another story regarding how Allen Liu became introduced to the Brentwood property. This letter states that "Youyi was introduced to this opportunity by business acquaintances, who saw the properties advertised for sale by your client's agent, Mr. Hien, in a Chinese newspaper." The information must have come from someone - perhaps Allen Liu or Francis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Kevin Hien testified that he and Candy Chen did not discuss her entitlement to a referral fee during their meeting at the Rainflower Restaurant with Audrey Zhao but that Candy Chen asked for a referral fee later on. Candy Chen's evidence at her examination for discovery and at trial was that in around October 2011, she received a call from Kevin Hien and was surprised to learn that she would be receiving a referral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Candy Chen, Kevin Hien and Gary Chow testified that between October 2011 and January 2012, Candy Chen and Gary Chow negotiated payment to her of a $332,000 referral fee, approximately 40% of the total commission to be paid by the Vendors, for simply introducing Kevin Hien to Allen Liu. Candy Chen admitted that she had no experience in real estate and had no experience with referral fees and that the $332,000 referral fee was more than she had ever earned in one year before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Gary Chow's evidence is that he and the other members of the Franga Group agreed to provide Candy Chen with this portion of their referral fee. Neil Wong and Stanley Chow disavow any knowledge of Candy Chen before the January 2012 Referral Fees Agreements were signed and Neil Wong knew nothing of the alleged Anken referral fee negotiations until just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There are no documents evidencing a referral fee negotiation between Gary Chow and Candy Chen between October 2011 and January 2012 and there are no documents showing any discussion between Neil Wong, Stanley Chow and Gary Chow regarding the payment of a substantial portion of Franga's referral fee to Candy Chen. Candy Chen's evidence is that she incorporated Anken as she wanted to learn about investing but she did not explain how incorporating this company would assist her in this respect. The name Anken International Investment Corp. was only reserved on January 26, 2012 - four days before the Anken referral fee agreement was presented to Jeong Lee for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credibility of Candy Chen and Kevin Hien was seriously impacted as a result of false evidence at discovery and at trial regarding when they had last seen each other. At trial, the Vendors sought to prove that they were in fact involved in a romantic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During his examination for discovery, Kevin Hien claimed that he had no contact with Candy Chen after the deal for the sale of the Brentwood and Maple Ridge properties collapsed in December 2012 other than a chance meeting at a religious event some time later. He appeared to deny that he even knew Candy Chen's home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Candy Chen's evidence during her examination for discovery closely tracked with that of Kevin Hien. She deposed that the last time she saw Kevin Hien was after the deal collapsed in 2012 at a random meeting at a Chinese New Year celebration and that he had not discussed this litigation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Kevin Hien initially repeated at trial that he had no contact with Candy Chen and flatly denied that he had provided false evidence at his examination for discovery. He denied that Candy Chen was being set up as "straw-man" to enable the funnelling of commission from the Franga Group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During his cross-examination, Kevin Hien was confronted with video evidence obtained by the Vendors which showed him attending at the home of Candy Chen on a number of occasions in 2016 and 2017, using keys to access her home, carrying items to and from her home, and picking her up after she was examined for discovery in these proceedings. He admitted that he had lied at discovery and at trial but initially did not explain why. He did not recall if he and Candy Chen had spoken in advance of their examinations for discovery and whether they had decided to conceal their relationship and did not believe he discussed her evidence with her after 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During his subsequent direct examination at trial, which occurred several months after his cross-examination (he had been cross-examined first as an adverse witness), Kevin Hien testified that he had provided false evidence regarding his contact with Candy Chen because she had asked him to lie as she didn't want evidence to come out regarding her mental health and family conflict issues, which Hien had been helping her with. Candy Chen also admitted to providing false evidence regarding her contact with Kevin Hien and testified that she had asked Kevin Hien to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do not accept the explanation of Candy Chen and Kevin Hien with respect to why they lied on discovery and why Kevin Hien lied to this Court regarding their contact after December 2012. I find that Kevin Hien and Candy Chen conspired to provide false evidence during their examinations for discovery and at trial regarding their friendship and pre-trial contact. I do not accept their explanation that they did so because of Candy Chen's concern about having to share information regarding her family and mental health issues, which I find is not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my view, Kevin Hien and Candy Chen at discovery and Kevin Hien later at trial, provided false testimony in an attempt to hide the fact that they were friends, likely in an effort to avoid the suggestion that the referral fee arrangement with Anken was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Although the Vendors initially argued that Hien and Chen were in fact romantic partners, it is not necessary for me to decide whether that was the case. No matter what their motive was in providing false evidence regarding their friendship, the fact that they concocted and then executed a plan to repeatedly lie under oath regarding the nature of their friendship has an irreparable impact on their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do not accept the evidence of Kevin Hien, Candy Chen or Gary Chow regarding the discussions and negotiation leading to the January 2012 Referral Fee Agreements with Anken. I find it unbelievable that any of them thought it was necessary or reasonable for Candy Chen to be provided with a $332,000 fee for simply introducing Kevin Hien to Allen Liu's employee Audrey Zhao.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find that the January 2012 Referral Fee Agreements with Anken was a sham and that the logical inference is that it was created to funnel a portion of the Franga Group's share of a referral fee on the sale of the Brentwood and Maple Ridge properties away from Neil Wong and, perhaps, Stanley Chow.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Were the Brentwood Agreement and Zoning Warranty designed to mask collusion between Allen Liu and Kevin Hien?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Vendors contend that Allen Liu and Kevin Hien, as part of their conspiracy to suppress information regarding the Brentwood property's RM5s zoning potential, colluded in including various clauses in and schedules of the Brentwood Agreement which were designed to disguise their efforts to deceive Jeong Lee with respect to zoning. Those include the following: a post-closing appraisal clause; a high deposit paid directly to the vendor Brentwood Lanes; and the Zoning Warranty.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Post-Closing Appraisal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September 2011 Offer and the Brentwood Agreement contained a clause requiring Brentwood Lanes to provide an appraisal report for the Brentwood property within three months of the date on which the sale of this property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Vendors contend that this clause does not make sense, given that the transaction would have already completed, and must have been included to prevent Jeong Lee from carrying out an appraisal earlier and therefore from learning about the Brentwood's property's true value arising from the RM5s zoning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Kevin Hien testified that the post-closing appraisal clause was put in at Allen Liu's request. On cross-examination, he agreed that normally an appraisal would be completed before a contract was entered into. Allen Liu denied requesting that the post-closing appraisal clause be included in the September 2011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Although the post-closing appraisal clause may have been unusual, I fail to see how the insertion of this clause in the Brentwood Agreement prevented Jeong Lee from carrying out his own appraisal prior to entering into the Brentwood Agreement. It may have influenced his decision not to complete an appraisal but only after he had already agreed to sell the Brentwood property for $28.8 million. The post-closing appraisal clause did not prevent Jeong Lee from obtaining his own appraisal - and he did so in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addition, with respect to the inference that the Vendors seek, that the only reason Allen Liu would want the appraisal to be completed post-closing was to attempt to hide the RM5s zoning potential for the Brentwood property from Jeong Lee, I make two comments. First, why would Allen Liu have included this clause if he was trying to hide the zoning potential from Jeong Lee? It would seem that if this was his intention, he would not have mentioned an appraisal at all and paid for one by himself, if he needed one, after the sale had completed. Second, I do not consider that the only inference that can be made is the nefarious one suggested by the Vendors. It may have been that Allen Liu wanted a post-closing appraisal simply because he wanted a market valuation completed after closing for the purposes of attracting potential joint venture partners or assignees.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Substantial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Vendors contend that the deposit clause included in the September 2011 Offer and the Brentwood Agreement, under which a $405,000 non-refundable deposit would be paid directly to Brentwood Lanes, was intended to deceive Jeong Lee. They submit that this is a logical inference given the amount of the non-refundable deposit and the fact that it was paid directly to Jeong Lee as they allege Allen Liu believed that Lee was desperate for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Vendors also contend that Allen Liu and Kevin Hien colluded to give false evidence, being that the deposit clause arose as a result of a request from Jeong Lee. Jeong Lee's evidence is that he did not request a large non-refundable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Even if it was Allen Liu's idea to provide a large non-refundable deposit, I do not consider that this is sufficient evidence to justify the inference that the Vendors seek. The Vendors concede that there is nothing wrong with a buyer including a large deposit clause to induce a seller to accept an offer. Also, with respect to the fact that the deposit was non-refundable, this non-refundability would only arise after removal of subjects by Allen Liu. That is, he could have asked for his deposit back if he decided not to remove subjects and, therefore, it was not as lucrative of an offer as suggested by the Vendors. Finally, I am not satisfied and was not taken to objective evidence that the amount of the deposit was inordinate, given the sale price for the Brentwood property. The deposit paid is less than 1.5% of the $28.8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am not prepared to find that the $405,000 non-refundable deposit paid for the Brentwood property was intended to deceive Jeong Lee or somehow mask a conspiracy between Allen Liu and Kevin Hien to suppress the RM5s zoning information.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Zoning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have already concluded that Jeong Lee learned about the RM5s zoning potential for the Brentwood property some time around December 2011 after consulting with an appraiser, Katherine Jones. This resulted in Jeong Lee asking Kevin Hien if he knew about the new zoning. According to Jeong Lee, Hien responded that he did not or that nothing had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next thing that happened was that Kevin Hien consulted with Allen Liu at Jeong Lee's request and asked him about his development plans. Kevin Hien later met with Jeong Lee at Brentwood Lanes, in January 2012, and advised him that Allen Liu was not planning on developing the Brentwood property beyond what would be allowed under RM5 zoning and only wanted to build two towers comparable in size to those already built by another developer on nearby lands. This would have resulted in Allen Liu only developing to a density of approximately half of the potential density that could be developed under RM5s zoning. As a result, Jeong Lee asked Kevin Hien to get Allen Liu to commit to this restriction in writing, which resulted in the drafting of the Zoning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According to Jeong Lee, when he met with Kevin Hien in January 2012, Hien pulled out a diary or a notebook in which he had made some notes in Chinese and included drawings of what Allen Liu intended to build on the Brentwood property. Although Kevin Hien initially denied carrying a diary or notebook during cross-examination, which I find to be very surprising for a realtor, he later admitted that it had been his practice since at least 2011 to do so and to make notes in it after being confronted with video evidence of him coming and going from Candy Chen's home carrying his notebook. Kevin Hien has not produced any copies of the contents of his notebook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believe that it is more likely than not that Kevin Hien carried a notebook and used his notebook for various purposes including recording information relevant to the sale of the Brentwood and Maple Ridge properties. I accept Jeong Lee's evidence that Kevin Hien showed him drawings of Allen Liu's plans for development of the Brentwood property. The source of those drawings would likely have been Allen Liu. Kevin Hien's failure to produce his notebook is yet another failure of Kevin Hien to produce relevant documents and negatively impacts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During cross-examination, Allen Liu testified that he did not recall having any discussions with Kevin Hien regarding his development plans for the Brentwood property. He also testified that the Zoning Warranty was Jeong Lee's idea and not his. I do not accept Allen Liu's evidence that he did not discuss his plans for development of the Brentwood property with Kevin Hien while they were working to complete the Zoning Warranty. The portion of the warranty clause which made it clear that the warranty did not apply to subsequent purchasers must, logically, have come from Allen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Vendors contend that the Zoning Warranty was an attempt by Allen Liu and Kevin Hien acting in concert to assuage Jeong Lee's concerns about not having been informed about the RM5s zoning potential for the Brentwood Property. In addition, the Vendors contend that the evidence regarding various steps Allen Liu took before and after the Purchase Agreements were signed establishes that Allen Liu never intended to comply with the Zoning Warranty. The latter point, in my view, is not relevant to a determination of whether Allen Liu and Kevin Hien conspired to suppress the zoning potential of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connection between the Zoning Warranty and the alleged conspiracy to supress information regarding the RM5s zoning potential for the Brentwood Property is not clear to me. The Vendors appear to seek to convince this Court that the Zoning Warranty was so improvident - that is, that no reasonable developer would agree to it - that the only logical reason that Allen Liu would have done so in January 2012, after the Purchase Agreements had already been signed, was to prevent Jeong Lee from digging deeper and discovering that both he and Kevin Hien previously knew about the potential for and significance of RM5s zoning. The Vendors submit that Allen Liu and Kevin Hien must have been afraid that Jeong Lee would seek to back out of the deal on that basis. To make this inferential leap, I would have to find that there was no other reason for Allen Liu to agree to the zoning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am not prepared to make this inferential leap. In my view, Allen Liu may have had other reasons for agreeing to the Zoning Warranty. Those include the following: first, that he was being truthful when he said that he never intended to develop the Brentwood Property to the maximum density potentially allowable under RM5s zoning (although the evidence does not suggest that this was the case); second, that he never intended on complying with the Zoning Warranty; third, that his plan all along was to assign the Brentwood Agreement to an arms-length third party, in which case the Zoning Warranty would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the circumstances, I do not feel that it is appropriate for me to make the inferences that the Vendor seeks concerning the Zoning Warranty in support of their argument regarding a conspiracy to keep RM5s zoning information from Jeong Lee.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Did Allen Liu and Kevin Hien Conspire to Falsify or Co-ordinate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addition, the Vendors contend that Allen Liu and Kevin Hien conspired to falsify and coordinate their evidence with respect to the reason for preparation of the False Purchase and Sale Agreement. They contend that this supports an inference that Liu and Hien had previously conspired to deceive Jeong Lee into accepting a low price for the Brentwood property. They also contend that Allen Liu and Kevin Hien acted in concert to destroy documents related to this false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fail to see how the evidence regarding the False Purchase and Sale Agreement, which was not drafted until November 2011, supports the Vendors' argument with respect to a conspiracy agreed to in September 2011 to mislead Jeong Lee with respect to the Brentwood property's RM5s zoning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reasons for the preparation of the False Purchase and Sale Agreement is relevant to the defence of illegality of contract/unlawful purposes. I will deal with my findings of fact and findings with respect to this issue later in my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Alleged Fraud Against Neil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Vendors contend that Kevin Hien and Gary Chow made numerous efforts to exclude Neil Wong or to minimize any commission payable to him. However, this contention is not relevant to the question of whether Allen Liu and Kevin Hien conspired to keep zoning information regarding the Brentwood property from Jeong Lee. This case does not concern any claims Neil Wong may have against Kevin Hien and Gary Chow with respect to an alleged effort on their part to steal a portion of his share of the Franga Group commission. Accordingly, I do not intend to address the Vendors' arguments in this respect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with Respect to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do not find that the Vendors have established by compelling evidence that there was an agreement between Kevin Hien and Allen Liu to deceive Jeong Lee or to otherwise wrongfully keep information from him about the RM5s zoning potential for the Brentwood property and thereby prevent him from learning about the property's true value before he agreed to sell it for $28.8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Vendors agree there is no direct evidence of such a conspiracy between Allen Liu and Kevin Hien. For example, there is no evidence that Allen Liu ever communicated with Kevin Hien about Jeong Lee's knowledge or lack of knowledge, of the RM5s zoning potential for the Brentwood property nor is there any suggestion that Allen Liu ever communicated with Jeong Lee about this zoning potential. Accordingly, in this case, findings of fact necessary to establish a conspiracy claim require the Court to draw a number of inferences. The law is clear that an inference regarding a conspiracy should only be drawn when there are no other inferences which can reasonably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infer that the use of Lester Lin as a "straw man", followed by the preparation of the October 2011 Referral Fee Agreement providing in favour of Allen Liu and ending with the sham January 2012 Referral Fee Agreements with Anken (Candy Chen), that Kevin Hien, Gary Chow and Allen Liu colluded to redirect a portion of the Franga Group's commission away, but I am unable to conclude whether the intention was for the proceeds to go to Allen Liu or Kevin Hien.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As I am unable to determine whether the beneficiary of the commission scheme was Allen Liu or Kevin Hien, I am also unable to determine conclusively whether or not Kevin Hien would have received any consideration for the alleged agreement to withhold RM5s zoning information from Jeong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Some of the facts which the Defendants say lead to an inference of a conspiracy themselves require inferences to be drawn to make the relevant finding of fact. These include drawing inferences regarding the reasons for the drafting of the post-closing appraisal clause and deposit clauses in the Brentwood Agreement and the creation of the Zoning Warranty. I have already found that there are other potential explanations why those contract clauses and the Zoning Warranty were created. Accordingly, I am unable to conclude those contract clauses must have been part of the alleged conspiracy to withhold RM5s zoning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This does not mean that I have found that information regarding the Brentwood property's RM5s zoning potential was not improperly withheld from Jeong Lee by members of the Franga Group, including by the only real estate agent in the group - Kevin Hien. In my view the members of the Franga Group appeared to be largely interested in finding a buyer and facilitating a quick sale of the Brentwood property and earning a large commission and were not nearly as focused as they should have been on obtaining the highest possible sale price for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Neil Wong sent an email on July 7, 2011, to Gary Chow and Kevin Hien in which he appeared to be encouraging his Franga Group partners to find a buyer for the Brentwood and Maple Ridge properties before Jeong Lee increased the price. I also note that during the September 25, 2011 meeting attended by Neil Wong, when Kevin Hien presented Allen Liu's offer to purchase the Brentwood and Maple Ridge properties for $32 million, that despite Neil Wong's earlier belief that the Brentwood and Maple Ridge properties were worth more than $39.9 million, neither he or Kevin Hien told Jeong Lee not to sell the properties for $32 million and did not tell him about the RM5s zoning potential for the Brentwood property which they had learned about several months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my view, this suggests an alternate inference which could be drawn from the failure of Kevin Hien, Neil Wong and the other members of the Franga Group to advise Jeong Lee about the RM5s zoning potential for the Brentwood property. It may have been that some or all of the members of the Franga Group decided to keep this information from him in an effort to facilitate a quick sale of the Brentwood property so that they could obtain a substantial commission. That is, it was their own self-interest that caused them to keep this information from Jeong Lee and not as a result of a conspiracy between Allen Liu and Kevin Hien. Another possibility is that they were simply ignorant of their obligations to provide this information to Jeong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Unenforceability of the Purchase Agreements Due to Breach of Fiduciary Duty and Knowing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Vendors contend that even if a conspiracy between Allen Liu and Kevin Hien is not found, the Purchase Agreements should still not be enforced because the Purchasers are jointly and severally liable for knowingly assisting Kevin Hien in breaching his fiduciary duty to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Vendors also contend that Kevin Hien, as their realtor, had a fiduciary duty to share the RM5s zoning information with them when he first learned of this information, that he breached this duty when he failed to do so and that Allen Liu knowingly assisted him in this breach.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Kevin Hien have a fiduciary duty to the Vendors which he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Vendors submit that Kevin Hien had a fiduciary duty to them as early as April 2011 when the April 2011 Authorization and Fee Agreement was entered into between the Franga Group, of which Hien was a member, and Jeong Lee. They say that this fiduciary duty included sharing RM5s zoning information regarding the Brentwood property and that Kevin Hien failed to do so. They also say that Kevin Hien breached his fiduciary duty by advising Jeong Lee that the Purchasers' offer for the Brentwood and Maple Ridge Properties was well above their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Purchasers do not challenge the Vendors' contention that Kevin Hien owed a fiduciary duty to Jeong Lee. The Hien parties contend that although a relationship between a realtor and his client creates 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fiduciary relationship, this presumption is rebutted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The Hien parties refer to the decision of Sopinka J. writing for the majority in the Supreme Court of Canada case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which was later affirmed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for the proposition that there is a rebuttable presumption, arising out of the inherent purpose of the relationship, that one party has a duty to act in the best interests of the other party. Examples of a fiduciary relationship where a rebuttable presumption may arise include trustee-beneficiary and agent-principal relationships (see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417-418). The relationship between a realtor and client falls under an agent-principal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Mulligan v Stephenson</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2016 BCSC 1941</w:t>
        </w:r>
      </w:hyperlink>
      <w:r>
        <w:rPr>
          <w:rFonts w:ascii="arial" w:eastAsia="arial" w:hAnsi="arial" w:cs="arial"/>
          <w:color w:val="000000"/>
          <w:sz w:val="20"/>
          <w:lang w:val="en-US" w:eastAsia="en-US" w:bidi="ar-SA"/>
        </w:rPr>
        <w:t xml:space="preserve">, the court held that in order to successfully rebut the presumption that a realtor-client relationship gives rise to 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 the defendant must show on the basis of cogent evidence that the relationship was not one of reliance, trust, nor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Hien parties contend that the evidence rebuts the presumption that Jeong Lee was a fiduciary. In particular, they contend that the following supports this proposition:</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Jeong Lee was a highly educated and seasoned businessman who understands and is experienced in commercial real estate and has completed real estate transactions in the past without the assistance of a realtor;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Jeong Lee admitted that he did not pay attention to, nor did it matter to him, that Kevin Hien did not have any experience selling commercial real estate;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Jeong Lee did not rely on Kevin Hien to investigate zoning information for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Hien parties rely upon the decision of this Court in </w:t>
      </w:r>
      <w:r>
        <w:rPr>
          <w:rFonts w:ascii="arial" w:eastAsia="arial" w:hAnsi="arial" w:cs="arial"/>
          <w:i/>
          <w:color w:val="000000"/>
          <w:sz w:val="20"/>
          <w:lang w:val="en-US" w:eastAsia="en-US" w:bidi="ar-SA"/>
        </w:rPr>
        <w:t>Barker v. 100 Mile Realty Ltd.</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2000 BCSC 322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xml:space="preserve">, the vendor alleged that his realtor had breached his obligation to disclose the fact that the land in question had merchantable timber. The realtor had advised the vendor to obtain a timber cruise of the property, which would have informed her of its profitability and that he was not an expert with respect to timber valuation. The court found that the realtor had rebutted the presumption that it was in 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 with the plaintiff vendor on the basis of a lack of reliance. The vendor had sufficient knowledge from her own experience to recognize that services to assess the timber on the land were available, but she had elected to not make that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xml:space="preserve"> is clearly distinguishable. There is no satisfactory evidence that Kevin Hien advised Jeong Lee to obtain information on the zoning potential for the Brentwood property, or as was the case in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that Jeong Lee had any expertise in zoning. Jeong Lee was aware that the Brentwood property was suitable for high density development but the evidence establishes he did not know about the potential to obtain RM5s zoning and approval of a development with a 5.0 FAR. Kevin Hien had received information regarding the RM5s zoning potential for the property but failed to provide it to Jeong Lee - or to even ask if Jeong Lee was aware of this information before Jeong Lee signed the Brentwood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accept Jeong Lee's evidence that he relied upon Kevin Hien for advice throughout the entire transaction and did not consider Hien to be a mere errand boy as was suggested to him during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fact that Jeong Lee is a highly educated individual with some experience in real estate transactions does not amount to cogent evidence that he was not relying on, trusting and placing confidence in Kevin Hien. A professional person selling a valuable piece of property is able to expect that a real estate agent will act in accordance with their professional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also note the expert opinion of the Hien Parties' expert Jim Stewart tendered in this trial which is that, regardless of whether the RM5s zoning information for the Brentwood property was publically available, Kevin Hien had an obligation to provide this information to both of his clients - Allen Liu and Jeong Lee. The opinion of the Vendors' expert Tom Garvey, also tendered in this trial, is the same. Tom Garvey's opinion was that under British Columbia real estate practice, Kevin Hien had a duty to provide zoning information to both Jeong Lee and Allen Liu promptly after receiving it. He testified on cross-examination that even if Kevin Hien had been made aware that Jeong Lee was not relying on him to obtain zoning information (which I have not found as a fact in this case) that Kevin Hien should have provided the RM5s zoning information he received from Neil Wong in July 2011 and September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Although I have referred to the expert opinions of Tom Garvey and Jim Steward in these reasons, I would have come to the same conclusion that they did concerning the duty of the Hien parties to Jeong Lee had their expert evidence not been provided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Limited Dual Agency Agreement and Working with a Realtor Brochure presented by Kevin Hien to Jeong Lee do not assist to the Hien Parties. These documents expressly state that Kevin Hien had a duty of full disclosure to both the Vendors and Purchasers limited only by the express exceptions set out in those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Working with a Realtor brochure states under the subheading "Undivided Loyalty" that the brokerage must protect the principal's negotiating position at all times and disclose all known facts which may affect or influence the principal's decision. Under the heading "Dual Agency", the brochure states that the brokerage has a duty of disclosure to both a buyer and seller except under certain circumstances, none of which apply in this case. The Limited Dual Agency Agreement for the Brentwood property signed by Kevin Hien, Jeong Lee and Allen Liu repeats the duty of disclosure language included in the brochure.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The Hien Parties have not rebutted the presumption of 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 between Jeong Lee and Kevin Hien with cogent evidence. In my view, there is no doubt that the Hien parties had a fiduciary duty and a contractual obligation to the Vendors, the latter pursuant to the express terms of the Limited Dual Agency Agreement, to provide Jeong Lee with the same RM5s zoning information that had been provided to Allen Liu. The Hien parties failed to do so and, accordingly, breached both their fiduciary duty and contractual obligations to the Vendors.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Purchasers knowingly assist Kevin Hien in breaching his fiduciary duty to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Vendors contend that the Purchasers knowingly assisted Kevin Hien in breaching his fiduciary duty to the Vendors to provide them with the RM5s zoning information by participating in a chain of events "which led to or constituted" the breach. In summary, the Vendors submit that the Purchasers did so by:</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assisting in the commission scam against members of the Franga group;</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convincing Kevin Hien to, in turn, convince Jeong Lee to assist in Allen Liu's efforts to defraud lenders or investors through the preparation of the False Purchase and Sale Agreement and deceptive lease documents;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convincing Kevin Hien to include misleading clauses in, or schedules to, the Brentwood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The Vendors rely on the decision of the Supreme Court of Canada in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in support of their argument with respect to knowing assistance.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concerned an alleged breach of trust by a travel agency to hold money collected from the sale of Air Canada tickets and to pay Air Canada twice a month. Monies were not paid over to Air Canada by the travel agency and Air Canada sued in breach of trust and were successful against the travel agency at trial. On appeal, two officers of the travel agency were found to be liable on the basis that they were parties to the conversion of trust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considered, amongst other issues on appeal, whether liability could be imposed upon one of the officers of the travel agency who was a stranger to the trust, as a constructive trustee. The Supreme Court ultimately found that liability could be so imposed only if the officer knowingly assisted in a dishonest and fraudulent design on the part of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With respect to the knowledge requirement of a knowing assistance claim, the Supreme Court confirmed that this means actual knowledge of both the existence of a trust and of the improper breach of trust. Although recklessness or willful blindness with respect to these factors may result in an imputation of knowledge, constructive knowledge is insufficient to give rise to personal liability: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811-812 referencing the decision of Sachs L.J. in </w:t>
      </w:r>
      <w:r>
        <w:rPr>
          <w:rFonts w:ascii="arial" w:eastAsia="arial" w:hAnsi="arial" w:cs="arial"/>
          <w:i/>
          <w:color w:val="000000"/>
          <w:sz w:val="20"/>
          <w:lang w:val="en-US" w:eastAsia="en-US" w:bidi="ar-SA"/>
        </w:rPr>
        <w:t>Carl-Zeiss-Stiftung v. Herbert Smith &amp; Co. (No. 2)</w:t>
      </w:r>
      <w:r>
        <w:rPr>
          <w:rFonts w:ascii="arial" w:eastAsia="arial" w:hAnsi="arial" w:cs="arial"/>
          <w:color w:val="000000"/>
          <w:sz w:val="20"/>
          <w:lang w:val="en-US" w:eastAsia="en-US" w:bidi="ar-SA"/>
        </w:rPr>
        <w:t xml:space="preserve"> (1968), [1969] 2 All E.R. 367 (C.A.) at 379. The Supreme Court also confirmed that if a stranger received a benefit as a result of a breach of trust, this may ground an inference that the stranger knew of the breach: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I adopt the following four requirements for a finding of liability for knowing assistance, summarized by Burke J. at para. 250 of </w:t>
      </w:r>
      <w:r>
        <w:rPr>
          <w:rFonts w:ascii="arial" w:eastAsia="arial" w:hAnsi="arial" w:cs="arial"/>
          <w:i/>
          <w:color w:val="000000"/>
          <w:sz w:val="20"/>
          <w:lang w:val="en-US" w:eastAsia="en-US" w:bidi="ar-SA"/>
        </w:rPr>
        <w:t>Imperial Parking Canada Corp. v Anderson</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2015 BCSC 2221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fiduciary duty;</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must have breached that duty fraudulently and dishonestly;</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stranger to the fiduciary relationship must have had knowledge of both the fiduciary relationship and the fiduciary's dishonest conduct; and</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stranger must have participated in or assisted the fiduciary's fraudulent and dishonest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have already found that the Hien defendants had a fiduciary duty to share the RM5s zoning information with the Vendors and that they breached this duty. I also find that the Purchasers must have been aware, in part as a result of their signature on the Limited Dual Agent form, that the Hien parties had a fiduciary relationship with both them and the Vendors. I am unable to determine on the evidence before me whether the failure of the Hien parties to provide the RM5s zoning information arose as a result of fraud or dishonest conduct. Although I have already found that their failure to provide this information constituted a breach of their fiduciary duty to the Vendors, this breach does not in and of itself constitute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my view, there is an insufficient nexus between the "chain of events" listed by the Vendors and the Hien defendants' breach of their fiduciary duty to the Vendors to justify a finding that the breach was fraudulent or dishonest. The events concerning the commission scam do not constitute a fraud or dishonest conduct by the Hien parties against the Vendors. The evidence establishes that Jeong Lee expected to pay a 4% commission on the sale of the Brentwood and Maple Ridge properties. The involvement of Allen Liu in assisting Kevin Hien in an effort to improperly funnel a portion of the referral fee away from members of the Franga Group to either him or to Kevin Hien is a matter between those parties and does not result in harm to Jeong Lee. The same reasoning applies with respect to allegations that Allen Liu coopted Kevin Hien to assist him in defrauding his lenders or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 have already found that there is insufficient evidence to establish that there was a conspiracy between Allen Liu and Kevin Hien to withhold the RM5s zoning information from Jeong Lee. Part of the basis of this finding was that there is insufficient evidence to allow me to find that Allen Liu was aware that Jeong Lee did not know about the RM5s zoning potential for the property at the time that the Brentwood Agreement was signed. I also do not consider that there is sufficient evidence to find that Allen Liu was reckless or willfully blind with respect whether or not Kevin Hien told Jeong Lee about the RM5s zoning potential for the Brentwood property. In my view it is not unreasonable for Allen Liu to have assumed that Jeong Lee would have known about the zoning potential for his own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the result, I do not find that the Vendors' claim in respect of knowing assistance on the part of the Purchasers has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Unenforceability of the Purchase Agreements Due to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Vendors contend that even if the Purchasers did not conspire with Kevin Hien to deceive Jeong Lee concerning the RM5s zoning potential for the Brentwood property or did not provide knowing assistance in breach of a fiduciary duty to provide this information, they should nevertheless be held vicariously liable for the Hien parties' breaches of their common law and contractual duties to disclose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Kevin Hien was a limited dual agent acting for both the Vendors and Purchasers in the sale of the Brentwood and Maple Ridge properties. The Purchasers contend that they did not have a duty to provide zoning information to the Vendors regarding the Vendors' own property. On this basis, they say that even if Kevin Hien failed to provide zoning information to Jeong Lee, this failure did not arise in the context of his role as their real estate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In support of their argument concerning vicarious liability, the Vendors rely upon the decision of </w:t>
      </w:r>
      <w:r>
        <w:rPr>
          <w:rFonts w:ascii="arial" w:eastAsia="arial" w:hAnsi="arial" w:cs="arial"/>
          <w:i/>
          <w:color w:val="000000"/>
          <w:sz w:val="20"/>
          <w:lang w:val="en-US" w:eastAsia="en-US" w:bidi="ar-SA"/>
        </w:rPr>
        <w:t>Thompson v. Aiken</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(1977), 2 B.C.L.R. 23</w:t>
        </w:r>
      </w:hyperlink>
      <w:r>
        <w:rPr>
          <w:rFonts w:ascii="arial" w:eastAsia="arial" w:hAnsi="arial" w:cs="arial"/>
          <w:color w:val="000000"/>
          <w:sz w:val="20"/>
          <w:lang w:val="en-US" w:eastAsia="en-US" w:bidi="ar-SA"/>
        </w:rPr>
        <w:t xml:space="preserve">, citing to </w:t>
      </w:r>
      <w:hyperlink r:id="rId620" w:history="1">
        <w:r>
          <w:rPr>
            <w:rFonts w:ascii="arial" w:eastAsia="arial" w:hAnsi="arial" w:cs="arial"/>
            <w:i/>
            <w:color w:val="0077CC"/>
            <w:sz w:val="20"/>
            <w:u w:val="single"/>
            <w:shd w:val="clear" w:color="auto" w:fill="FFFFFF"/>
            <w:lang w:val="en-US" w:eastAsia="en-US" w:bidi="ar-SA"/>
          </w:rPr>
          <w:t>1977 CarswellBC 9</w:t>
        </w:r>
      </w:hyperlink>
      <w:r>
        <w:rPr>
          <w:rFonts w:ascii="arial" w:eastAsia="arial" w:hAnsi="arial" w:cs="arial"/>
          <w:color w:val="000000"/>
          <w:sz w:val="20"/>
          <w:lang w:val="en-US" w:eastAsia="en-US" w:bidi="ar-SA"/>
        </w:rPr>
        <w:t xml:space="preserve"> (S.C.) at paras. 21-29, for the proposition that a seller is vicariously liable for damages suffered by a buyer, which result from misrepresentations made by his realtor where the misrepresentations occurred within the scope of the realtor's authority. The Vendors contend that the reasoning in </w:t>
      </w:r>
      <w:r>
        <w:rPr>
          <w:rFonts w:ascii="arial" w:eastAsia="arial" w:hAnsi="arial" w:cs="arial"/>
          <w:i/>
          <w:color w:val="000000"/>
          <w:sz w:val="20"/>
          <w:lang w:val="en-US" w:eastAsia="en-US" w:bidi="ar-SA"/>
        </w:rPr>
        <w:t>Thompson</w:t>
      </w:r>
      <w:r>
        <w:rPr>
          <w:rFonts w:ascii="arial" w:eastAsia="arial" w:hAnsi="arial" w:cs="arial"/>
          <w:color w:val="000000"/>
          <w:sz w:val="20"/>
          <w:lang w:val="en-US" w:eastAsia="en-US" w:bidi="ar-SA"/>
        </w:rPr>
        <w:t xml:space="preserve"> also extends to cases of material non-disclosure by limited dual agents, disentitling the principal from enforcing a contract even where the non-disclosure results from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The Vendors also rely on </w:t>
      </w:r>
      <w:r>
        <w:rPr>
          <w:rFonts w:ascii="arial" w:eastAsia="arial" w:hAnsi="arial" w:cs="arial"/>
          <w:i/>
          <w:color w:val="000000"/>
          <w:sz w:val="20"/>
          <w:lang w:val="en-US" w:eastAsia="en-US" w:bidi="ar-SA"/>
        </w:rPr>
        <w:t>Goldstein v. Davison</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1994 CarswellOnt 710</w:t>
        </w:r>
      </w:hyperlink>
      <w:r>
        <w:rPr>
          <w:rFonts w:ascii="arial" w:eastAsia="arial" w:hAnsi="arial" w:cs="arial"/>
          <w:color w:val="000000"/>
          <w:sz w:val="20"/>
          <w:lang w:val="en-US" w:eastAsia="en-US" w:bidi="ar-SA"/>
        </w:rPr>
        <w:t xml:space="preserve"> (Ct. J. (Gen. Div.)). In that case, a vendor was held vicariously liable for a dual agent's failure to disclose material information to a buyer relating to the nature of the property. Both the vendor and the dual agent were aware that the relevant municipality had recommended that the property be converted to a heritage site. However, the dual agent failed to disclose this to the buyer, who had no way of knowing about the impending heritage designation. The court in </w:t>
      </w:r>
      <w:r>
        <w:rPr>
          <w:rFonts w:ascii="arial" w:eastAsia="arial" w:hAnsi="arial" w:cs="arial"/>
          <w:i/>
          <w:color w:val="000000"/>
          <w:sz w:val="20"/>
          <w:lang w:val="en-US" w:eastAsia="en-US" w:bidi="ar-SA"/>
        </w:rPr>
        <w:t>Goldstein</w:t>
      </w:r>
      <w:r>
        <w:rPr>
          <w:rFonts w:ascii="arial" w:eastAsia="arial" w:hAnsi="arial" w:cs="arial"/>
          <w:color w:val="000000"/>
          <w:sz w:val="20"/>
          <w:lang w:val="en-US" w:eastAsia="en-US" w:bidi="ar-SA"/>
        </w:rPr>
        <w:t xml:space="preserve"> found that the vendor was responsible for the dual agent's failure to advise the buyer that a heritage designation for the property was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The Vendors further rely on </w:t>
      </w:r>
      <w:r>
        <w:rPr>
          <w:rFonts w:ascii="arial" w:eastAsia="arial" w:hAnsi="arial" w:cs="arial"/>
          <w:i/>
          <w:color w:val="000000"/>
          <w:sz w:val="20"/>
          <w:lang w:val="en-US" w:eastAsia="en-US" w:bidi="ar-SA"/>
        </w:rPr>
        <w:t>Bond v. Richardson</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2007 NBQB 264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Rankin v. Menzies</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2002 CarswellOnt 50</w:t>
        </w:r>
      </w:hyperlink>
      <w:r>
        <w:rPr>
          <w:rFonts w:ascii="arial" w:eastAsia="arial" w:hAnsi="arial" w:cs="arial"/>
          <w:color w:val="000000"/>
          <w:sz w:val="20"/>
          <w:lang w:val="en-US" w:eastAsia="en-US" w:bidi="ar-SA"/>
        </w:rPr>
        <w:t xml:space="preserve"> (Sup. Ct. J.) and </w:t>
      </w:r>
      <w:r>
        <w:rPr>
          <w:rFonts w:ascii="arial" w:eastAsia="arial" w:hAnsi="arial" w:cs="arial"/>
          <w:i/>
          <w:color w:val="000000"/>
          <w:sz w:val="20"/>
          <w:lang w:val="en-US" w:eastAsia="en-US" w:bidi="ar-SA"/>
        </w:rPr>
        <w:t>1505986 Ontario Inc. v. Surma</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2010 ONSC 3907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Bond</w:t>
      </w:r>
      <w:r>
        <w:rPr>
          <w:rFonts w:ascii="arial" w:eastAsia="arial" w:hAnsi="arial" w:cs="arial"/>
          <w:color w:val="000000"/>
          <w:sz w:val="20"/>
          <w:lang w:val="en-US" w:eastAsia="en-US" w:bidi="ar-SA"/>
        </w:rPr>
        <w:t xml:space="preserve">, the real estate agent, a limited dual agent, was found to have breached a duty of care to the buyer by not disclosing the existence of a deferred tax obligation and the agent's realty company, as the employer, was found vicariously liable for the dual agent's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Rankin</w:t>
      </w:r>
      <w:r>
        <w:rPr>
          <w:rFonts w:ascii="arial" w:eastAsia="arial" w:hAnsi="arial" w:cs="arial"/>
          <w:color w:val="000000"/>
          <w:sz w:val="20"/>
          <w:lang w:val="en-US" w:eastAsia="en-US" w:bidi="ar-SA"/>
        </w:rPr>
        <w:t>, the seller was a realtor and was the principal of the realty company which represented the buyer. The seller and his realty company were found to have had a fiduciary duty to the buyer, which was breached in failing to disclose a $23,000 encumbrance for a local improvement charge on the seller's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1505986 Ontario Inc.</w:t>
      </w:r>
      <w:r>
        <w:rPr>
          <w:rFonts w:ascii="arial" w:eastAsia="arial" w:hAnsi="arial" w:cs="arial"/>
          <w:color w:val="000000"/>
          <w:sz w:val="20"/>
          <w:lang w:val="en-US" w:eastAsia="en-US" w:bidi="ar-SA"/>
        </w:rPr>
        <w:t>, the buyer had purchased a motel relying on certain representations by the seller and discussions with the dual agent. Shortly after taking possession, the buyer discovered revenues were far lower than represented and the value of the motel had been grossly overstated. The seller was found liable in fraudulent misrepresentation for knowingly misrepresenting the motel's gross revenues. The real estate agents were found liable for breach of fiduciary duty in circumstances where they knew that relevant financial statements were unaudited and in conflict with what the seller had told them. They failed to advise the buyer of this or to recommend that the buyer verify the revenues and expenses of the motel before proceeding with the purchase. Their realty company, Sutton Group, was found to be vicariously liable for the actions of the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each of the cases mentioned above, the failure to disclose involved a failure on the part of limited dual agents to disclose important information concerning a property to the buyer. The vendors were found liable for these failures. Additionally, the real estate companies that the dual agents worked for were found vicariously liable for failures of their agents in some of the cases. In none of those decisions was a purchaser found to be vicariously liable for a breach of a dual agent's duty to provide information regarding the vendor's property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In my view, the Hien parties' obligation to disclose RM5s zoning information to the Vendors did not arise from their role as the Purchasers' agent but rather resulted from their duty to the Vendors as their agent. The Purchasers had no obligation to disclose RM5s zoning information to the Vendors regarding the Vendors' own property. Accordingly, I find that the Purchasers are not vicariously liable for the Hien parties' failure to provide this information to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Unenforceability of the Purchase Agreements For Public Policy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Vendors contend that the Purchase Agreements are part of an unlawful transaction tainted with illegality and therefore, for reasons of public policy, should not be enforced by this Court. They contend that the transaction at issue is not only comprised of the agreements for purchase and sale of real properties set out in the Purchase Agreements but includes related agreements and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particular, the Vendors contend that the Brentwood Agreement, which is clearly part of the transaction, was drafted in a way intended to allow the Purchasers to mislead potential lenders into believing that the Purchasers would earn approximately $500,000 more per year in lease-back rent for the Brentwood property than was actually agreed upon, in order to induce lenders to provide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Vendors also contend that the transaction included other related agreements or documents purposefully created to mislead lenders, investors and potential assignees. Those include the Brentwood Lease and Lease Addendum, which they contend were also designed to deceive potential lenders with respect to the amount of lease-back rent to be earned from the Brentwood property and the False Purchase and Sale Agreement, which was designed to deceive a variety of parties with respect to the deposit paid and the purchase price to be paid for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Vendors contend that a number of related other actions carried out by the Purchasers were intended to deceive potential lenders and joint-venture partners or assignees and that such actions taint the entire transaction. These related actions include: using sham documents to inflate the Purchasers' earnings; providing false or misleading documents with respect to cash-on-hand; and seeking to conclude a scheme to mislead lenders regarding the amount of the deposit paid for the Brentwood property. Finally, the Vendors say that the Purchasers sought to conceal the Zoning Warranty from both lenders and joint-venture partners or assignees to maximize the perceived value of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Purchasers say that this contractual defence, which they describe as a defence of illegality of contract, only applies where a plaintiff must rely on an illegal contract to establish its claim and the Purchasers are not relying on any such illegal contract in this case. They contend that the Vendors improperly seek to extend the definition of "transaction" to include ancillary agreements or events and say that the agreements on which they rely, the Purchase Agreements, are not themselves illegal. They say that the related agreements or events are collateral to the Purchase Agreements. For these reasons, the Purchasers say that the defence of illegality of contract must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the Relevant Law on "Unlawful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As Lord Mansfield stated in </w:t>
      </w:r>
      <w:r>
        <w:rPr>
          <w:rFonts w:ascii="arial" w:eastAsia="arial" w:hAnsi="arial" w:cs="arial"/>
          <w:i/>
          <w:color w:val="000000"/>
          <w:sz w:val="20"/>
          <w:lang w:val="en-US" w:eastAsia="en-US" w:bidi="ar-SA"/>
        </w:rPr>
        <w:t>Holman v. Johnson</w:t>
      </w:r>
      <w:r>
        <w:rPr>
          <w:rFonts w:ascii="arial" w:eastAsia="arial" w:hAnsi="arial" w:cs="arial"/>
          <w:color w:val="000000"/>
          <w:sz w:val="20"/>
          <w:lang w:val="en-US" w:eastAsia="en-US" w:bidi="ar-SA"/>
        </w:rPr>
        <w:t xml:space="preserve"> (1775), 1 Cowp. 341 at 343: "no Court will lend its aid to a man who founds his cause of action upon an immoral or illegal act." In this case, there is no suggestion that when viewed in isolation the Purchase Agreements are immoral or illegal. Viewed in isolation, there is nothing immoral or illegal about the Vendors agreeing to sell the Brentwood and Maple Ridge properties to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The Vendors argue that it is incorrect to only focus on the Purchase Agreements and that what is to be evaluated is the lawfulness of a transaction which includes a property sale. This engages the defence of unlawful purposes, which in my view is a sub-set of the defence of illegality of contract. The defence of unlawful purposes is a public policy defence under which a court is asked to refuse to enforce a transaction on the basis that if the court did so, it would be harmful to the integrity of the legal system: see </w:t>
      </w:r>
      <w:r>
        <w:rPr>
          <w:rFonts w:ascii="arial" w:eastAsia="arial" w:hAnsi="arial" w:cs="arial"/>
          <w:i/>
          <w:color w:val="000000"/>
          <w:sz w:val="20"/>
          <w:lang w:val="en-US" w:eastAsia="en-US" w:bidi="ar-SA"/>
        </w:rPr>
        <w:t>Patel v. Mirza</w:t>
      </w:r>
      <w:r>
        <w:rPr>
          <w:rFonts w:ascii="arial" w:eastAsia="arial" w:hAnsi="arial" w:cs="arial"/>
          <w:color w:val="000000"/>
          <w:sz w:val="20"/>
          <w:lang w:val="en-US" w:eastAsia="en-US" w:bidi="ar-SA"/>
        </w:rPr>
        <w:t>, [2016] UKSC 42 at paras. 56-61.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The Vendors' argument with respect to the defence of unlawful purposes relies heavily upon the decision of the Supreme Court of Canada in </w:t>
      </w:r>
      <w:r>
        <w:rPr>
          <w:rFonts w:ascii="arial" w:eastAsia="arial" w:hAnsi="arial" w:cs="arial"/>
          <w:i/>
          <w:color w:val="000000"/>
          <w:sz w:val="20"/>
          <w:lang w:val="en-US" w:eastAsia="en-US" w:bidi="ar-SA"/>
        </w:rPr>
        <w:t>Letkeman v. Zimmerman</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[1978] 1 S.C.R. 1097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Letkeman</w:t>
      </w:r>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Letkeman</w:t>
      </w:r>
      <w:r>
        <w:rPr>
          <w:rFonts w:ascii="arial" w:eastAsia="arial" w:hAnsi="arial" w:cs="arial"/>
          <w:color w:val="000000"/>
          <w:sz w:val="20"/>
          <w:lang w:val="en-US" w:eastAsia="en-US" w:bidi="ar-SA"/>
        </w:rPr>
        <w:t xml:space="preserve"> and the principles set out therein are directly applicable to the case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Letkeman</w:t>
      </w:r>
      <w:r>
        <w:rPr>
          <w:rFonts w:ascii="arial" w:eastAsia="arial" w:hAnsi="arial" w:cs="arial"/>
          <w:color w:val="000000"/>
          <w:sz w:val="20"/>
          <w:lang w:val="en-US" w:eastAsia="en-US" w:bidi="ar-SA"/>
        </w:rPr>
        <w:t>, there were essentially two contracts for purchase and sale of an apartment block. The purchase agreement itself showed a falsely inflated price and a side agreement between the parties, executed at the same time, modified the purchase price. The purchaser had intended to use only the purchase agreement in order to obtain more financing from his lenders. Although the vendor was aware of this plan, he ultimately decided he did not want to go through with the sale and purported to rescind the contract. The purchaser refused to accept the vendor's repudiation and brought a claim for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In dismissing the action at first instance, the trial judge applied the reasoning of the English Court of Appeal in </w:t>
      </w:r>
      <w:r>
        <w:rPr>
          <w:rFonts w:ascii="arial" w:eastAsia="arial" w:hAnsi="arial" w:cs="arial"/>
          <w:i/>
          <w:color w:val="000000"/>
          <w:sz w:val="20"/>
          <w:lang w:val="en-US" w:eastAsia="en-US" w:bidi="ar-SA"/>
        </w:rPr>
        <w:t>Alexander v. Rayson</w:t>
      </w:r>
      <w:r>
        <w:rPr>
          <w:rFonts w:ascii="arial" w:eastAsia="arial" w:hAnsi="arial" w:cs="arial"/>
          <w:color w:val="000000"/>
          <w:sz w:val="20"/>
          <w:lang w:val="en-US" w:eastAsia="en-US" w:bidi="ar-SA"/>
        </w:rPr>
        <w:t xml:space="preserve"> (1935), [1936] 1 K.B. 169 (C.A.), which dealt with the unenforceability of an unlawful contract. The trial judge dismissed the purchaser's claim finding that the intended use of the purchase agreement to obtain financing through unlawful means tainted the entire transaction and rendered the purchase agreement and the side agreement illegal and unenforceable. The decision of the trial judge was overturned on appeal and the matter proceeded to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At page 1101 of </w:t>
      </w:r>
      <w:r>
        <w:rPr>
          <w:rFonts w:ascii="arial" w:eastAsia="arial" w:hAnsi="arial" w:cs="arial"/>
          <w:i/>
          <w:color w:val="000000"/>
          <w:sz w:val="20"/>
          <w:lang w:val="en-US" w:eastAsia="en-US" w:bidi="ar-SA"/>
        </w:rPr>
        <w:t>Letkeman</w:t>
      </w:r>
      <w:r>
        <w:rPr>
          <w:rFonts w:ascii="arial" w:eastAsia="arial" w:hAnsi="arial" w:cs="arial"/>
          <w:color w:val="000000"/>
          <w:sz w:val="20"/>
          <w:lang w:val="en-US" w:eastAsia="en-US" w:bidi="ar-SA"/>
        </w:rPr>
        <w:t xml:space="preserve">, the Supreme Court summarized the facts in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agreed to let a service flat to the defendant at an annual rent of GBP1,200. This transaction was expressed in two documents, one a lease of the premises at a rent of GBP450 a year, the other an agreement by the plaintiff to render certain specified services for an annual sum of GBP750. It was alleged that his object was to produce only the lease to the Westminster Assessment Committee, and by persuading this body that the premises were worth only GBP450 a year, to obtain a reduction of their rateable value. The defendant was ignorant of this alleged purpose. The plaintiff ultimately failed to accomplish his fraudulent object. He sued the defendant for the recovery of GBP300, being a quarter's instalment due under both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The Supreme Court then set out some of the findings of the English Court of Appeal in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xml:space="preserve"> at pages 1101-1102 of that judgment,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of Appeal held that, if the documents were to be used for this fraudulent purpose, the plaintiff was not entitled to the assistance of the law in enforcing either the lease or the agreement. Romer L.J., who wrote the reasons of the court, said at p. 182: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settled law that an agreement to do an act that is illegal or immoral or contrary to public policy, or to do any act for a consideration that is illegal, immoral or contrary to public policy, is unlawful and therefore void. But it often happens that an agreement which in itself is not unlawful is made with the intention of one or both parties to make use of the subject matter for an unlawful purpose, that is to say a purpose that is illegal, immoral or contrary to public policy. The most common instance of this is an agreement for the sale or letting of an object, where the agreement is unobjectionable on the face of it, but where the intention of both or one of the parties is that the object shall be used by the purchaser or hirer for an unlawful purpose. In such a case any party to the agreement who had the unlawful intention is precluded from suing upon it.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The action does not lie because the Court will not lend its help to such a plaintiff. Many instances of this are to be found in the books.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187, he added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Now, in the cases to which we have been referred, there was an intention to use the subject-matter of the agreement for an unlawful purpose. In the present case, on the other hand, the plaintiff's intention was merely to make use of the lease and agreement, that is the documents themselves, for an unlawful purpose. Does that make any difference? In our opinion it does not. It seems to us, and it is here that we respectfully disagree with Parcq J. that the principles applicable to the two cases are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Ultimately, the Supreme Court overturned the decision of the majority of the Court of Appeal in </w:t>
      </w:r>
      <w:r>
        <w:rPr>
          <w:rFonts w:ascii="arial" w:eastAsia="arial" w:hAnsi="arial" w:cs="arial"/>
          <w:i/>
          <w:color w:val="000000"/>
          <w:sz w:val="20"/>
          <w:lang w:val="en-US" w:eastAsia="en-US" w:bidi="ar-SA"/>
        </w:rPr>
        <w:t>Letkeman</w:t>
      </w:r>
      <w:r>
        <w:rPr>
          <w:rFonts w:ascii="arial" w:eastAsia="arial" w:hAnsi="arial" w:cs="arial"/>
          <w:color w:val="000000"/>
          <w:sz w:val="20"/>
          <w:lang w:val="en-US" w:eastAsia="en-US" w:bidi="ar-SA"/>
        </w:rPr>
        <w:t xml:space="preserve"> and applied the reasons of the dissenting judge, Bayda J.A., ruling that the trial judge correctly applied the principle stated in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At paragraph 25 of his dissenting reasons (</w:t>
      </w:r>
      <w:r>
        <w:rPr>
          <w:rFonts w:ascii="arial" w:eastAsia="arial" w:hAnsi="arial" w:cs="arial"/>
          <w:i/>
          <w:color w:val="000000"/>
          <w:sz w:val="20"/>
          <w:lang w:val="en-US" w:eastAsia="en-US" w:bidi="ar-SA"/>
        </w:rPr>
        <w:t>Letkeman v. Zimmerman</w:t>
      </w:r>
      <w:r>
        <w:rPr>
          <w:rFonts w:ascii="arial" w:eastAsia="arial" w:hAnsi="arial" w:cs="arial"/>
          <w:color w:val="000000"/>
          <w:sz w:val="20"/>
          <w:lang w:val="en-US" w:eastAsia="en-US" w:bidi="ar-SA"/>
        </w:rPr>
        <w:t>, [1977] 1 W.W.R. 408, 1976 CarswellSask 99 [</w:t>
      </w:r>
      <w:r>
        <w:rPr>
          <w:rFonts w:ascii="arial" w:eastAsia="arial" w:hAnsi="arial" w:cs="arial"/>
          <w:i/>
          <w:color w:val="000000"/>
          <w:sz w:val="20"/>
          <w:lang w:val="en-US" w:eastAsia="en-US" w:bidi="ar-SA"/>
        </w:rPr>
        <w:t>Letkeman C.A</w:t>
      </w:r>
      <w:r>
        <w:rPr>
          <w:rFonts w:ascii="arial" w:eastAsia="arial" w:hAnsi="arial" w:cs="arial"/>
          <w:color w:val="000000"/>
          <w:sz w:val="20"/>
          <w:lang w:val="en-US" w:eastAsia="en-US" w:bidi="ar-SA"/>
        </w:rPr>
        <w:t xml:space="preserve">.]) Bayda J.A. referred to the principle in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xml:space="preserve"> as it was expressed by Viscount Simonds in </w:t>
      </w:r>
      <w:r>
        <w:rPr>
          <w:rFonts w:ascii="arial" w:eastAsia="arial" w:hAnsi="arial" w:cs="arial"/>
          <w:i/>
          <w:color w:val="000000"/>
          <w:sz w:val="20"/>
          <w:lang w:val="en-US" w:eastAsia="en-US" w:bidi="ar-SA"/>
        </w:rPr>
        <w:t>Mason v. Clarke</w:t>
      </w:r>
      <w:r>
        <w:rPr>
          <w:rFonts w:ascii="arial" w:eastAsia="arial" w:hAnsi="arial" w:cs="arial"/>
          <w:color w:val="000000"/>
          <w:sz w:val="20"/>
          <w:lang w:val="en-US" w:eastAsia="en-US" w:bidi="ar-SA"/>
        </w:rPr>
        <w:t>, [1955] A.C. 778, [1955] 1 All E.R. 914 at 920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Alexander v. Rayson</w:t>
      </w:r>
      <w:r>
        <w:rPr>
          <w:rFonts w:ascii="arial" w:eastAsia="arial" w:hAnsi="arial" w:cs="arial"/>
          <w:color w:val="000000"/>
          <w:sz w:val="20"/>
          <w:lang w:val="en-US" w:eastAsia="en-US" w:bidi="ar-SA"/>
        </w:rPr>
        <w:t xml:space="preserve"> it was treated as settled law - and it could not be otherwise - that a plaintiff having intention to use the subject-matter of an agreement for an unlawful purpose cannot sue on it, and the only relevant question was whether a plaintiff, having a similar intention in regard to the documents evidencing an agreement, is similarly debarred. And it was held, I do not doubt correctly, that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In addition, where one of the parties to an agreement is asked to and agrees to make a false representation of fact with respect to the nature of the agreement, the making of the representation forms part of the consideration for the agreement and taints the agreement. This is made clear at paragraph 34 of the reasons of Bayda J.A. in </w:t>
      </w:r>
      <w:r>
        <w:rPr>
          <w:rFonts w:ascii="arial" w:eastAsia="arial" w:hAnsi="arial" w:cs="arial"/>
          <w:i/>
          <w:color w:val="000000"/>
          <w:sz w:val="20"/>
          <w:lang w:val="en-US" w:eastAsia="en-US" w:bidi="ar-SA"/>
        </w:rPr>
        <w:t>Letkeman C.A</w:t>
      </w:r>
      <w:r>
        <w:rPr>
          <w:rFonts w:ascii="arial" w:eastAsia="arial" w:hAnsi="arial" w:cs="arial"/>
          <w:color w:val="000000"/>
          <w:sz w:val="20"/>
          <w:lang w:val="en-US" w:eastAsia="en-US" w:bidi="ar-SA"/>
        </w:rPr>
        <w:t>. where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was an exchange of promises between the plaintiff and the defendant. The defendant promised to transfer to the plaintiff the apartment block in question and the plaintiff in turn promised to pay the defendant a certain sum of money. However, before the plaintiff agreed to carry out his promise he asked the defendant, and the defendant acceded, to make a false representation of fact. The act of making that representation forms part of the consideration supporting the transaction. It must therefore be said that part of the consideration supporting the agreement for sale which the plaintiff now seeks to enforce is unlawful. The effect of that circumstance was to make the entire agreement for sale unlawful and unenforceable the moment it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xml:space="preserve">, Romer L.J. was clearly focused on the transaction as a whole as opposed to evaluating the two individual contracts constituting the transaction. The two contracts in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xml:space="preserve"> included the lease for the flat which provided for payment of a portion of the total rent and a separate agreement under which an additional amount would be paid by the tenant for services. Notwithstanding that these individual agreements did not have an illegal object on their face, Romer L.J. found that they were intended to be used together to defraud the government of tax revenue and the transaction itself was not enforceable. Romer L.J. said at page 188: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 in the present case, it was the formulation of the transaction in a particular way by means of the lease and agreement, and not the subject-matter of the transaction, of which an illegal use was to be made. In one sense, no doubt, it may be said that the plaintiff intended to use only the lease for an unlawful purpose, and not to use, but to conceal, the agreement. In reality there was only one transaction between the parties. The splitting of it up into two documents was a device essential for the success of the plaintiff</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s fraud and both documents must be regarded as equally fraudulent in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page 189: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present case, however, the documents themselves were dangerous in the sense that they could be and were intended to be used for a fraudulent purpose, without alteration, and the splitting of the transaction into the two documents was an overt step in carrying out the fraud. We cannot think that the plaintiff is entitled to bring these documents into a court of justice and ask the Court to assist him in carrying them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The Saskatchewan Court of Appeal decision in </w:t>
      </w:r>
      <w:r>
        <w:rPr>
          <w:rFonts w:ascii="arial" w:eastAsia="arial" w:hAnsi="arial" w:cs="arial"/>
          <w:i/>
          <w:color w:val="000000"/>
          <w:sz w:val="20"/>
          <w:lang w:val="en-US" w:eastAsia="en-US" w:bidi="ar-SA"/>
        </w:rPr>
        <w:t>Thompson v. Biensch</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[1980] 6 W.W.R. 143</w:t>
        </w:r>
      </w:hyperlink>
      <w:r>
        <w:rPr>
          <w:rFonts w:ascii="arial" w:eastAsia="arial" w:hAnsi="arial" w:cs="arial"/>
          <w:color w:val="000000"/>
          <w:sz w:val="20"/>
          <w:lang w:val="en-US" w:eastAsia="en-US" w:bidi="ar-SA"/>
        </w:rPr>
        <w:t xml:space="preserve"> (Sask. C.A.), dealt with a situation involving three interrelated agreements concerning the purchase of cattle: an agreement to purchase, a chattel mortgage and a promissory note. In the course of obtaining bank financing, both the vendor and purchaser made fraudulent misrepresentations in a loan application to the lender regarding the purchase price, breed of the cattle and the amount of a down payment. The agreement to purchase and chattel mortgage both incorrectly stated purchase price and breed of the cattle in order to aid in the deception.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xml:space="preserve">  The Saskatchewan Court of Appeal in </w:t>
      </w:r>
      <w:r>
        <w:rPr>
          <w:rFonts w:ascii="arial" w:eastAsia="arial" w:hAnsi="arial" w:cs="arial"/>
          <w:i/>
          <w:color w:val="000000"/>
          <w:sz w:val="20"/>
          <w:lang w:val="en-US" w:eastAsia="en-US" w:bidi="ar-SA"/>
        </w:rPr>
        <w:t>Thompson</w:t>
      </w:r>
      <w:r>
        <w:rPr>
          <w:rFonts w:ascii="arial" w:eastAsia="arial" w:hAnsi="arial" w:cs="arial"/>
          <w:color w:val="000000"/>
          <w:sz w:val="20"/>
          <w:lang w:val="en-US" w:eastAsia="en-US" w:bidi="ar-SA"/>
        </w:rPr>
        <w:t xml:space="preserve"> refused to assist the vendor who was seeking to enforce just the promissory note, which he had purchased from the lender, and rejected the argument of the plaintiff that the promissory note was a complete instrument which stood on itself and bore no taint of illegality and that the plaintiff was not seeking to rely upon any part of the transaction which bore the taint of illegality. The Saskatchewan Court of Appeal found that all three agreements were interrelated. At paras. 13-14,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considered the authorities referenced by the Purchasers which they say stand for the proposition that absent reliance on an illegal contract the defence of illegal contract/unlawful purposes does not apply. The authorities I find worthy of comment include </w:t>
      </w:r>
      <w:r>
        <w:rPr>
          <w:rFonts w:ascii="arial" w:eastAsia="arial" w:hAnsi="arial" w:cs="arial"/>
          <w:i/>
          <w:color w:val="000000"/>
          <w:sz w:val="20"/>
          <w:lang w:val="en-US" w:eastAsia="en-US" w:bidi="ar-SA"/>
        </w:rPr>
        <w:t>Este v. Esteghamat-Ardakani</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2017 BCSC 878</w:t>
        </w:r>
      </w:hyperlink>
      <w:r>
        <w:rPr>
          <w:rFonts w:ascii="arial" w:eastAsia="arial" w:hAnsi="arial" w:cs="arial"/>
          <w:color w:val="000000"/>
          <w:sz w:val="20"/>
          <w:lang w:val="en-US" w:eastAsia="en-US" w:bidi="ar-SA"/>
        </w:rPr>
        <w:t xml:space="preserve">, aff'd </w:t>
      </w:r>
      <w:hyperlink r:id="rId628" w:history="1">
        <w:r>
          <w:rPr>
            <w:rFonts w:ascii="arial" w:eastAsia="arial" w:hAnsi="arial" w:cs="arial"/>
            <w:i/>
            <w:color w:val="0077CC"/>
            <w:sz w:val="20"/>
            <w:u w:val="single"/>
            <w:shd w:val="clear" w:color="auto" w:fill="FFFFFF"/>
            <w:lang w:val="en-US" w:eastAsia="en-US" w:bidi="ar-SA"/>
          </w:rPr>
          <w:t>2018 BCCA 290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Asfordby Storage and Haulage Ltd. v. Bauer</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[1989] O.J. No. 2614</w:t>
        </w:r>
      </w:hyperlink>
      <w:r>
        <w:rPr>
          <w:rFonts w:ascii="arial" w:eastAsia="arial" w:hAnsi="arial" w:cs="arial"/>
          <w:color w:val="000000"/>
          <w:sz w:val="20"/>
          <w:lang w:val="en-US" w:eastAsia="en-US" w:bidi="ar-SA"/>
        </w:rPr>
        <w:t xml:space="preserve"> (QL); </w:t>
      </w:r>
      <w:r>
        <w:rPr>
          <w:rFonts w:ascii="arial" w:eastAsia="arial" w:hAnsi="arial" w:cs="arial"/>
          <w:i/>
          <w:color w:val="000000"/>
          <w:sz w:val="20"/>
          <w:lang w:val="en-US" w:eastAsia="en-US" w:bidi="ar-SA"/>
        </w:rPr>
        <w:t>Faraguna v. Storoz</w:t>
      </w:r>
      <w:r>
        <w:rPr>
          <w:rFonts w:ascii="arial" w:eastAsia="arial" w:hAnsi="arial" w:cs="arial"/>
          <w:color w:val="000000"/>
          <w:sz w:val="20"/>
          <w:lang w:val="en-US" w:eastAsia="en-US" w:bidi="ar-SA"/>
        </w:rPr>
        <w:t xml:space="preserve">, (unreported, October 15, 1993) No. C910604 (BCSC); </w:t>
      </w:r>
      <w:r>
        <w:rPr>
          <w:rFonts w:ascii="arial" w:eastAsia="arial" w:hAnsi="arial" w:cs="arial"/>
          <w:i/>
          <w:color w:val="000000"/>
          <w:sz w:val="20"/>
          <w:lang w:val="en-US" w:eastAsia="en-US" w:bidi="ar-SA"/>
        </w:rPr>
        <w:t>Kirzinger v. Kalthoff</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(1964), 45 D.L.R. (2d) 144</w:t>
        </w:r>
      </w:hyperlink>
      <w:r>
        <w:rPr>
          <w:rFonts w:ascii="arial" w:eastAsia="arial" w:hAnsi="arial" w:cs="arial"/>
          <w:color w:val="000000"/>
          <w:sz w:val="20"/>
          <w:lang w:val="en-US" w:eastAsia="en-US" w:bidi="ar-SA"/>
        </w:rPr>
        <w:t xml:space="preserve"> (Sask. Q.B.); and </w:t>
      </w:r>
      <w:r>
        <w:rPr>
          <w:rFonts w:ascii="arial" w:eastAsia="arial" w:hAnsi="arial" w:cs="arial"/>
          <w:i/>
          <w:color w:val="000000"/>
          <w:sz w:val="20"/>
          <w:lang w:val="en-US" w:eastAsia="en-US" w:bidi="ar-SA"/>
        </w:rPr>
        <w:t>Insta-Matic Finance Ltd. V. Domansky and Domansky</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[1982] M.J. No. 421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overall agreement is constituted by the purchase contract, the chattel mortgage and the promissory note. These instruments are interrelated, and each is an integral part of the overall agreement. The reference in the chattel mortgage to the promissory note is but one indication of this interrelationship. It follows that each such instrument is tainted with the same illegality and the same quality of unforceability as the overall agreement itself. There is no legal justification for excepting the promissory note from this blanket condemnation. The result is that the principle in </w:t>
      </w:r>
      <w:r>
        <w:rPr>
          <w:rFonts w:ascii="arial" w:eastAsia="arial" w:hAnsi="arial" w:cs="arial"/>
          <w:i/>
          <w:color w:val="000000"/>
          <w:sz w:val="20"/>
          <w:lang w:val="en-US" w:eastAsia="en-US" w:bidi="ar-SA"/>
        </w:rPr>
        <w:t>Alexander v. Rayson</w:t>
      </w:r>
      <w:r>
        <w:rPr>
          <w:rFonts w:ascii="arial" w:eastAsia="arial" w:hAnsi="arial" w:cs="arial"/>
          <w:color w:val="000000"/>
          <w:sz w:val="20"/>
          <w:lang w:val="en-US" w:eastAsia="en-US" w:bidi="ar-SA"/>
        </w:rPr>
        <w:t>, supra, debars Mr. Thompson from maintaining an action to enforce payment on the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Este v. Esteghamat-Ardakani</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2017 BCSC 878</w:t>
        </w:r>
      </w:hyperlink>
      <w:r>
        <w:rPr>
          <w:rFonts w:ascii="arial" w:eastAsia="arial" w:hAnsi="arial" w:cs="arial"/>
          <w:color w:val="000000"/>
          <w:sz w:val="20"/>
          <w:lang w:val="en-US" w:eastAsia="en-US" w:bidi="ar-SA"/>
        </w:rPr>
        <w:t xml:space="preserve">, concerned an appeal from a decision of the trial judge dismissing the plaintiff's claim on the basis it constituted an abuse of process. The plaintiff in </w:t>
      </w:r>
      <w:r>
        <w:rPr>
          <w:rFonts w:ascii="arial" w:eastAsia="arial" w:hAnsi="arial" w:cs="arial"/>
          <w:i/>
          <w:color w:val="000000"/>
          <w:sz w:val="20"/>
          <w:lang w:val="en-US" w:eastAsia="en-US" w:bidi="ar-SA"/>
        </w:rPr>
        <w:t>Este</w:t>
      </w:r>
      <w:r>
        <w:rPr>
          <w:rFonts w:ascii="arial" w:eastAsia="arial" w:hAnsi="arial" w:cs="arial"/>
          <w:color w:val="000000"/>
          <w:sz w:val="20"/>
          <w:lang w:val="en-US" w:eastAsia="en-US" w:bidi="ar-SA"/>
        </w:rPr>
        <w:t xml:space="preserve"> had disavowed beneficial ownership of the assets in an earlier divorce action on the basis that she held the assets in trust for her mother. Later she sued in a separate action asserting beneficial ownership in a separate action. The Court of Appeal upheld the decision of the trial judge and found that it did not need to discuss the decision of the trial judge with respect to the enforceability of illegal bargains. Leave to appeal to the Supreme Court was recently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Este</w:t>
      </w:r>
      <w:r>
        <w:rPr>
          <w:rFonts w:ascii="arial" w:eastAsia="arial" w:hAnsi="arial" w:cs="arial"/>
          <w:color w:val="000000"/>
          <w:sz w:val="20"/>
          <w:lang w:val="en-US" w:eastAsia="en-US" w:bidi="ar-SA"/>
        </w:rPr>
        <w:t xml:space="preserve">, Justice Funt referred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decision of the House of Lords in </w:t>
      </w:r>
      <w:r>
        <w:rPr>
          <w:rFonts w:ascii="arial" w:eastAsia="arial" w:hAnsi="arial" w:cs="arial"/>
          <w:i/>
          <w:color w:val="000000"/>
          <w:sz w:val="20"/>
          <w:lang w:val="en-US" w:eastAsia="en-US" w:bidi="ar-SA"/>
        </w:rPr>
        <w:t>Tinsley v. Milligan</w:t>
      </w:r>
      <w:r>
        <w:rPr>
          <w:rFonts w:ascii="arial" w:eastAsia="arial" w:hAnsi="arial" w:cs="arial"/>
          <w:color w:val="000000"/>
          <w:sz w:val="20"/>
          <w:lang w:val="en-US" w:eastAsia="en-US" w:bidi="ar-SA"/>
        </w:rPr>
        <w:t>, [1993] W.L.R. 126 (H.L.) at 153, where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judgment the time has come to decide clearly that the rule is the same whether a plaintiff founds himself on a legal or equitable title: he is entitled to recover if he is not forced to plead or rely on the illegality, even if it emerges that the title on which he relied was acquired in the course of carrying through an illegal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the court is only entitled and bound to dismiss a claim on the basis that it is founded on an illegality in those cases where the illegality is of a kind which would have provided a good defence if raised by the defendant. In a case where the plaintiff is not seeking to enforce an unlawful contract but founds his case on collateral rights acquired under the contract (such as a right of property) the court is neither bound nor entitled to reject the claim unless the illegality of necessity forms part of the plaintiff</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In my view, the decision in </w:t>
      </w:r>
      <w:r>
        <w:rPr>
          <w:rFonts w:ascii="arial" w:eastAsia="arial" w:hAnsi="arial" w:cs="arial"/>
          <w:i/>
          <w:color w:val="000000"/>
          <w:sz w:val="20"/>
          <w:lang w:val="en-US" w:eastAsia="en-US" w:bidi="ar-SA"/>
        </w:rPr>
        <w:t>Este</w:t>
      </w:r>
      <w:r>
        <w:rPr>
          <w:rFonts w:ascii="arial" w:eastAsia="arial" w:hAnsi="arial" w:cs="arial"/>
          <w:color w:val="000000"/>
          <w:sz w:val="20"/>
          <w:lang w:val="en-US" w:eastAsia="en-US" w:bidi="ar-SA"/>
        </w:rPr>
        <w:t xml:space="preserve"> was founded on a finding of abuse of process and the referenced reasoning in </w:t>
      </w:r>
      <w:r>
        <w:rPr>
          <w:rFonts w:ascii="arial" w:eastAsia="arial" w:hAnsi="arial" w:cs="arial"/>
          <w:i/>
          <w:color w:val="000000"/>
          <w:sz w:val="20"/>
          <w:lang w:val="en-US" w:eastAsia="en-US" w:bidi="ar-SA"/>
        </w:rPr>
        <w:t>Tinsley</w:t>
      </w:r>
      <w:r>
        <w:rPr>
          <w:rFonts w:ascii="arial" w:eastAsia="arial" w:hAnsi="arial" w:cs="arial"/>
          <w:color w:val="000000"/>
          <w:sz w:val="20"/>
          <w:lang w:val="en-US" w:eastAsia="en-US" w:bidi="ar-SA"/>
        </w:rPr>
        <w:t xml:space="preserve"> does not assist. I note as well that it does not appear that Justice Funt was taken to the decision which I consider is applicable to the case before me - </w:t>
      </w:r>
      <w:r>
        <w:rPr>
          <w:rFonts w:ascii="arial" w:eastAsia="arial" w:hAnsi="arial" w:cs="arial"/>
          <w:i/>
          <w:color w:val="000000"/>
          <w:sz w:val="20"/>
          <w:lang w:val="en-US" w:eastAsia="en-US" w:bidi="ar-SA"/>
        </w:rPr>
        <w:t>Letkeman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Asfordby Storage and Haulage Ltd. v. Bauer</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[1989] O.J. No. 2614</w:t>
        </w:r>
      </w:hyperlink>
      <w:r>
        <w:rPr>
          <w:rFonts w:ascii="arial" w:eastAsia="arial" w:hAnsi="arial" w:cs="arial"/>
          <w:color w:val="000000"/>
          <w:sz w:val="20"/>
          <w:lang w:val="en-US" w:eastAsia="en-US" w:bidi="ar-SA"/>
        </w:rPr>
        <w:t xml:space="preserve"> (QL) (H. Ct. J.), the plaintiff sought to enforce a contract for consignment sale of heavy equipment shipped from the UK to Canada. Both parties later engaged in illegal activity including understating the value of equipment brought into Canada to save on import duties and rolling back mileage and hours of service. In rejecting the defence of illegality, the Court found that the "illegality of the misrepresented fair market value or of the rollback occurred in a collateral mechanism or activity engaged in by both parties subsequent to the making of the contract and is </w:t>
      </w:r>
      <w:r>
        <w:rPr>
          <w:rFonts w:ascii="arial" w:eastAsia="arial" w:hAnsi="arial" w:cs="arial"/>
          <w:color w:val="000000"/>
          <w:sz w:val="20"/>
          <w:u w:val="single"/>
          <w:lang w:val="en-US" w:eastAsia="en-US" w:bidi="ar-SA"/>
        </w:rPr>
        <w:t>not a part of the contract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Reading the decision in </w:t>
      </w:r>
      <w:r>
        <w:rPr>
          <w:rFonts w:ascii="arial" w:eastAsia="arial" w:hAnsi="arial" w:cs="arial"/>
          <w:i/>
          <w:color w:val="000000"/>
          <w:sz w:val="20"/>
          <w:lang w:val="en-US" w:eastAsia="en-US" w:bidi="ar-SA"/>
        </w:rPr>
        <w:t>Asfordby</w:t>
      </w:r>
      <w:r>
        <w:rPr>
          <w:rFonts w:ascii="arial" w:eastAsia="arial" w:hAnsi="arial" w:cs="arial"/>
          <w:color w:val="000000"/>
          <w:sz w:val="20"/>
          <w:lang w:val="en-US" w:eastAsia="en-US" w:bidi="ar-SA"/>
        </w:rPr>
        <w:t xml:space="preserve"> in its entirety, it is clear that the court was heavily influenced by the fact that the plaintiff, although it had participated in unlawful conduct, was not as culpable as the defendant who had sought to defraud the plaintiff in numerous ways. In addition, as set out in the above excerpt, the court found that the illegal activity in question was not facilitated by, or a component of, the contract sought to be upheld. I do not consider that the decision in </w:t>
      </w:r>
      <w:r>
        <w:rPr>
          <w:rFonts w:ascii="arial" w:eastAsia="arial" w:hAnsi="arial" w:cs="arial"/>
          <w:i/>
          <w:color w:val="000000"/>
          <w:sz w:val="20"/>
          <w:lang w:val="en-US" w:eastAsia="en-US" w:bidi="ar-SA"/>
        </w:rPr>
        <w:t>Asfordby</w:t>
      </w:r>
      <w:r>
        <w:rPr>
          <w:rFonts w:ascii="arial" w:eastAsia="arial" w:hAnsi="arial" w:cs="arial"/>
          <w:color w:val="000000"/>
          <w:sz w:val="20"/>
          <w:lang w:val="en-US" w:eastAsia="en-US" w:bidi="ar-SA"/>
        </w:rPr>
        <w:t xml:space="preserve"> assists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Faraguna v. Storoz</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[1993] B.C.J. No. 2114</w:t>
        </w:r>
      </w:hyperlink>
      <w:r>
        <w:rPr>
          <w:rFonts w:ascii="arial" w:eastAsia="arial" w:hAnsi="arial" w:cs="arial"/>
          <w:color w:val="000000"/>
          <w:sz w:val="20"/>
          <w:lang w:val="en-US" w:eastAsia="en-US" w:bidi="ar-SA"/>
        </w:rPr>
        <w:t>, the petitioners sought to recover the balance owing on an agreement for sale of real property. The dispute centered around a claim for funds held in trust in Court after a subsequent sale of a home. Two interim agreements existed including one for a price of $285,000. Sometime after the execution of that first agreement, the respondent asked the petitioners to change the price to $199,000 to reduce the tax payable on the transfer and a backdated document to this effect was created and signed. The Court concluded that the parties intended the transfer documents to mislead the tax authorities. The Court refused to enforce the balance of the petitioners</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loan that was founded on the false purchase price of $199,000, the price in the sham transaction. However, the Court concluded that the situation was different with the agreement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Faraguna</w:t>
      </w:r>
      <w:r>
        <w:rPr>
          <w:rFonts w:ascii="arial" w:eastAsia="arial" w:hAnsi="arial" w:cs="arial"/>
          <w:color w:val="000000"/>
          <w:sz w:val="20"/>
          <w:lang w:val="en-US" w:eastAsia="en-US" w:bidi="ar-SA"/>
        </w:rPr>
        <w:t xml:space="preserve"> at para. 28 cited the decision in </w:t>
      </w:r>
      <w:r>
        <w:rPr>
          <w:rFonts w:ascii="arial" w:eastAsia="arial" w:hAnsi="arial" w:cs="arial"/>
          <w:i/>
          <w:color w:val="000000"/>
          <w:sz w:val="20"/>
          <w:lang w:val="en-US" w:eastAsia="en-US" w:bidi="ar-SA"/>
        </w:rPr>
        <w:t>Letkeman</w:t>
      </w:r>
      <w:r>
        <w:rPr>
          <w:rFonts w:ascii="arial" w:eastAsia="arial" w:hAnsi="arial" w:cs="arial"/>
          <w:color w:val="000000"/>
          <w:sz w:val="20"/>
          <w:lang w:val="en-US" w:eastAsia="en-US" w:bidi="ar-SA"/>
        </w:rPr>
        <w:t xml:space="preserve"> for a limited purpose finding that "the court generally refuses to interfere as between two dishonest persons". The decision in </w:t>
      </w:r>
      <w:r>
        <w:rPr>
          <w:rFonts w:ascii="arial" w:eastAsia="arial" w:hAnsi="arial" w:cs="arial"/>
          <w:i/>
          <w:color w:val="000000"/>
          <w:sz w:val="20"/>
          <w:lang w:val="en-US" w:eastAsia="en-US" w:bidi="ar-SA"/>
        </w:rPr>
        <w:t>Faraguna</w:t>
      </w:r>
      <w:r>
        <w:rPr>
          <w:rFonts w:ascii="arial" w:eastAsia="arial" w:hAnsi="arial" w:cs="arial"/>
          <w:color w:val="000000"/>
          <w:sz w:val="20"/>
          <w:lang w:val="en-US" w:eastAsia="en-US" w:bidi="ar-SA"/>
        </w:rPr>
        <w:t xml:space="preserve"> does not displace a finding that a party cannot seek to enforce a transaction which is tainted by illegality.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Kirzinger v. Kalthoff</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(1964), 45 D.L.R. (2d) 144</w:t>
        </w:r>
      </w:hyperlink>
      <w:r>
        <w:rPr>
          <w:rFonts w:ascii="arial" w:eastAsia="arial" w:hAnsi="arial" w:cs="arial"/>
          <w:color w:val="000000"/>
          <w:sz w:val="20"/>
          <w:lang w:val="en-US" w:eastAsia="en-US" w:bidi="ar-SA"/>
        </w:rPr>
        <w:t xml:space="preserve"> (Sask. Q.B.), Saskatchewan Court of the Queen's Bench found that a series share purchases that occurred three years earlier which violated securities legislation did not form part of the transaction for a loan agreement. Likewise, in </w:t>
      </w:r>
      <w:r>
        <w:rPr>
          <w:rFonts w:ascii="arial" w:eastAsia="arial" w:hAnsi="arial" w:cs="arial"/>
          <w:i/>
          <w:color w:val="000000"/>
          <w:sz w:val="20"/>
          <w:lang w:val="en-US" w:eastAsia="en-US" w:bidi="ar-SA"/>
        </w:rPr>
        <w:t>Insta-Matic Finance Ltd. v. Domansky and Domansky</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[1982] M.J. No. 421</w:t>
        </w:r>
      </w:hyperlink>
      <w:r>
        <w:rPr>
          <w:rFonts w:ascii="arial" w:eastAsia="arial" w:hAnsi="arial" w:cs="arial"/>
          <w:color w:val="000000"/>
          <w:sz w:val="20"/>
          <w:lang w:val="en-US" w:eastAsia="en-US" w:bidi="ar-SA"/>
        </w:rPr>
        <w:t>, there were two separate transactions: one between the purchasers and vendor and one between the purchasers and a bank. The purchaser and vendor had misstated that a down payment was in cash rather than in the form of a promissory note. The court held that the loan agreement between the purchasers and the bank formed a separate transaction and did not taint the contract to pay money back under the promissory note to the vendor. In both of those cases, the court found that the impugned agreements did not form part of the transaction sought to be enforced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In my view, the reasoning in </w:t>
      </w:r>
      <w:r>
        <w:rPr>
          <w:rFonts w:ascii="arial" w:eastAsia="arial" w:hAnsi="arial" w:cs="arial"/>
          <w:i/>
          <w:color w:val="000000"/>
          <w:sz w:val="20"/>
          <w:lang w:val="en-US" w:eastAsia="en-US" w:bidi="ar-SA"/>
        </w:rPr>
        <w:t>Letkeman</w:t>
      </w:r>
      <w:r>
        <w:rPr>
          <w:rFonts w:ascii="arial" w:eastAsia="arial" w:hAnsi="arial" w:cs="arial"/>
          <w:color w:val="000000"/>
          <w:sz w:val="20"/>
          <w:lang w:val="en-US" w:eastAsia="en-US" w:bidi="ar-SA"/>
        </w:rPr>
        <w:t xml:space="preserve"> and the decision on which that reasoning is founded,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apply to this case. Some relevant principles set out in those decisions to be considered in applying an unlawful purposes defence, include the following:</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to do an act that is illegal or immoral or contrary to public policy, or to do any act for a consideration that is illegal, immoral or contrary to public policy, is unlawful and therefore void.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unlawful act or purpose can be against anyone, including non-parties to the original contract or transaction.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agreement is unobjectionable on the face of it but where the intention of both or one of the parties is that the object shall be used for an unlawful purpose, any party to the agreement who had the unlawful intention is precluded from suing upon it.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unlawful purpose, it is appropriate to look at a transaction as a whole rather than focusing on the legality of individual component contracts which give effect to the transaction. That is, individual contracts which on their own do not demonstrate an unlawful purpose may be unenforceable if they are designed to be used together for purposes of carrying out an unlawful act.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part of the consideration supporting the agreement sought to be enforced is unlawful, the effect of that circumstance will make the entire agreement unlawful and unenforceable from the moment it was entered into.</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matter that the unlawful act is frustrated or has failed before being carried out.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on Unlawful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 will first review each of elements which the Vendors contend comprise the transaction at issue in this case and provide my findings with respect to whether they were designed, as is alleged, for an unlawful purpose.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Rent Reduction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 Vendors contend that the Purchasers intentionally drafted the Brentwood Agreement with the separate Rent Reduction Schedule to enable a deception of potential lenders that the lease-back revenue the Purchasers would earn from the Vendors after closing was more than it actually was, in order to support their applications for financing. That is, the Rent Reduction Schedule could simply be removed from the Brentwood Agreement creating the false impression that the Purchasers would be earning approximately $500,000 more per year from the Vendors in lease-back revenue than was actually provided for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As set out in the background facts, the initial version of the Rent Reduction Schedule was drafted as a separately numbered schedule to the September 2011 Offer, dated September 26, 2011. It was drafted by Kevin Hien as a result of Jeong Lee's request for a reduction in the rent proposed in the offer, from 5.5% to 3.5% for the Brentwood property and 3.3% to 2% for the Maple Ridge Property. The September 26, 2011 rent reduction schedule granted Jeong Lee an option to reduce rents for these properties on giving three months notice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After Allen Liu requested that the purchase of the Brentwood and Maple Ridge properties be divided into two agreements, this rent reduction option was carried through into the Brentwood Agreement - again as the separate schedule of the same date (i.e. the Rent Reduction Schedule). The Maple Ridge Agreement simply included the agreed upon rent for that property which was fixed at 10% of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In my view, the granting of an option to reduce the lease-back rent for the Brentwood property on three month's notice is an odd construct. The obvious question is, why would any tenant not take this option up? In addition, why was the option to reduce rent maintained in a separate schedule given that the parties had already agreed that Jeong Lee could reduce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Allen Liu sought to provide an explanation at trial. During his direct examination, he testified that the notice requirement was inserted as he was still in discussions with Jeong Lee regarding vendor financing. I take his evidence to mean that he might have backed out of the deal if Jeong Lee had exercised the rent reduction option before the subject removal date (originally set for November 2011 and later extended to January 2012) and vendor financing arrangements for an amount satisfactory to him had not been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Allen Liu initially testified that the three month notice requirement was Jeong Lee's idea. On cross-examination, he admitted that the notice period might have been his idea but maintained that it was part of a negotiation between him and Jeong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Kevin Hien's evidence was that there were no discussions regarding vendor financing between Allen Liu and Jeong Lee until November 2011, which was after the Brentwood Agreement and Rent Reduction Schedule were signed. The documentary evidence is consistent with this evidence and shows that discussions regarding vendor financing did not start until around November 3, 2011. Jeong Lee was not questioned about any discussions occurring in September or early October 2011 regarding vendor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In my view, Allen Liu's explanation regarding why the agreement allowing Jeong Lee to pay less rent for the Brentwood property was included as a separate schedule to the Brentwood Agreement and as an option is not credible. There is no evidence establishing that the reason why this agreement was styled as a rent reduction option was because Allen Liu was negotiating with Jeong Lee regarding vendor financing in September or early October 2011. The evidence establishes that negotiations did not commence until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 have not been provided with a satisfactory explanation as to why the rent reduction option was not incorporated into the main body of the Brentwood Agreement rather than being created as a separately page numbered, stand-alone document. In closing argument, the Purchasers suggested that this was simply a "muddle" resulting from inexperience on the part of Kevin Hien, who simply repeated the same format that has been used in the September 25 offer. I give little weight to this argument. In my view, it would have been simpler to incorporate the reduced rent provision into the main body of the Brentwood Agreement rather than draft a separate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Allen Liu's explanation regarding on-going discussions with Jeong Lee regarding vendor financing does not make sense - even if I was to accept that these discussions had occurred before the Brentwood Agreement was signed in mid-October 2011. If Allen Liu had genuinely felt that the actual leaseback rent for the Brentwood Property could impact the amount of vendor financing he would require from Jeong Lee at the time that the Brentwood Agreement was signed, why did he not simply make successful negotiation of the leaseback rent and vendor financing amount as one of his subject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 find that the only logical conclusion is that the Rent Reduction Schedule was prepared as a separate document to allow Allen Liu to conceal it and thereby artificially inflate the revenue for the Brentwood property in the minds of lenders. The evidence establishes that this is precisely what Allen Liu did. I will deal with that evidence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Brentwood Agreement with the separate Rent Reduction Schedule was not therefore a benign document. It was purposefully designed in a way that it could be used to mislead. This design was repeated in the Brentwood Lease and Lease Addendum finalized just a few weeks later.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Lease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evidence establishes that Allen Liu was motivated to conclude the lease agreements for the Brentwood and Maple Ridge properties shortly after the Purchase Agreements were signed. This is demonstrated by Kevin Hien's email of November 14, 2011, in which he, seemingly under some pressure to complete the leases, emailed Jeong Lee and advised him that Allen Liu's bank had asked to see the leasing contracts so that they could finalize and submit his financing application package to their head office. Allen Liu was clearly asking for the lease documentation to be completed quickly so that he could use it to arrange for, or at least investigate, financing. There was no other reason to finalize leases at this time given that the closing was not set to take place until December 19, 2012, over one year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Kevin Hien initially sent a draft lease which showed annual rent for the Brentwood property of $1.58 million - which was equivalent to the 5.5% lease-back rate which Jeong Lee had already rejected. Jeong Lee, seemingly in an effort to ensure that he was not committing to pay the higher rent, suggested that the parties execute two leases: one showing the $1.58 million amount and a separate lease showing the reduced "option rent" of $1.008 million. Kevin Hien advised Jeong Lee that it did not make sense to have two leases for different values. Instead of revising the draft lease that he had provided to incorporate the rent reduction the parties has previously agreed to, Kevin Hien prepared the separate Lease Addendum modifying the rent clause in the main body of the Brentwood Lease by reducing the rent to $1.008 million. Both the Brentwood Lease and Lease Addendum were signed on the same day, November 18,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At trial, Allen Liu denied having any input into the way that the Brentwood Lease and Lease Addendum were structured. I find it hard to believe that Allen Liu had no role in deciding how these documents were drafted. The leases for the Brentwood and Maple Ridge properties were worth millions of dollars over their terms and the value of those leases would clearly have been a factor for lenders considering providing financing to Allen Liu. Allen Liu's evidence that he did not pay attention to how the leases were drafted is not in accord with business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Similar to my findings regarding the Rent Reduction Schedule to the Brentwood Agreement, I see no innocent explanation for why Kevin Hien drafted the Lease Addendum rather than as I have already suggested he could have done, modifying the version of the draft of the Brentwood Lease that he had already prepared to incorporate the lower rent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 also note, as was the case with the Rent Reduction Schedule, that the Lease Addendum was separately page numbered. This was the third time that a conveniently separate, standalone document dealing with a rent for the Brentwood property was prepared - first, the rent reduction schedule attached to the September 2011 Offer and then the Rent Reduction Schedule attached to the Brentwood Agreement and, finally, the Lease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Again, the only logical conclusion is that the Lease Addendum was prepared as a separate document to allow Allen Liu to mislead lenders. In my view, it was prepared as a separately numbered document so that it could be removed from any materials Allen Liu sent to lenders regarding the Brentwood lease-back arrangements. Again, there is evidence that Allen Liu, his employees or agents used the lease documents in this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False Purchase and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A significant amount of time at trial was spent dealing with evidence regarding the creation of the False Purchase and Sale Agreement. This agreement was referred to by Allen Liu in a number of different ways at trial, including "first offer", "recreated contract", "nullified contract", or "letter of intent". The intended and actual use of the False Purchase and Sale Agreement is a key element in the Vendors' argument with respect to unlawful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The Purchasers sought to prove the following at trial: there was an initial offer made to purchase the Brentwood property for $38.8 million made in early September 2011 (i.e. the Alleged First Offer) which was encapsulated within the Letter of Intent; a copy of the Letter of Intent was not retained; the False Purchase and Sale Agreement was prepared to respond to a request made by Youyi China for the original offer/agreement; Allen Liu did not misrepresent the price for the Brentwood property but told Youyi China that the agreed upon purchase price had been negotiated down from $38.8 million to $28.8 million; and that Allen Liu had no part in a reference to a $10 million deposit being included in the False Purchase and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Vendors contend that the False Purchase and Sale Agreement was prepared solely for the purpose of inducing Youyi China to contribute towards the cost of purchasing the Brentwood property based on an inflated purchase price of $38.8 million and a deposit of $10 million having been made by Allen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 will first review the evidence and make necessary findings of fact with respect to the Alleged First Offer and Letter of Intent and then the evidence concerning the drafting and purpose of the False Purchase Agreement.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Was there a $38.8 million first offer to purchase the Brentwood property set out in a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Jeong Lee denies that he ever received the Alleged First Offer - being an offer to purchase the Brentwood property on its own for $38.8 million. He says that the first offer made by the Purchasers was the offer to purchase both the Maple Ridge and Brentwood properties for $32 million presented by Neil Wong and Kevin Hien on September 25, 2011, the September 2011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 find the evidence of Allen Liu and Kevin Hien with respect to the Alleged First Offer to purchase the Brentwood property for $38.8 million and the preparation of a Letter of Intent to be false. As I will expand on below, the evidence leads me to conclude that the Alleged First Offer and Letter of Intent never existed and evidence in this respect was fabricated by Allen Liu and Kevin Hien to mask Allen Liu's attempts to mislead Youyi China and perhaps other investors.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No Corroborating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There are no documents to corroborate the testimony of Allen Liu and Kevin Hien that there was an initial offer to purchase the Brentwood property for $38.8 million documented in a Letter of Intent prepared in early September 2011. That is, there are no relevant notes, emails, letters, telephone or cell phone records, draft agreements or other such documents between Kevin Hien and the Purchasers or the Vendors or between Kevin Hien and other members of the Franga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only documentary evidence I was taken to showing any engagement between Kevin Hien or any other member of the Franga Group and any potential purchase of the Brentwood and Maple Ridge properties in early September is an email dated September 8, 2011 from Kevin Hien to Neil Wong. In this email, Kevin Hien attached the marketing brochure for the Brentwood and Maple Ridge properties. His email indicated that the document was for a Mr. Tai. During cross-examination, Kevin Hien testified that he couldn't recall who Mr. Tai was but that he may have been a potential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first documented communication between Allen Liu and Kevin Hien is Kevin Hien's September 13, 2011 email attaching zoning information and marketing brochures for the Brentwood and Maple Ridge Properties. Telephone records produced at trial indicate that their first telephone communication was also on this date. The first documented communication between Allen Liu and any of his other advisors regarding the Brentwood property is the September 23, 2011 email from John Pan with Studio One Architects providing preliminary zoning and other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Kevin Hien testified that he met with Allen Liu and handwrote the Letter of Intent on a blank form which he carried in his briefcase. Despite the fact that this was the biggest property transaction he had ever worked on, Kevin Hien did not go back to his office after he had met with Allen Liu and write up the offer using the on-line WEBForms document platform maintained by the Canadian Real Estate Association (CREA) and did not make copies of the hand written document he claims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Kevin Hien's evidence at trial was inconsistent with his examination for discovery evidence with respect whether an electronic version of the Letter of Intent existed. When he was asked at his examination for discovery what specific efforts he had taken to locate the Letter of Intent, he said that he had looked through his computer "to see if anything I sent through email and from the web form". When asked if there was a typewritten date on the original $38.8 million offer, Kevin Hien said "I can't recall". On cross-examination, Kevin Hien agreed that he would never have looked in his WEBForms account if the document had been handwritten.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Vendors called Jean-François Thivièrge with CREA to provide evidence with respect to activity in Kevin Hien's WEBForms account. The evidence of Mr. Thivièrge establishes that no documents relevant to the sale of the Maple Ridge and Brentwood properties were created in Kevin Hien's WEBForms account prior to September 25, 2011. There were a number of documents created on September 25 including a Listing Agreements signed by Jeong Lee, a Limited Dual Agency Agreement signed by Jeong Lee and Allen Liu and a signed Working with a Realtor form. This evidence is consistent with the first offer being the September 2011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Kevin Hien and Allen Liu testified that there were substantial negotiations back and forth related to the Letter of Intent. Hien says that changes were marked on the Letter of Intent and initialed. Again, there are no notes, emails, draft documents or records of telephone calls corroborating this back and forth. I find it completely unbelievable that Kevin Hien, an experienced real estate agent, would not have kept a copy of drafts, notes or any other documentary evidence concerning the negotiation leading to the Alleged First Offer and preparation of the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 have already found that Kevin Hien carried a notebook in which he recorded information related to this property transaction. He did not produce his notebook at trial and I conclude that the reason he did not do so was because the information it contained would not be helpful to his case - and in particular because it did not contain notes with respect to the Alleged First Offer or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In addition, no documents created between early September and September 25, 2011, were produced corroborating Allen Liu's evidence with respect the alleged due diligence he carried out on the Brentwood property. This includes a lack of evidence regarding his alleged conversation with John Pan with Studio One Architects regarding the Brentwood property prior to September 23, 2011. I have already found that Allen Liu first contacted Studio One after he received Kevin Hien's September 22, 2011 email forwarding zoning information for the Brentwood property and a marketing brochure.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Despite Allen Liu's evidence that he had been in contact with Youyi China regarding the Brentwood property purchase opportunity in early September 2011, he did not produce copies of any correspondence with them during this period or call any witnesses from this company. Although Allen Liu provided a vague explanation at trial that he did not keep copies of correspondence exchanged on his phone, which I assume would include text messages or emails, I do not consider this explanation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At trial, Allen Liu provided a surprising explanation regarding why he did not keep a copy of the Letter of Intent. He claimed that it was not his practice to keep "nullified" agreements. This is quite startling evidence given the obvious importance of keeping an earlier, cancelled offer to purchase the Brentwood property for $10 million more than the price ultimately agreed upon. Allen Liu had kept documents regarding at least one other unsuccessful property acquisition relating to an earlier effort to purchase a property located at 5695 Lougheed Highway.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Inconsistencies and Inaccuracies in Evidence Concerning the Alleged First Offer/Letter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 evidence of Allen Liu and Kevin Hien with respect to the nature of an alleged early September 2011 Offer changed over time and was not consistent with the pleadings they filed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pleadings of the Purchasers and the Hien defendants, filed in response to the Vendors' counterclaim filed in June 2013, both state that a $38.8 million contract to purchase the Brentwood property had been accepted by Jeong Lee but was later cancelled after Allen Liu had conducted some due diligence on the Brentwood property. The Purchasers' and Hien defendants' pleadings do not refer to a draft agreement or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Allen Liu maintained his position that an agreement to purchase the Brentwood property for $38.8 million had been concluded in his affidavit sworn December 10, 2013, which was filed in opposition to the Vendors' application to remove the CPL registered against the Brentwood property. He swore as follows: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early September, he asked Kevin Hien to present Jeong Lee with an offer, which was defined in his affidavit as a "Prior Contract", to purchase the Brentwood property for the full price that it was being marketed for sale, which was $38.8 million, through his company Pacific Success.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during his due diligence on the Brentwood property he learned "that the Brentwood Property had been listed for sale for a year" and that the best offers Jeong Lee had received were between $24 and $26 million.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"Mr. Lee and I, through our companies, entered into the Prior Contract for the purchase of the Brentwood Property for $38.8 Million. </w:t>
      </w:r>
      <w:r>
        <w:rPr>
          <w:rFonts w:ascii="arial" w:eastAsia="arial" w:hAnsi="arial" w:cs="arial"/>
          <w:color w:val="000000"/>
          <w:sz w:val="20"/>
          <w:u w:val="single"/>
          <w:lang w:val="en-US" w:eastAsia="en-US" w:bidi="ar-SA"/>
        </w:rPr>
        <w:t>While the Prior Contract had been in place</w:t>
      </w:r>
      <w:r>
        <w:rPr>
          <w:rFonts w:ascii="arial" w:eastAsia="arial" w:hAnsi="arial" w:cs="arial"/>
          <w:color w:val="000000"/>
          <w:sz w:val="20"/>
          <w:lang w:val="en-US" w:eastAsia="en-US" w:bidi="ar-SA"/>
        </w:rPr>
        <w:t>, I had discussions with potential partners in China about investing in the development of the property. I had explained to these potential investors that I had the Brentwood Property under contract for $38.8 Million."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what Jeong Lee had alleged in his affidavit was a "false contract" that the document prepared was not a false contract but was prepared to document the "fact that we had previously </w:t>
      </w:r>
      <w:r>
        <w:rPr>
          <w:rFonts w:ascii="arial" w:eastAsia="arial" w:hAnsi="arial" w:cs="arial"/>
          <w:color w:val="000000"/>
          <w:sz w:val="20"/>
          <w:u w:val="single"/>
          <w:lang w:val="en-US" w:eastAsia="en-US" w:bidi="ar-SA"/>
        </w:rPr>
        <w:t>entered into an agreement</w:t>
      </w:r>
      <w:r>
        <w:rPr>
          <w:rFonts w:ascii="arial" w:eastAsia="arial" w:hAnsi="arial" w:cs="arial"/>
          <w:color w:val="000000"/>
          <w:sz w:val="20"/>
          <w:lang w:val="en-US" w:eastAsia="en-US" w:bidi="ar-SA"/>
        </w:rPr>
        <w:t xml:space="preserve"> to purchase the Brentwood Property for $38.8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Allen Liu's affidavit evidence was false in several respects. His affidavit evidence that the Brentwood property had previously been marketed for over a year and that Jeong Lee had only received offers of between $24 and $26 million was false. There was no evidence adduced at trial demonstrating that the Brentwood property had been listed previously and there is no evidence of previous offers. Jeong Lee denied that the Brentwood property had previously been marketed for sale and that any other offers had been made. In addition, Allen Liu's affidavit evidence that Pacific Success had made an offer to purchase the Brentwood property in early September was false. This company was not incorporated until September 27,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Again, there is no independent evidence establishing that Allen Liu had conversations with Youyi China or any other Chinese investors with respect to the Alleged First Offer between early September and September 25, 2011, when the $32 million offer to purchase both the Brentwood and Maple Ridge properties (that is, the September 2011 Offer) was made. I do not believe that any such conversations took place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In Kevin Hien's December 10, 2013 affidavit, he was very specific about an Alleged First Offer, which he described as an "Initial Offer", and the subsequent cancellation of this offer. He swore as follows:</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presented the alleged Initial Offer in early September 2011 and that Jeong Lee agreed to the terms of the Initial Offer and signed it.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or about the middle of September 2011, Allen Liu told him that there were some problems that could impact the development potential of the Brentwood property including peat, silt, and a Class A fish bearing stream.</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prepared an addendum to the Initial Offer in mid-September 2011, which both parties signed, cancelling the Initial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By the time of their examinations for discovery, the affidavit evidence of both Allen Liu and Kevin Hien regarding whether a $38.8 million offer had been accepted had changed. Their evidence at discovery, which they repeated at trial, was that the parties had been negotiating the terms of the $38.8 million purchase but these negotiations were not finalized. It was only during his examination for discovery that Allen Liu began to refer to what he had previously described in his December 2013 affidavit as a "prior contract", as a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With respect to Kevin Hien's affidavit evidence that Allen Liu told him that there were issues related to soil conditions and a stream on the Brentwood property, I find this evidence to be false. I have already found that Allen Liu did not engage in discussions with Studio One Architects concerning the Brentwood property until on or just prior to September 23, 2011. John Pan's email of that date is the first document in evidence referring to any land use issues related to the presence of a creek. Eventually, during his testimony at trial, Allen Liu admitted that he did not learn about the creek until on or about September 23,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With respect to Kevin Hien's affidavit evidence that he drafted an addendum cancelling what he referred to as the original offer, he recanted that evidence at trial during cross-examination and was forced to acknowledge that this evidence was not true. His explanation was that "[t]he original September 6th offer was cancelled, and I don't think that there was a document, like something like this, to cancel that offer because it was an offer. It was not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pause to address the submissions of Purchasers that the inconsistencies between Allen Liu's affidavit and subsequent discovery and trial evidence result from language issues. The Purchasers submit that the language in Allen Liu's affidavit, referring to a "prior contract" or "agreement", should be viewed in light of his cultural background and unfamiliarity with the English language. The Purchasers contend that when Allen Liu used the words "prior contract" and "agreement" in his affidavit, he really meant a non-binding letter of intent or offer. I do not consider that this argument has merit. Allen Liu is a sophisticated business person who is familiar with real estate matters and I believe he knows the difference between an offer and an agreement. He was represented by experienced counsel when he swore his affidavit and I expect that they would have, or at least should have, carefully reviewed his affidavit with him before he signed 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Kevin Hien's Account of Submitting the Alleged First Offer to Jeong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During direct examination, Kevin Hien testified that within a few days of finalizing the hand written Letter of Intent which was signed by Allen Liu, he went to see Jeong Lee at Brentwood Lanes to present the offer. Even though he had just received a $38.8 million for the Brentwood property (recall that the Brentwood and Maple Ridge Properties were being marketed together for a total price of $39.9 million), he did not immediately call or email Jeong Lee to tell them this startling good news.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Kevin Hien testified that he did not mention the existence of the Alleged First Offer or Letter of Intent to any of his Franga teammates, including his old friend Gary Chow. His explanation was that he was concerned that they might try to find an alternate buyer. Despite this alleged earlier concern, Kevin Hien did bring Neil Wong with him on September 26 when he presented the September 2011 Offer to purchase both the Brentwood and Maple Ridge properties for a combined price of $32 million. Kevin Hien's explanation for bringing Neil Wong along when this alleged second offer was made was that he thought that Jeong Lee would be unhappy about a $10 million reduction in the offered price and that Neil Wong's presence would help soften the blow. The evidence of Kevin Hien and Neil Wong indicates that there was no discussion at the meeting with Jeong Lee about the Alleged First Offer. As I have already stated, Jeong Lee denies that a $38.8 million offer was ever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Kevin Hien also testified during his direct examination that he brought Working with a Realtor, Limited Dual Agency and Listing Agreement forms to the meeting with Jeong Lee when the Alleged First Offer was made. After he was recalled as a witness by counsel for the Vendors, which was after Mr. Thivièrge was called as a witness and provided evidence suggesting that Kevin Hien had not accessed these forms from his CREA WEBForms account, Kevin Hien changed his evidence claiming that he left only a blank Working with a Realtor form with Jeong Lee but did not get a copy back. There is no evidence that Kevin Hien ever sought Jeong Lee's signature on a Working with a Realtor form or Listing Agreement after the Alleged First Offer was made.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Allen Liu's Evidence Regarding Withdrawal of the Alleged $38.8 million offer/Letter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Allen Liu's evidence is that he moved from an offer to purchase only the Brentwood property, made in early September 2011, to an offer to purchase both the Brentwood and Maple Ridge properties, made on September 26, because Jeong Lee suddenly insisted on selling the properties as a package. This testimony is not supported the evidence adduced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testimony of Jeong Lee, members of the Franga Group and the documentary evidence establishes that starting in May 2011, the Franga Group was authorized to market all four of the Lee's bowling centers for $45 million. It was only in or around July 2011 that Jeong Lee was convinced to consider selling the Maple Ridge and Brentwood properties separately, which he insisted had to be sold a package, and the Franga Group began to market both the properties for a combined price of $39.9 million. There is no evidence that Jeong Lee ever considered selling the Brentwood property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As well, Allen Liu did not satisfactorily explain at trial why he would have made an offer to purchase the Brentwood property alone for $38.8 million when he admitted that he knew both of the properties were being marketed for a combined price of $39.9 million. His explanation was that the Alleged First Offer set out in the Letter of Intent was never intended to be binding but was really just the start of his investigation into the property. This does not explain why the Alleged First Offer for the Brentwood property was so high, relative to the asking price for both the Brentwood and Maple Ridge properties. Allen Liu's explanation at trial, which is that he made a $38.8 offer because it was a lucky number, is not credible.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Alleged Use of the Letter of Intent in</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Preparing the September 2011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Kevin Hien's evidence during his direct examination at trial was that he used the Letter of Intent as a template or precedent in preparing the September 2011 Offer. He testified that during a meeting with Allen Liu he went through the terms of the Letter of Intent that Allen Liu wanted to incorporate into the September 2011 Offer. At trial, his counsel took him to a number of terms in the September 2011 Offer one by one and he confirmed which of those terms he recalled were also in the alleged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When taken to the typed clause in the September 2011 Offer dealing with a sellers warranty regarding zoning for both the Brentwood and Maple Ridge Properties, Kevin Hien testified that that the typed terms were taken from the "initial offer". There were other clauses which referred to both the Brentwood and Maple Ridge properties that Kevin Hien says were taken from the initial offer and inserted into the September 2011 Offer. Even on Kevin Hien and Allen Liu's evidence, this could not have been the case. The alleged Letter of Intent only concerned the purchase of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Kevin Hien testified that after meeting with Allen Liu on September 25, 2011 he went away and typed up the September 2011 Offer using an electronic form on his WEBForms account. If this were true, he would have to have taken the one and only copy of the alleged Letter of Intent from Allen Liu to use in transferring the numerous clauses he testified were included in it over to the new agreement. Given Kevin Hien's evidence that he did not retain a copy of the Letter of Intent, he must have returned the original to Allen Liu - again, without making a copy for his files. I find this sequence of events difficult to believe.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Summary of Findings Regarding the Alleged First Offer and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 accept the evidence of Jeong Lee that the first offer he received from Allen Liu was the September 2011 Offer delivered by Kevin Hien on Allen Liu's behalf on September 26,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As I have already stated, I find the evidence of Kevin Hien and Allen Liu with respect to the making of the Alleged First Offer incorporated into the Letter of Intent in early September 2011 to be a complete fabrication. A summary of my reasons for making this finding are as follows: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documents to corroborate their story that there was an initial offer to purchase the Brentwood property for $38.8 million made in early September 2011 or at all.</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Hien's evidence that the Letter of Intent was hand written belies logic. In addition, his evidence from his examination for discovery that he searched for copies of the Letter of Intent on his computer when Allen Liu asked for one in October 2011 is inconsistent with his evidence at trial that the document was hand-written and that he didn't keep a copy. It is possible that the hand-written Letter of Intent story was concocted after Kevin Hien realized, shortly before trial, that his CREA WEBForms account did not contain any record of an electronic version of the Letter of Intent.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Hien's testimony that after receiving a signed copy of the Letter of Intent from Allen Liu he waited a couple days before he went to present the offer to Jeong Lee and did not call or email him before they met to tell him about this startling good news, is not believable.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Hien's testimony that he never told any of his Franga Group partners about the alleged $38.8 million offer for the Brentwood property because he was concerned that they might try to, in effect, scoop the sale is not is not believable.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Hien's evidence that after some back and forth with Jeong Lee, which resulted in Jeong Lee marking up the Letter of Intent, he provided the one and only copy of the marked up version of the Letter of Intent to Allen Liu and did not bother to keep a copy is not believable. I do not accept that an experienced realtor working on the largest deal of his life would not make and retain copies of such an important document and preserve notes regarding any negotiations.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Hien's evidence regarding the use of the one and only copy of the Letter of Intent as a precedent in drafting the September 2011 Offer and then returning it to Allen Liu without making a copy is not credible.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Allen Liu's evidence that he disposed of the Letter of Intent some time between September 28 and early November 2011 is not believable given the obvious significance of the alleged $38.8 million offer. I find that his testimony that it was not his practice to keep "nullified agreements" to be completely contrary to any reasonable business practice and therefore not credible.</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Hien failure to produce copies of extracts from his notebook for the relevant period of time, September 2011, leads to an inference that such evidence would not assist in proving that there was a negotiation leading to a $38.8 million offer for the Brentwood property or a renegotiation of that offer-price down to $28.8 million.</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credible evidence explaining why Allen Liu would have initially offered to purchase the Brentwood property only for $38.8 million in early September 2011 when the evidence establishes that both the Brentwood and Maple Ridge properties were being marketed together for a combined price of $39.9 million.</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documents or independent evidence supporting Allen Liu's testimony that he started due diligence on the Brentwood property or that he had discussed purchase of the property with Youyi China, in early September 2011. The first communication between Allen Liu and anyone regarding the Brentwood property (other than receiving property information from Kevin Hien on September 13 and 22, 2011) is the email from John Pan with Studio One Architects dated September 23, 2011 - two days before the September 2011 Offer was drafted.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logical reason for Allen Liu's communication with Studio One on September 23, 2011, is that he first became genuinely interested in the Brentwood property after he received the RM5s zoning information from Kevin Hien on September 22, 2011.</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my finding that Allen Liu did not communicate with Studio One until September 23, 2011, Allen Liu and Kevin Hien's explanation that Liu abandoned the $38.8 million offer some time earlier (in early September) because of concerns about a creek on the Brentwood Property is not credible. I consider that this evidence was manufactured after the fact. I do not believe that Allen Liu was aware of any issues regarding a creek on the Brentwood property until at the earliest, September 23, 2011.</w:t>
      </w:r>
    </w:p>
    <w:p>
      <w:pPr>
        <w:numPr>
          <w:numId w:val="9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credible explanation for Kevin Hien's and Allen Liu's change of the position taken in their pleadings and affidavits, which was that there was a "Prior Contract" made in early September 2011 to purchase the Brentwood property that was subsequently cancelled and renegotiated, to their evidence at discovery and trial, that there was only a $38.8 million offer and an inchoate letter of intent. In my view, it is likely that this change resulted from their realization (after Jeong Lee swore an affidavit in 2013) that the False Purchase and Sale Agreement had been drafted on a form which did not exist until November 2011.</w:t>
      </w:r>
    </w:p>
    <w:p>
      <w:pPr>
        <w:numPr>
          <w:numId w:val="9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documentation of any sort supporting the evidence of Kevin Hien and Allen Liu that there were negotiations back and forth regarding the Letter of Intent prior to the September 2011 Offer being made.</w:t>
      </w:r>
    </w:p>
    <w:p>
      <w:pPr>
        <w:numPr>
          <w:numId w:val="9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that the timing of Allen Liu's first meeting with Kevin Hien, the timing of when he asked Studio One to conduct due diligence regarding the Brentwood property is directly relevant to the question of when the alleged $38.8 million offer was made. Allen Liu's failure to call John Pan and Audrey Zhao as witnesses at trial justifies an adverse inference that evidence from those two persons would not support his evidence regarding the $38.8 million offer.</w:t>
      </w:r>
    </w:p>
    <w:p>
      <w:pPr>
        <w:numPr>
          <w:numId w:val="9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with respect to Allen Liu's evidence that he had told Youyi China that he had the Brentwood property under contract in early September, his failure to call any representative from that company, including his friend Mr. Du, also justifies an adverse inference that Mr. Du's evidence would not support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With respect to a motive for Allen Liu and Kevin Hien to fabricate evidence with respect to a $38.8 million offer, although it is not necessary for a motive to be established in order for me to find that they lied about this offer, I will make some comments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 believe that Allen Liu fabricated this fantastic story in an effort to justify the creation of the False Purchase and Sale Agreement - which was clearly designed to mislead lenders, investors or assignees. Kevin Hien supported the fabrication because he had to explain why he, as a realtor who should have known better, was intimately involved in the creation of this fraudulent document.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Summary of Findings Regarding the False Purchase and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As set out in the background section, the False Purchase and Sale Agreement and termination schedule were prepared by Kevin Hien in November 2011 at the request of Allen Liu. The False Purchase and Sale Agreement showed a purchase price for the Brentwood property of $38.8 million and stated that a $10 million deposit had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 make the following findings with respect to the evidence of Allen Liu, Kevin Hien and Jeong Lee on this issue:</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Allen Liu's affidavit evidence, sworn in December 2013, that he asked Kevin Hien for a copy of the "Prior Contract" so that he could show Youyi China that he had been successful in negotiating a lower price for the Brentwood Property was false.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Allen Liu's later examination for discovery evidence that the False Purchase and Sale Agreement had been created solely because "the other party [Youyi China] wanted me to provide a $40 million contract" was false.</w:t>
      </w:r>
    </w:p>
    <w:p>
      <w:pPr>
        <w:numPr>
          <w:numId w:val="9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Allen Liu's testimony at trial that during a visit to China in early October 2011, Youyi China asked for a copy of "the $38.8 million contract" was false.</w:t>
      </w:r>
    </w:p>
    <w:p>
      <w:pPr>
        <w:numPr>
          <w:numId w:val="9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Hien's testimony at trial that the False Purchase and Sale Agreement was prepared because Allen Liu wanted to demonstrate that he was a good negotiator and, in particular, to show that he had negotiated the price for the Brentwood property down from $38.8 million to $28 million was false - at least to the extent that an offer of $38.8 million was ever actually made.</w:t>
      </w:r>
    </w:p>
    <w:p>
      <w:pPr>
        <w:numPr>
          <w:numId w:val="9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Allen Liu's evidence that he contacted Kevin Hien from China some time prior to his return to Canada on October 13, 2011, to ask if he could prepare a recreation of the earlier agreement was false. I find that Kevin Hien did not start drafting the False Purchase and Sale Agreement until November 2011 - which is the month printed on the bottom of the form he used to prepare this document.</w:t>
      </w:r>
    </w:p>
    <w:p>
      <w:pPr>
        <w:numPr>
          <w:numId w:val="9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Allen Liu did provide a copy of the False Purchase and Sale Agreement to Youyi China in late December 2011 and that he probably told Youyi China that the purchase price for the Brentwood property was $38.8 million.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Allen Liu did not provide Youyi China with a copy of the document purporting to terminate the False Purchase and Sale Agreement. His evidence at trial was that he did not remember if he had done so.</w:t>
      </w:r>
    </w:p>
    <w:p>
      <w:pPr>
        <w:numPr>
          <w:numId w:val="10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reject Allen Liu's evidence that he told his friend Shan Jing Du, the CEO of Youyi China, that the actual purchase price for the Brentwood property was $28.8 million. Again, Allen Liu did not call Mr. Du or any witness from Youyi China to corroborate this evidence. I can only conclude that Purchasers did not do so because their evidence would not support Allen Liu's testimony that they had requested a copy a $38.8 million offer and that he had told Mr. Du that the actual purchase price for the Brentwood property was $28.8 million. Allen Liu's credibility has been so badly shaken that I simply can not believe any of his evidence regarding discussions with Youyi China.</w:t>
      </w:r>
    </w:p>
    <w:p>
      <w:pPr>
        <w:numPr>
          <w:numId w:val="10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Jeong Lee's evidence that he was told that Allen Liu wanted the False Purchase and Sale Agreement to try to demonstrate that he was a good negotiator. I consider it likely that Jeong Lee knew that Allen Liu intended to use the False Purchase and Sale Agreement to mislead Youyi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The alleged </w:t>
      </w:r>
      <w:r>
        <w:rPr>
          <w:rFonts w:ascii="arial" w:eastAsia="arial" w:hAnsi="arial" w:cs="arial"/>
          <w:i/>
          <w:color w:val="000000"/>
          <w:sz w:val="20"/>
          <w:lang w:val="en-US" w:eastAsia="en-US" w:bidi="ar-SA"/>
        </w:rPr>
        <w:t>raison d'être</w:t>
      </w:r>
      <w:r>
        <w:rPr>
          <w:rFonts w:ascii="arial" w:eastAsia="arial" w:hAnsi="arial" w:cs="arial"/>
          <w:color w:val="000000"/>
          <w:sz w:val="20"/>
          <w:lang w:val="en-US" w:eastAsia="en-US" w:bidi="ar-SA"/>
        </w:rPr>
        <w:t xml:space="preserve"> for the preparation of the False Purchase and Sale Agreement is really a house of cards. The foundation of this house of cards has already been eliminated as a result of my finding that the Alleged First Offer and Letter of Intent to purchase the Brentwood property for $38.8 million never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 explanation of Allen Liu that the False Purchase and Sale Agreement was simply an attempt to memorialize the terms of an earlier offer is clearly false. The upper floors of the house of cards also 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Even if an offer to purchase the Brentwood property for $38.8 million had been made, which I have found is not the case, there is no credible explanation why the False Purchase and Sale Agreement was drafted as a concluded agreement (including being signed and back-dated) or why the fiction was continued with the creation of an equally false termination schedule.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Conclusion Regarding the Intended Unlawful Purposes of the False Purchase and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The False Purchase and Sale Agreement was intentionally misleading in two material respects. First, it showed a price of $38.8 million for the Brentwood property, which was $10 million more than the price set out in the Brentwood Agreement. It also showed that a $10 million deposit had been made, which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With respect to the $10 million deposit, Allen Liu testified at trial that he had no idea why the False Purchase and Sale Agreement contained a reference to a $10 million deposit. He admitted that even the alleged lost Letter of Intent did not include a deposit for that amount. He suggested that he had not noticed the $10 million deposit clause in the False Purchase and Sale Agreement, stating only that "I didn't look at all the specific terms in that document" and "[a]nything before the completion date had nothing to do with my cooperation with the Chinese side". He also sought to shift responsibility for the insertion of the misleading $10 million deposit clause to Kevin Hien. Kevin Hien denied that he was responsible for the $10 million deposit clause. I do not believe Allen Liu's evidence with respect to the $10 million deposit reference in the False Purchase and Sale Agreement and find that he must have instructed Kevin Hien to insert this deposit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The Purchasers contend that the False Purchase and Sale Agreement is a collateral matter unrelated to the enforceability of the Brentwood Agreement. In support of that contention, the Purchasers submit that that Allen Liu did not require a financial contribution from Youyi China in order to close and, therefore, a finding that the False Purchase and Sale Agreement was designed to commit a fraud on Youyi China is not supportable.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The issue of whether Allen Liu expected Youyi China to contribute towards the purchase price for the Brentwood property in the fall of 2011 is relevant to the question of whether the False Purchase and Sale Agreement was intended to be used for an unlawful purpose - being to wrongfully induce Youyi China to contribute more money than was warranted to purchase an interest in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Allen Liu's evidence regarding whether he was counting on Youyi China to contribute towards the purchase price of the Brentwood property changed from the start of this litigation through trial. In his December 2013 affidavit, he swore that after the alleged early September "Prior Contract" had been entered into, he had discussions with a potential Chinese investor about investing in the development of the property. During his examination for discovery, he stated that he intended to use funds from Youyi China to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Allen Liu's testimony at trial, suggesting that he was not relying on a contribution from Youyi China, is not supported by other evidence. In particular, I note the following:</w:t>
      </w:r>
      <w:r>
        <w:rPr>
          <w:rFonts w:ascii="arial" w:eastAsia="arial" w:hAnsi="arial" w:cs="arial"/>
          <w:sz w:val="20"/>
          <w:lang w:val="en-US" w:eastAsia="en-US" w:bidi="ar-SA"/>
        </w:rPr>
        <w:cr/>
      </w:r>
    </w:p>
    <w:p>
      <w:pPr>
        <w:numPr>
          <w:numId w:val="10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October 2011, Allen Liu incorporated Youyi in Canada, a company with the same name as the potential investor Youyi China;</w:t>
      </w:r>
    </w:p>
    <w:p>
      <w:pPr>
        <w:numPr>
          <w:numId w:val="10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Allen Liu had a number of meetings with Youyi China in the latter part of 2011 and first half of 2012 with respect to the Brentwood property;</w:t>
      </w:r>
    </w:p>
    <w:p>
      <w:pPr>
        <w:numPr>
          <w:numId w:val="10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representatives of Youyi China came to British Columbia in June 2012 specifically for the purpose of evaluating an investment in this property and it was only in July 2012 that they formally terminated a joint venture agreement with Allen Liu's company;</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Hien wrote Allen Liu on October 26, 2012, inquiring about his consideration of changing the name of Youyi given that there was "no longer any cooperation with the China Youyi Group"; and</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Purchasers' efforts to obtain the financing necessary to close on the purchase of the Brentwood and Maple Ridge Properties did not start in earnest until August 2012 - after the joint venture agreement with Youyi China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 reject Allen Liu's evidence and find that Allen Liu was seeking to secure a contribution towards the purchase price of the Brentwood property from Youyi China until at least July 2012 and perhaps as late as October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In my view, the logical conclusion to be made is that the False Purchase and Sale Agreement was prepared in order to induce Youyi China to contribute towards the purchase of the Brentwood property based on false information with respect to the purchase price and the amount of the deposit paid by the Purchasers for this property. Accordingly, I find that the False Purchase and Sale Agreement was prepared for an unlawful purpose - being to defraud Youyi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I pause to note that there is another possible reason for the preparation of the False Purchase and Sale Agreement which I have considered. It is possible that Youyi China's Mr. Du was informed that the actual purchase price for the Brentwood property was $28.8 million and not $38.8 million and that he requested the preparation of the False Purchase and Sale Agreement to somehow facilitate the movement of more funds than were required out of China to Canada. If this was the case, it would make no difference as the False Purchase and Sale Agreement would still have been prepared for an unlawful purpose - being to evade the currency control laws of China. Again, Mr. Du or another representative of Youyi China who could have provided relevant evidence were not called to testify at trial and accordingly, it is not possible to determine if this was the reason that the False Purchase and Sale Agreement was created.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Were the Purchase Agreements or Agreements or Documents Related to the Purchase Agreements Used to Mislead lenders, appraisers, investors and potential assignees?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The Vendors submit that the evidence establishes that the Brentwood Agreement and ancillary documents and the False Purchase and Sale Agreement were not simply designed to be used by the Purchasers to mislead a number of other parties including appraisers, lenders and joint venture partners or assignees, but that they were actually used for this purpose. They submit that this constitutes unlawful conduct which taints the transaction and further justifies a finding that the Purchase Agreements are not enforceable. I agree.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Incorrect Purchase Price Information Used to Mislead Appraisers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The Vendors contend that Eric Pan, who prepared both the December 2011 Profitability Report and the June 2012 Appraisal, was provided with an incorrect $38.8 million purchase price by Allen Liu's architect, Jim Wong with Studio One, in December 2011 and that Allen Liu repeated this misinformation during a meeting with representatives from Youyi China at Studio One's offices in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It is not contested that in December 2011 Eric Pan was told by Jim Wong with Studio One that the Brentwood property had been purchased for $38.8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Allen Liu denied that he confirmed to Eric Pan that the purchase price for the Brentwood property was $38.8 million during the June 2012 meeting at Studio One's offices. He testified that he could not recall if he had even been at the June 2012 meeting. I find it hard to believe that Allen Liu would not have been at this meeting, and would have sent only his employee Francis Zheng, given that his friend Mr. Du was in Vancouver specifically to investigate participating in what would be a very expensive development of the Brentwood property. I accept Eric Pan's evidence that Allen Liu was at this meeting and that at the meeting he falsely confirmed that the purchase price for the Brentwood property was $38.8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During his direct examination at trial, Francis Zheng testified that after the Purchasers had received Eric Pan's June 2012 Appraisal (which referred to the incorrect purchase price of $38.8 million), he called Eric Pan at Allen Liu's request to let him know that the actual purchase price was lower and that Eric Pan was shocked. Eric Pan denied that this conversation ever took place. I do not accept Francis Zheng's evidence that he called Eric Pan sometime after June 2012 and told him that the purchase price for the Brentwood property was not $38.8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The evidence establishes that Eric Pan first became aware that the purchase price for the Brentwood property was not $38.8 million after he received a telephone call from the president of Realtech in November 2012 advising him that the price was actually $28.8 million. Eric Pan testified that he did not understand why he and Realtech had been provided with different pricing information and that this resulted in further inquiries. Within a few days, Allen Liu's mortgage broker Paul Kang called and advised him that the price for the Brentwood property had been negotiated down from $38.8 million to $28.8 million. This was, of course, not true. The evidence establishes that Paul Kang was provided this false story regarding a renegotiated purchase price by Francis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Eric Pan relied, at least in part, on incorrect information provided to him regarding a $38.8 million purchase price for Brentwood property in completing the December 2011 Profitability Report and the June 2011 Appraisal. Accordingly, the basis for his profitability assessment and appraisal was incorrect. Eric Pan was also not provided with a copy of the Zoning Warranty, which may also have influenced his estimate of the market value of the Brentwood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find that Allen Liu or his employee Francis Zheng either knew or should have known that Eric Pan was either misinformed or had not been provided with complete information regarding the sale price and development restriction on the Brentwood property and therefore knew that the Pan reports were flawed. Nonetheless, Allen Liu or his agents used these reports in its efforts to obtain financing and to attract potential partners, investors or assignees.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Documents Used to Mislead Potential Lenders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The Vendors submit that Allen Liu intentionally failed to provide a number of parties (including Tina Mu who was assisting him with financing arrangements from Canadian Western Bank and Paul Kang who was engaged to assist with obtaining financing from Trez and Realtech) with the Rent Reduction Schedule or the Lease Addendum because he did not want lenders to know that the lease-back rent was approximately $500,000 lower than was shown on the main pages of the Brentwood Agreement and the Brentwood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The evidence establishes that Tina Mu was not provided with a copy of the Rent Reduction Schedule or the Lease Addendum and was never told about the actual rent for the Brentwood property. I do not believe that the Rent Reduction Schedule or Lease Addendum were ever provided to CWB or Realtech. Trez was not provided with a copy of the Lease Addendum from the Purchasers until December 6, 2012, which was two days after the Purchasers' solicitors had received the Termination Letter accusing the Purchasers of mortgage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At trial, Allen Liu denied that the Lease Addendum was only provided to Trez Capital on December 6 after he became aware that the Vendors had alleged mortgage fraud as a basis for terminating the Purchase Agreements and denied that this was done in an effort to, in my words, sanitize the inappropriate withholding of complete information regarding the lease-back rent to be earned from the Brentwood property. I do not find Allen Liu's evidence in this respect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I conclude that the Rent Reduction Schedule and Lease Addendum were intentionally withheld by Allen Liu or his employee Frances Zheng from the Purchasers' mortgage brokers Tina Mu and Paul Kang and as a result from potential lenders. I conclude that this was done to create the impression that the lease-back rent the Purchasers were to receive from the Vendors for the Brentwood property was higher than it was. It was only after the Purchasers became aware that they were being accused of misleading lenders by the Vendors on December 4, 2012, that they provided Trez with the correct information regarding the lease-back rent for the Brentwood property.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Documents Used to Mislead Potential Partners and Assignees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I have already found that Allen Liu provided the False Purchase and Sale Agreement to Youyi China to mislead them with respect to the true purchase price of and deposit made for, the Brentwood property. I also find that the Purchasers provided false or misleading information to their agents - who in turn passed this information on to potential partners or assignees.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The evidence establishes that Susan Wu, a realtor, was working with Allen Liu regarding a potential assignment of the Brentwood Agreement or a joint venture arrangement. In September 2012, Allen Liu authorized Susan Wu to provide a copy of the False Purchase and Sale Agreement to a potential assignee/joint venture partner and did not advise her at any time that the actual purchase price for the Brentwood property was $28.8 million and not $38.8 million. His explanation at trial that he only provided the False Purchase and Sale Agreement to allow Susan Wu to extract certain property information does not ring true. Why did he not simply provide her with the Brentwood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 do not accept Allen Liu's evidence that Susan Wu was aware that the False Purchase and Sale Agreement had been terminated or "nullified" or was told the actual purchase price for the Brentwood property was $28.8 million. I accept Ms. Wu's evidence that she only became aware that the purchase price for Brentwood was $28.8 million, at or shortly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The evidence establishes that Allen Liu did not advise that the purchase price for the Brentwood property was not $38.8 million during any meetings with potential assignees or joint venture partners. Only one of the potential assignees/joint venture partners, LedMac, was notified through correspondence from the Purchasers' counsel sent November 15, 2012, that the true purchase price for this property was $28.8 million after they had repeatedly asked the Purchasers to provide a copy of the Brentwood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Allen Liu's evidence at trial was that he never seriously considered assigning the Brentwood agreement and that Susan Wu was acting on her own initiative to bring him assignment proposals. I do not accept Allen Liu's evidence in this respect which I find is inconsistent with both the evidence of Susan Wu and with the documentary evidence. As set out in the background facts, the Purchasers were clearly engaged in assignment discussions with both Peter Balomenos' client and with LedMac through Susan Wu.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The Vendors submit that it is not clear whether Allen Liu ever had a genuine intention to assign the Brentwood Agreement or to enter into a joint venture agreement prior to the closing of the Brentwood property sale. They concede that he could not have expected to conclude a deal with LedMac based on the assignment offer made by LedMac in October 2012, as that offer was based on incorrect pricing and rental revenue information, which LedMac would have certainly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 agree with the submissions of the Vendors that Allen Liu was likely trying to keep "all his balls in the air" in that he was pursuing a number of options simultaneously, especially after Youyi China withdrew its interest in the Brentwood property some time around July 2012. These options included obtaining traditional financing from banks, secondary financing through Trez or Realtech, seeking contribution from a joint venture partner or potentially a straight-out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Allen Liu's evidence that he was not considering an assignment but only wanted to find a joint venture partner was false and may have been provided to mislead the court with respect to some of the facts relevant to the Purchasers' claim in this proceeding for specific performance. In my view, it is more likely than not that Allen Liu sought to distance himself from his efforts to investigate an assignment as this conflicted with his evidence at trial regarding his interest in developing the Brentwood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Related Illegal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The Vendors contend that the Purchasers carried out a number of related actions designed to deceive lenders with respect to their earnings, assets and the amount of the deposit paid on the Brentwood property - all of which was designed to assist in their efforts to obtain financing for the purchase of the Brentwood and Maple Ridge properties. In addition, the Vendors contend that the Purchasers intentionally withheld the Zoning Warranty from potential lenders, joint venture partners or assignees to mislead them with respect to the development potential of the Brentwood property and, therefore,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The Purchasers contend that these issues are collateral attacks on the character and credibility of the witnesses that are not relevant to the matters which must be legally proved for the determination of this case. They submit, relying on the decision of the British Columbia Court of Appeal in </w:t>
      </w:r>
      <w:r>
        <w:rPr>
          <w:rFonts w:ascii="arial" w:eastAsia="arial" w:hAnsi="arial" w:cs="arial"/>
          <w:i/>
          <w:color w:val="000000"/>
          <w:sz w:val="20"/>
          <w:lang w:val="en-US" w:eastAsia="en-US" w:bidi="ar-SA"/>
        </w:rPr>
        <w:t>Dahl v. South Coast British Columbia Transportation Authority</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2018 BCCA 184</w:t>
        </w:r>
      </w:hyperlink>
      <w:r>
        <w:rPr>
          <w:rFonts w:ascii="arial" w:eastAsia="arial" w:hAnsi="arial" w:cs="arial"/>
          <w:color w:val="000000"/>
          <w:sz w:val="20"/>
          <w:lang w:val="en-US" w:eastAsia="en-US" w:bidi="ar-SA"/>
        </w:rPr>
        <w:t xml:space="preserve">, that it would be a legal error to consider evidence with respect to the other actions. In </w:t>
      </w:r>
      <w:r>
        <w:rPr>
          <w:rFonts w:ascii="arial" w:eastAsia="arial" w:hAnsi="arial" w:cs="arial"/>
          <w:i/>
          <w:color w:val="000000"/>
          <w:sz w:val="20"/>
          <w:lang w:val="en-US" w:eastAsia="en-US" w:bidi="ar-SA"/>
        </w:rPr>
        <w:t>Dahl</w:t>
      </w:r>
      <w:r>
        <w:rPr>
          <w:rFonts w:ascii="arial" w:eastAsia="arial" w:hAnsi="arial" w:cs="arial"/>
          <w:color w:val="000000"/>
          <w:sz w:val="20"/>
          <w:lang w:val="en-US" w:eastAsia="en-US" w:bidi="ar-SA"/>
        </w:rPr>
        <w:t xml:space="preserve"> at para. 15, the Court of Appeal found that it was an error to admit evidence regarding collateral facts solely for the purpose of impugning credibility and that to be admissible collateral facts must be relevant to a substantive or material issue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xml:space="preserve">  In my view, some of the evidence concerning these related actions is relevant to the material issue of whether the transaction was intended to be used for an unlawful purpose when viewed as a whole. The material issues in this case are not so narrow as to constrain the evidence to only that related to the Purchase Agreements themselves. Accordingly, I consider that the evidence presented regarding the related illegal actions does not offend the collateral fact rule described in </w:t>
      </w:r>
      <w:r>
        <w:rPr>
          <w:rFonts w:ascii="arial" w:eastAsia="arial" w:hAnsi="arial" w:cs="arial"/>
          <w:i/>
          <w:color w:val="000000"/>
          <w:sz w:val="20"/>
          <w:lang w:val="en-US" w:eastAsia="en-US" w:bidi="ar-SA"/>
        </w:rPr>
        <w:t>Dahl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 also agree with the Vendors that as the admissibility of the relevant evidence was not raised by the purchasers during the trial, it would be unfairly prejudicial to exclude this evidence now as the Vendors may have pursued different lines of questioning or sought to adduce different evidence if an objection had been raised.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Deception regarding Rainflower Restaurant lease and restaurant management company share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The Vendors contend that the Purchasers deliberately provided false information to potential lenders, including Trez and Realtech, regarding the rental revenue earned by Allen Liu's company DHI from leading its No. 3 Road property, which is the location of the Rainflower Restaurant. They say that this was accomplished through a sham share sale transaction in November 6, 2012, and a sham lease agreement dated November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 Vendors say that the purpose of these sham agreements was to give the false impression that, first, Allen Liu had sold the Rainflower Restaurant business to an arms-length third party and, second, that this company had entered a lease with Allen Liu's company for the No. 3 Road property under which they would pay annual rent of $480,000 per year. The Vendors say that these alleged arrangements, including rental income of $480,000 per year, were a fiction.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I find on the evidence, that the Vendors' theory is probably correct. Nonetheless, in my view these deceptions are collateral to the transaction at issue in this litigation. Although they involve steps taken by the Purchasers to obtain necessary funds to purchase the Brentwood property, they do not involve the use of or reliance on the Purchase Agreements or related agreements. Accordingly, I do not find that they taints the Purchase Agreements in a way that it makes those agreements unenforceable.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Deception Regarding Cash-on-Hand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The Vendors submit that the Purchasers deliberately misrepresented the amount of cash they had on hand in order to induce CWB to provide financing. In particular, the Vendors submit that in November 2012, the Purchasers essentially "kited" funds between different accounts to create the false impression that Allen Liu had approximately $12 million in cash-on-hand. CWB had agreed to lend $1.6 million for purchase of the Maple Ridge Property but required that Allen Liu (or the Purchasers) demonstrate that he had $12 million in cash as a condition of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I find that in a bold and frankly amateurish scheme, Allen Liu or agents acting on his behalf, transferred funds between bank accounts for the purpose of misleading CWB into believing that Allen Liu had over $12 million deposited in Canadian banks when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I do not believe Allen Liu's testimony that he was unaware that his assistant Frances Zheng had been providing misleading bank balance information to the Purchasers' mortgage broker Tina Mu. Francis Zheng did not have the authority to carry out the inter-bank transfers necessary to complete this scheme which I do not believe could have been done without Allen Liu's direct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Although this scheme is reprehensible in my view, I find that it is collateral to the lawfulness of the transaction at issue. Accordingly, I do not find that it taints the Purchase Agreements in a way that it makes those agreements unenforceable.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False Deposit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The Vendors contend that in the remarkably brazen False Deposit Scheme, in which Kevin Hien was intimately involved, the Purchasers planned to mislead lenders and others with respect to the amount of equity that they were able to contribute towards the purchase of the Brentwood property. In particular the Vendors say that Purchasers attempted to carry out steps to create the false impression that Allen Liu had paid an additional $8 million deposit toward the purchase price for this property in an effort to support their applications for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Earlier in my reasons, I referenced relevant email correspondence from Kevin Hien to Jeong Lee dated November 15 and 21, 2012, setting out the procedure and rationale for the False Deposit Scheme (see paragraph 72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xml:space="preserve">  Allen Liu's evidence regarding the reason for False Deposit Scheme has changed over time. In correspondence from his counsel dated December 7, 2012, sent in response to the Termination Letter, Purchasers' counsel stated that the $8 million deposit had nothing to do with financing and resulted from an attempt by Kevin Hien to increase the deposits paid by the Purchasers to firm up the deal. In their Response to Counterclaim, the Purchasers plead that in or about October 2012, Jeong Lee requested an increase in the deposits paid for the Maple Ridge and Brentwood properties. In his December 2013 affidavit, Allen Liu swore that he and Jeong Lee had come to an </w:t>
      </w:r>
      <w:r>
        <w:rPr>
          <w:rFonts w:ascii="arial" w:eastAsia="arial" w:hAnsi="arial" w:cs="arial"/>
          <w:color w:val="000000"/>
          <w:sz w:val="20"/>
          <w:u w:val="single"/>
          <w:lang w:val="en-US" w:eastAsia="en-US" w:bidi="ar-SA"/>
        </w:rPr>
        <w:t>agreement</w:t>
      </w:r>
      <w:r>
        <w:rPr>
          <w:rFonts w:ascii="arial" w:eastAsia="arial" w:hAnsi="arial" w:cs="arial"/>
          <w:color w:val="000000"/>
          <w:sz w:val="20"/>
          <w:lang w:val="en-US" w:eastAsia="en-US" w:bidi="ar-SA"/>
        </w:rPr>
        <w:t xml:space="preserve"> regarding a modified VTB arrangement under which the $8 million would be paid by Allen Liu and loaned back to him by Jeong Lee and that they had toasted to this structure at a dinner meeting at the Rainflower restaurant in Richmond. None of this was true. At trial, the Purchasers conceded that there was no agreement with respect to a modified VTB arrangement involving an $8 million deposit and vendor loan but rather this was something that the parties had simply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I find that the Purchasers had concocted the False Deposit Scheme in or about November 2012, which was intended to work as follows: the Purchasers would provide a $4 million payment to the Vendors; the Vendors would provide a "receipt" for $4 million and then return the $4 million amount to the Purchasers; using the funds they had just received back, the Purchasers would pay the Vendors another $4 million in exchange for another $4 million receipt; the Vendors would again return the $4 million back to the Purchasers; and, after the Purchasers obtained financing to purchase of the Brentwood property by relying in part on the fictitious additional $8 million in equity, the Vendor would be provided with $8 million in mortgage security over other properties owned by Allen Liu or his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The November 15 and 21, 2012 emails of Kevin Hien make it clear that Allen Liu intended to carry out the False Deposit Scheme in order to mislead lenders into believing that he had contributed $8 million more in equity towards the purchase of the Brentwood property than he in fact had. In total, it would have allowed the Purchasers to represent that they had contributed a total of $12 million in equity toward the purchase of the Brentwood and Maple Ridge properties, when they had not done so in fact. This scheme was never put into effect only because Jeong Lee refused to go along with it and ultimately sought to terminate the Purchase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In addition, although the False Deposit Scheme was not carried out, the evidence establishes that other parties were provided incorrect information regarding the payment of an $8 million deposit for the Brentwood Property by Francis Zheng, which I consider must have been done on the instructions of Allen Liu. On November 15, 2012, Purchasers' legal counsel advised the potential joint-venture partner/assignee LedMac that an $8 million deposit had been paid in respect of the Brentwood property. Allen Liu's mortgage broker, Paul Kang, was told and advised the potential lender Realtech that an $8 million deposit had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Unlike the efforts to mislead lenders by providing false information regarding the No. 3 Road Lease and the amount of cash Allen Liu had on hand, I consider that the False Deposit Scheme arose from or is connected to the contractual obligations between the Purchasers and Vendors in the Brentwood Agreement. It was an attempt by the Purchasers to have Jeong Lee participate in this scheme, ostensibly in satisfaction of the Vendors' commitment to provide vendor financing (as set out in the Brentwood Agreement and Letters of Commitment concerning vendor financing) and therefore forms part of the transaction at issue. As is clearly set out in Kevin Hien's emails, this scheme was designed to hide the fact that the Purchasers planned to obtain $8 million in vendor financing and to mask the fact that they were providing second mortgages on some of their other properties to the Vendors - which if known, may have impacted their ability to obtain financing. The scheme was unlawful and taints the entire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xml:space="preserve">  Even if I am wrong and the False Deposit Scheme does not give rise to a defence of unlawful purposes, Allen Liu's evidence on the scheme has an impact on my overall assessment of his credibility. My additional findings with respect to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of Allen Liu's evidence on the false deposit scheme are as follows: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accept Allen Liu's evidence that he did not provide Kevin Hien with the information set out in Hien's emails dated November 15 and 21, 2012 setting out the intended deception of Allen Liu's lenders or did not discuss his financing arrangements with Hien (as Allen Liu alleged). It is simply not credible that Kevin Hien would have concocted the detailed rationale for the False Deposit Scheme on his own, as was suggested by Allen Liu at trial. The documentary evidence establishes that Kevin Hien was in discussions with Allen Liu regarding the deposit scheme during this time. I find that Allen Liu was seeking to deflect criticism for what was clearly a scheme designed to deceive lenders.</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Allen Liu's evidence in his affidavit sworn December 10, 2013, that he had provided two deposit cheques (totalling $8 million) to Kevin Hien to be provided one at a time to Jeong Lee was false. The only documentary evidence at trial is that one bank draft for $4 million was prepared by the Purchasers' bank, which was never accepted by Jeong Lee. As well, the $4 million bank draft is dated November 19, 2012, which was four days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Allen Liu's solicitors informed LedMac that an $8 million deposit had been paid. Allen Liu's evidence initially suggesting that he had written two cheques, which he later changed to having provided authorizations to his staff to issue deposit cheques to Jeong Lee, was false. I simply do not believe any of Allen Liu's evidence with respect to the preparation of deposit cheques. I find that the only "cheque" prepared was actually the $4 million draft provided by Allen Liu's bank.</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Allen Liu's justification regarding the advice provided either by him or through his employee Francis Zheng to his solicitors and Paul Kang, that an $8 million deposit had been paid for the Brentwood property (which resulted in incorrect information being provided to LedMac and Realtech) is simply not believable. His testimony that he had authorized the payment of $8 million and therefore, from his perspective, considered that amount had been paid, is not credible. I find that Allen Liu and Francis Zheng knew that an $8 million deposit had not been paid and intentionally provided false advice to their solicitors and mortgage broker. This was likely done in an effort to obtain a higher assignment price for the Brentwood property from LedMac or in an effort to secure financing from Paul Kang.</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Concealment of RM5s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The Vendors submit that the Purchasers deliberately concealed the Zoning Warranty by not including it in copies of the Brentwood Contract provided to mortgage brokers and realtors in an effort to keep the existence of the Zoning Warranty from potential lenders, assignees and joint venture partners. The Vendors submit that the reason this was done was to maintain, in the eyes of those parties, a valuation for the Brentwood property based on development to the full 5.0 FAR potential under RM5s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The evidence establishes that the mortgage broker Tina Mu was not provided with the Zoning Warranty and therefore did not pass it on to CWB. Similarly, the realtor Susan Wu was not provided with this document and did not pass it on to LedMac or the client of Peter Balomenos. The evidence of representatives of LedMac, Trez and Realtech confirms that those companies were never told about the Zoning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Although I accept that the Zoning Warranty was likely intentionally withheld by the Purchasers from parties who would clearly have had an interest in seeing it, in my view, this is collateral to the enforceability of the Purchase Agreements. Unlike the Rent Reduction Schedule and the Lease Addendum for which there is no logical reason for their preparation as separate schedules to the Brentwood Agreement, this is not the case with the Zoning Warranty. It was prepared in January 2012 at Jeong Lee's request after he discovered the Brentwood property's RM5s zoning potential. Accordingly, its concealment from third parties does not by itself taint the Purchase Agreements.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Unlawful Purposes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The Purchasers had a plan to secure the necessary lender financing and equity contributions required to purchase the Brentwood and Maple Ridge properties. This included providing misleading information concerning the lease-back revenue to be obtained from the Vendors and the equity contribution made by the Purchasers towards the purchase price for the Brentwood property in order to secure as much financing as possible from lenders. It also included providing misleading information to potential joint venture partners or assignees with respect to the purchase price and deposit for the Brentwood property in an effort to obtain their commitment to contribute more towards the purchase price of the property or to pay more for an assignment of the Brentwood Agreement than was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The plan to deceive lenders regarding the lease-back revenue to be earned from the Brentwood property was carried out through the purposeful drafting of the Rent Reduction Schedule to the Brentwood Agreement and the Lease Addendum to the Brentwood Lease which allowed the Purchasers to create the impression that more rent was to be earned from the leasing of that property than was the case. The False Deposit Scheme was an attempt to create the false impression that the Purchasers had contributed $8 million more in equity than they actually had and to mask their plan to place second mortgages on their other properties from lenders. The False Purchase and Sale Agreement was used to deceive a number of parties, including appraisers, mortgage brokers, lenders and potential joint venture partners, with respect to the value of the Brentwood Property and the amount of the deposit paid on it by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As I have already said, it is appropriate to look at a transaction as a whole rather than focusing on the legality of individual component contracts. In this case, the Brentwood and Maple Ridge Agreements are part of a transaction which includes both the sale of the Brentwood and Maple Ridge properties to the Purchasers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the lease of those properties back to the Vendors. Accordingly, there is no doubt that transaction includes not only the Brentwood Agreement and Rent Reduction Schedule and the Maple Ridge Agreement, but also the Brentwood and Maple Ridge Leases and the Lease Addendum. All of these agreements are interrelated and each of them is an essential part of the overall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 have already found that the Rent Reduction Schedule and the Lease Addendum were intentionally drafted as separate documents in order to mislead the Purchasers' lenders with respect to the lease-back rent to be paid for the Brentwood Property in order to obtain more financing for the purchase of the Brentwood property than what might otherwise have been provided had the truth been known. I find that this constitutes an unlawful purpose, being an intention to commit the tort of deceit, which taints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The False Deposit Scheme is either part of the transaction as a planned execution of the Vendors' commitment in the Purchase Agreements to provide vendor financing or, alternatively, forms part of the consideration for the transaction. Either way, this scheme was created to deceive lenders, which constitutes an unlawful purpose and taints the transaction. This also makes the Purchase Agreements unenforceable. It does not matter that this scheme was never put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With respect to the False Purchase and Sale Agreement, it was not an agreement at all. It was a fraudulent document designed to deceive a number of parties, including appraisers, mortgage brokers and potential lenders and joint venture partners and assignees. With Kevin Hien's assistance, Allen Liu asked Jeong Lee, and Jeong Lee agreed, to make the false representations of fact set out in the False Purchase and Sale Agreement. Those false representations included misstating that the purchase price for the Brentwood property was $38.8 million, $10 million higher than it actually was, and misstating that deposit of $10 million dollars had been paid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The request in the fall of 2011 that Jeong Lee sign the False Purchase and Sale Agreement was made prior to removal of the Purchasers' conditions which included a very broad right for the Purchasers to walk away from the deal if they did not obtain satisfactory financing. Jeong Lee may have been concerned that if he did not sign this fraudulent document that Allen Liu would walk away from the deal. In any case, I am satisfied that Jeong Lee at least knew that the False Purchase and Sale Agreement was intended to be used by Allen Liu to mislead a potential Chinese investor, Youyi China, with respect to the negotiations leading to the conclusion of the Brentwood Agreement. He likely knew or should have known that Allen Liu intended to misrepresent that the purchase price agreed upon for the Brentwood property was $38.8 million and that a $10 million deposit had been paid - when no such agreement or deposit ever existed - in order to assist Allen Liu in inducing Youyi China to invest in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xml:space="preserve">  Although Jeong Lee may not have been a completely innocent participant in this intended fraud, the authorities, including the decision in </w:t>
      </w:r>
      <w:r>
        <w:rPr>
          <w:rFonts w:ascii="arial" w:eastAsia="arial" w:hAnsi="arial" w:cs="arial"/>
          <w:i/>
          <w:color w:val="000000"/>
          <w:sz w:val="20"/>
          <w:lang w:val="en-US" w:eastAsia="en-US" w:bidi="ar-SA"/>
        </w:rPr>
        <w:t>Letkeman</w:t>
      </w:r>
      <w:r>
        <w:rPr>
          <w:rFonts w:ascii="arial" w:eastAsia="arial" w:hAnsi="arial" w:cs="arial"/>
          <w:color w:val="000000"/>
          <w:sz w:val="20"/>
          <w:lang w:val="en-US" w:eastAsia="en-US" w:bidi="ar-SA"/>
        </w:rPr>
        <w:t>, make it clear that his participation in this scheme does not prevent the Vendors from relying on the unlawful purposes defense.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The False Purchase and Sale Agreement was part of the scaffolding supporting the transaction as a whole and therefore part of the transaction's structure. That is, the act of making the false representations set out in the False Purchase and Sale Agreement forms part of the consideration supporting the transaction and therefore makes the Purchase Agreements unenforceable. Alternatively, even I did not find that the False Purchase and Sale Agreement is part of the transaction itself, it was a part of a brazen effort to use the transaction for an unlawful purpose and therefore taints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For the reasons set out above, I find that the Purchase Agreements were part of a transaction intended to be used for unlawful purposes or otherwise tainted by illegality and therefore for reasons of public policy decline to enforce them as against the Vendors. In my view, enforcing these agreements would be harmful to the integrity of the legal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the Duty of Honest Performance by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Given my finding that the Purchase Agreements are not enforceable, it is not necessary nor do I consider it appropriate that I provide reasons with respect to whether the Purchasers breached a duty of honest performance owing to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Purchasers' Claim for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The remedy of specific performance only arises if the underlying contracts are themselves enforceable. Given my decision not to enforce the Purchase Agreements, it is not necessary nor do I consider it appropriate that I provide reasons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Counterclaims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The Vendors claim against the Hien parties for conspiracy, breach of fiduciary duty, breach of contract and misrepresentation. In addition, the Vendors seek punitive damages against the Hien parties for what they contend was their high handed conduct consisting of: an utter disregard for the interests of the Vendors; their active participation in devising contractual provisions intended to deceive the Vendors regarding the Brentwood property's RM5s zoning potential; and falsification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The Vendors contend that the Liu parties (that is Allen Liu, Pacific Fortuna and Pacific Success) as co-conspirators of Kevin Hien in the breach of his fiduciary duty to the Vendors, are jointly and severally liable for any award of aggravated and punitive damages awarded against the Hien parties. As well, the Vendors claim that Franga Holdings and Anken should be required to pay punitive damages as a result of their participation in a scheme with Kevin Hien to steal commissions as part of the overall conspiracy to harm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 have already dismissed the Vendors' claim with respect to the alleged conspiracy between Kevin Hien and the Purchasers to wrongfully withhold information from the Vendors about the RM5s zoning potential for the Brentwood property and thereby prevent the Vendors from learning about the property's true value before they agreed to sell it for $28.8 million. With respect to the alleged scheme to divert commissions away from members of the Franga Group, as I have already said, I am unable to determine whether the scheme was intended to result in commissions being diverted to Allen Liu or to Kevin Hien. In any event, no commissions have been paid and none will be paid as a result of my finding that the Purchase Agreements are not enforceable. This dispenses with the claims for damages and aggravated damages against the Liu parties, Anken and Franga Holdings and against the Hien parties for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What remains to be decided are the Vendors' claims against the Hien parties for breach of fiduciary duty and breach of contract, misrepresentation and the additional claim for aggravated and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Counterclaims Against Kevin Hien and Amex Sunrich Realty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I have already found that the Hien parties had a fiduciary duty and a contractual obligation to the Vendors, the latter pursuant to the express terms of the Limited Dual Agency Agreement requiring the Hien parties to provide the Vendors with the same RM5s zoning information provided to the Purchasers, both of which were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xml:space="preserve">  The Hien parties do not dispute that a failure to provide material information in breach of an established duty can amount to negligent misrepresentation. Information regarding the Brentwood property's RM5s zoning potential was material and this information was not provided to the Vendors. This is not sufficient on its own to ground a claim in negligent misrepresentation. As set out by the Supreme Court of Canada in </w:t>
      </w:r>
      <w:r>
        <w:rPr>
          <w:rFonts w:ascii="arial" w:eastAsia="arial" w:hAnsi="arial" w:cs="arial"/>
          <w:i/>
          <w:color w:val="000000"/>
          <w:sz w:val="20"/>
          <w:lang w:val="en-US" w:eastAsia="en-US" w:bidi="ar-SA"/>
        </w:rPr>
        <w:t>Queens v. Cognos</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 it is necessary to prove negligent misrepresentation by also demonstrating that the representee reasonably relied upon the statement (or omission) of the representor and that the representee sustained damage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The Vendors also appear to be arguing, although it is not entirely clear from their submissions, that Kevin Hien misrepresented that the September 2011 Offer to purchase the Brentwood and Maple Ridge properties for $32 million ($28.8 million for the Brentwood property) was for a "good price" and above market value, when in fact it was not. Based on subsequent events, including the December 2011 unsolicited offer to purchase for $27.5 million, Vanessa Fenton's retrospective appraisal of $30 million, Katherine Jones' $38 million appraisal completed in January 2012, the Eric Pan appraisal in June 2012 of $38.8 million and the various assignment offers received by Allen Liu of between $35 and $39.6 million in mid to late 2012, it appears that the fair market value of the Brentwood property was more than $28.8 million in October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No one, including Jeong Lee, Kevin Hien or other members of the Franga Group, undertook a market value assessment of the Brentwood property in the fall of 2011. There is little evidence establishing what Kevin Hien and other members of the Franga Group thought the Brentwood property was worth at that time. The only evidence I am aware of is the July 2011 email from Neil Wong in which he provided zoning information for the property to his Franga Group colleagues and suggested that the Brentwood and Maple Ridge properties might be worth more than $39.9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Although I accept that Kevin Hien told Jeong Lee that $28.8 million was a good price for the Brentwood property, I am not satisfied that Kevin Hien knew or should have known that the property was worth more. Therefore, I am unable to conclude that his advice to Jeong Lee that $28.8 million was a good price constitutes a fraudulent 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Even if I am wrong with respect to whether Kevin Hien fraudulently or negligently misrepresented the market value of the Brentwood property to Jeong Lee, given my finding that the Purchase Agreements are not enforceable (which will result in the Brentwood property remaining with the Vendors) and the evidence that as of July 2017, the market value of the property had increased to approximately $76 million, I do not find that the Vendors have suffered a loss. The same conclusion arises in respect of the negligent misrepresentation regarding RM5s zoning. In fact, the Vendors will likely benefit significantly as a result of the dramatic increase in the value of the Brentwood property since September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 was provided with no evidence or argument that the Vendors would somehow be in a better financial position now, had they known about the RM5s zoning potential in October 2011, and sought to sell the Brentwood property for more than $28.8 million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In the circumstances, I find that it is appropriate to award nominal damages to the Vendors for the Hien parties' breaches of their fiduciary duty and contractual obligations to them - which I assess at $1. This does not include an award for aggravated or punitive damages, which I will address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xml:space="preserve">  The Vendors rely upon the decision of the Supreme Court of Canada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including the following principles set out in that decision:</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awarded against a defendant in exceptional cases for malicious, oppressive and high handed conduct that offends the court's sense of decency;</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objectives of punitive damages are punishment (in the sense of retribution), deterrence of the wrongdoer and others, and denunciation (the means by which the jury or judge expresses its outrage at the egregious conduct);</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vehicle for punishment is the criminal law and punitive damages should be exceptional;</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punishment has been imposed by a criminal court, the judge or jury is to treat that as another fact, albeit an important one;</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relate the facts of a particular case to the underlying purpose of punitive damages and ask itself how, in particular, an award would further one or more of the objectives of the law;</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rational for a court to use punitive damages to relieve profits;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Formulaic approaches such as ratios or caps are not helpful; and</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and only if all other damages are insufficient to meet the objectives, shall punitive damages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xml:space="preserve">  In further reliance on the factors to be considered in determining level of blameworthiness set out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the Vendors contend that the following conduct of the Hien parties gives rise to an award of punitive damages: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conduct was oppressive and high handed that offends the courts sense of decency;</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conduct was planned and deliberate and was motivated by greed with no regard to the interests of the Vendors;</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conduct persisted over a long period of time; that Kevin Hien tried to conceal his misconduct; and</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Kevin Hien was fully aware of his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Given my reasons above with respect to conspiracy, the focus of my assessment is whether the Hien parties' failure to provide the RM5s zoning information to the Vendors is sufficiently egregious to justify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Punitive damages are awarded in only exceptional cases and there must be some evidentiary basis for determining that the wrongdoer acted maliciously or oppressively. A power differential or other circumstances under which the claimant was more easily victimized may assist in determining whether the wrongdoer's conduct was high-handed. Although deterrence of bad behaviour is a factor to be considered in determining an award of punitive damages, another important consideration is the principle of proportionality - which includes an assessment of the advantage wrongfully gained by the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 am not satisfied that there is sufficient evidence to allow me to determine that the Hien defendants acted maliciously by failing to disclose the RM5s zoning potential to the Vendors. Other words are more appropriate to describe their conduct including that they acted selfishly, foolishly and negligently. I do not consider that their conduct qualifies as oppressive or high handed. Although Kevin Hien did not tell Jeong Lee after Lee reached out to him in December 2011 that he knew about the RM5s zoning potential for the Brentwood property prior to the execution of the Purchase Agreements, I do not find that he sought to cover up his failure. His silence and even the negotiation of the Zoning Warranty does not, in my view, constitute a cover-up.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It is not appropriate to include a consideration of Kevin Hien's conduct after commencement of this litigation in an evaluation of blameworthy conduct giving rise to an award of punitive damages. Kevin Hien's conduct after the litigation commenced is certainly blameworthy in some respects, but the Vendors' remedy for such conduct is an increased cost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xml:space="preserve">  I expect that Kevin Hien's reputation as a realtor is likely already in tatters as a result of the events leading up to and during this litigation. I do not consider that the objectives set out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require a punitive damages award against the Hien defendants. Kevin Hien, other members of the Franga Group and Candy Chen will receive no fees or commissions from the sale of the Brentwood and Maple Ridge properties to the Purchasers given my finding that the Purchase Agreements are not enforceable. In my view, that is punishment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As a result of my finding that the Brentwood and the Maple Ridge Agreements are part of a transaction intended to be used for unlawful purposes or are otherwise tainted by illegality and are not enforceable for reasons of public policy, the Purchasers' claim for specific performance of the Brentwood and the Maple Ridge Agreements or for damages in lieu of specific performance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The issue of whether the deposits paid by the Purchasers to the Vendors pursuant to the Brentwood and Maple Ridge Agreements should be forfeited to the Vendors was not argued at trial. If any party wishes to speak to this issue they are at liberty to seek a further hearing before me, to be set for no more than one-half of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The Vendors' counterclaim against the Hien parties for breach of fiduciary duty and breach of contract is allowed and I award damages to the Vendors in the amount of $1. The Vendors' claim against the Hien parties for misrepresentation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The Vendors' counterclaim against the Hien parties, the Liu parties, Franga Holdings Ltd. and Anken International Investment Corp. for damages for conspiracy and for aggravated and punitive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The Vendors are awarded their costs in respect of the claims advanced by the Purchasers. Additionally, I award the Vendors costs in respect of their counterclaim against the Hien parties. I decline to order costs to any party in respect of the balance of the Vendors' counterclaims.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The parties entitled to and liable for costs are at liberty to speak to them at a date to be scheduled upon the request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A.P.A. MAYER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7903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542641 B.C. Ltd. v. Wright Parry Land Surveying &amp; Engineering Ltd., [2004] B.C.J. No. 280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McCallum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03/1317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542641 B.C. Ltd., plaintiff, and Wright Parry Land Surveying &amp; Engineering Ltd. and Focus Surveys Ltd., carrying on business under the firm name and style of Wright Focus Professional Land Surveyors &amp; Consulting Engineers and the said Wright Focus Professional Land Surveyors &amp; Consulting Engineers, Allan Robert Hardie, Marilyn Fleming, carrying on business under the firm name and style Fleming &amp; Company Certified General Accountants and the said Fleming &amp; Company Certified General Accountants, David Richard Wilson and Wilson Marshall Law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 paras.)</w:t>
      </w:r>
    </w:p>
    <w:p>
      <w:pPr>
        <w:jc w:val="both"/>
        <w:rPr>
          <w:rFonts w:ascii="arial" w:eastAsia="arial" w:hAnsi="arial" w:cs="arial"/>
          <w:sz w:val="20"/>
          <w:lang w:val="en-US" w:eastAsia="en-US" w:bidi="ar-SA"/>
        </w:rPr>
      </w:pPr>
      <w:bookmarkStart w:id="108" w:name="Counsel_29"/>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J. Hargreaves, for the plaintiff. J. Michael Hutchison, Q.C., for the defendant, Marilyn Fleming and Fleming &amp; Company Certified General Accountants. Bruce R. McConnan, Q.C., for the defendant, Allan Hardie. Peter C.M. Freeman, Q.C., for the defendant, David Richard Wilson &amp; Wilson Marshall Law Corporation. Lorenzo Oss-Cech, for the defendant, Wright Parry Land Surveying &amp; Engineering, Focus Surveys Ltd. &amp; Wright Focus Professional Land Surveyors &amp; Consulting Engineers.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9" w:name="Judgment_29"/>
      <w:bookmarkEnd w:id="109"/>
      <w:r>
        <w:pict>
          <v:line id="_x0000_s1131" style="position:absolute;z-index:2517452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0" w:name="MASTER McCALLUM"/>
            <w:bookmarkEnd w:id="110"/>
            <w:r>
              <w:rPr>
                <w:rFonts w:ascii="arial" w:eastAsia="arial" w:hAnsi="arial" w:cs="arial"/>
                <w:b/>
                <w:color w:val="000000"/>
                <w:sz w:val="30"/>
                <w:lang w:val="en-US" w:eastAsia="en-US" w:bidi="ar-SA"/>
              </w:rPr>
              <w:t>MASTER McCALLUM</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company borrowed money from its principal, Graeme Bethell ("Bethell") and embarked on a land development project. The project was financially unsuccessful and the Plaintiff says it lost over $250,000 which it was required to borrow from Bethell. The Plaintiff blames the losses on the Defendants who were its surveyor ("Hardie"), its accountant ("Fleming") and its lawyer ("Wilson"). Hardie's employer ("Wright") is also a defendant facing allegations of vicarious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Hardie. The Plaintiff brought this action to recover the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has no financial resources and is acknowledged to be incapable of paying costs if costs are ultimately awarded against it. The Defendants each seek security for their costs as follows: Wright ($41,162.75), Hardie ($50,000),Fleming ($50,559.00) and Wilson ($45,968.15) making a total claim of $187,689.90. The Defendants say that the action should be stayed pending costs being posted and, in any event, the action should be dismissed if security for costs is not posted within 21 days of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says it can post security for costs in the amount of $20,000.00. It is only able to borrow from Bethell who says he can only raise $20,000.00 given his financial circumstances. If greater security is required the Plaintiff says it will be unable to proceed with the claim and will be thereby greatly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is no real dispute about the law. The issue is the amount of security that should be ordered. The factors to be considered are set out as follows in Kropp et al v. Swaneset Bay Golf Course Ltd. </w:t>
      </w:r>
      <w:hyperlink r:id="rId641" w:history="1">
        <w:r>
          <w:rPr>
            <w:rFonts w:ascii="arial" w:eastAsia="arial" w:hAnsi="arial" w:cs="arial"/>
            <w:i/>
            <w:color w:val="0077CC"/>
            <w:sz w:val="20"/>
            <w:u w:val="single"/>
            <w:shd w:val="clear" w:color="auto" w:fill="FFFFFF"/>
            <w:lang w:val="en-US" w:eastAsia="en-US" w:bidi="ar-SA"/>
          </w:rPr>
          <w:t>[1997] B.C.J. No. 593</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reason for not ordering security;</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 and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How then, do those factors apply to the case at bar? The concessions made by the Plaintiff make some considerations moot. There is no doubt that security will be ordered in some amount. The significant issue is balancing the injustices arising from the use of the security. I turn to consideration of the factors which in the circumstances of this case overlap to a considerable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clearly a possibility that the Plaintiff will be deterred from pursuing its claim if security is ordered in an amount greater than $20,000. Bethell says his financial circumstances preclude him raising more than that amount given his assets and income. He is a joint owner with his wife of various illiquid assets, including their family home. His share of the equity in those assets amounts to about $150,000 on his figures. Bethell is self employed and takes a monthly draw of $5000, net of tax, from his consulting business. If his evidence is correct and complete it is more likely than not that he would have difficulty raising the complete amount of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are dubious about the merits of the Plaintiff's claim. They point out that it has not plead in reply to their various positive averments in the Statements of Defence or the statements in the Defendant's affidavits going to the substance of the claim. Fleming says, for example, that Bethell told her that she need not worry about the claim against her as the Plaintiff was merely attempting to "shake down" the Defendant's various insurers. The Plaintiff says the case will turn largely on credibility and for that reason, it has elected not to respond to the allegations which go to the merits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said, the Defendants have raised directly issues which point to obvious failure for the Plaintiff and it is impossible to ignore that issue. It may be that if the allegations in the Statement of Claim are made out that the Plaintiff will succeed but success appears far less likely than failure given the Plaintiff's silence on the direct statements of the Defendants. This is a case where the merits are a consideration. The Plaintiff's relatively weak case militates against a more modest amount of security which would put unfair pressure on the Defendants. This is not a case where security will be an instrument of oppression to stifle a legitimate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am satisfied that the Plaintiff's claim will be stifled if security is ordered in the full amount claimed. However, security in the amount suggested by the Plaintiff, in these circumstances, will put an unfair burden on the Defendants given the complexity of the litigation. The amount must be more than nominal which I take to mean nominal given the amount claimed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those factors in mind, the Plaintiff will be ordered to post security for costs in the total amount of $50,000 apportioned between the Defendants according to their claims for security. The action will be stayed, as against the various Defendants, pending the posting of security. The action will be dismissed, as against any Defendant in respect of whom security is not posted by April 15th,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the costs of the application, each Defendant is entitled to the costs of preparing for the motion, in any event of the cause. Fleming is entitled to the costs of speaking to the motion,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McCALLUM</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Battrum v. British Columbia, [2009] B.C.J. No. 1865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20-22, 24, 27 and 28, 2009; written submissions,</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provided by the parties.</w:t>
      </w:r>
    </w:p>
    <w:p>
      <w:pPr>
        <w:spacing w:before="120" w:line="260" w:lineRule="atLeast"/>
        <w:jc w:val="center"/>
        <w:rPr>
          <w:lang w:val="en-US" w:eastAsia="en-US" w:bidi="ar-SA"/>
        </w:rPr>
      </w:pPr>
      <w:r>
        <w:rPr>
          <w:rFonts w:ascii="arial" w:eastAsia="arial" w:hAnsi="arial" w:cs="arial"/>
          <w:color w:val="000000"/>
          <w:sz w:val="20"/>
          <w:lang w:val="en-US" w:eastAsia="en-US" w:bidi="ar-SA"/>
        </w:rPr>
        <w:t>Supplementary judgment: September 17,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S055744</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1865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1276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70 C.C.L.T. (3d) 164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2500</w:t>
      </w:r>
    </w:p>
    <w:p>
      <w:pPr>
        <w:spacing w:before="120" w:line="260" w:lineRule="atLeast"/>
        <w:rPr>
          <w:lang w:val="en-US" w:eastAsia="en-US" w:bidi="ar-SA"/>
        </w:rPr>
      </w:pPr>
      <w:r>
        <w:rPr>
          <w:rFonts w:ascii="arial" w:eastAsia="arial" w:hAnsi="arial" w:cs="arial"/>
          <w:color w:val="000000"/>
          <w:sz w:val="20"/>
          <w:lang w:val="en-US" w:eastAsia="en-US" w:bidi="ar-SA"/>
        </w:rPr>
        <w:t>Between Deborah Eloise Battrum, Plaintiff, and Her Majesty the Queen in Right of the Province of British Columbia, John Doe #1 and John Doe #2,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(14 paras.)</w:t>
      </w:r>
    </w:p>
    <w:p>
      <w:pPr>
        <w:spacing w:line="240" w:lineRule="atLeast"/>
        <w:jc w:val="both"/>
        <w:rPr>
          <w:lang w:val="en-US" w:eastAsia="en-US" w:bidi="ar-SA"/>
        </w:rPr>
      </w:pPr>
      <w:r>
        <w:rPr>
          <w:lang w:val="en-US" w:eastAsia="en-US" w:bidi="ar-SA"/>
        </w:rPr>
        <w:br/>
      </w:r>
      <w:r>
        <w:rPr>
          <w:rFonts w:ascii="arial" w:eastAsia="arial" w:hAnsi="arial" w:cs="arial"/>
          <w:color w:val="000000"/>
          <w:sz w:val="18"/>
          <w:lang w:val="en-US" w:eastAsia="en-US" w:bidi="ar-SA"/>
        </w:rPr>
        <w:t xml:space="preserve">[Editor's note: Original reasons for judgment were released May 29, 2009. See </w:t>
      </w:r>
      <w:hyperlink r:id="rId649" w:history="1">
        <w:r>
          <w:rPr>
            <w:rFonts w:ascii="arial" w:eastAsia="arial" w:hAnsi="arial" w:cs="arial"/>
            <w:i/>
            <w:color w:val="0077CC"/>
            <w:sz w:val="18"/>
            <w:u w:val="single"/>
            <w:shd w:val="clear" w:color="auto" w:fill="FFFFFF"/>
            <w:lang w:val="en-US" w:eastAsia="en-US" w:bidi="ar-SA"/>
          </w:rPr>
          <w:t>[2009] B.C.J. No. 1074</w:t>
        </w:r>
      </w:hyperlink>
      <w:r>
        <w:rPr>
          <w:rFonts w:ascii="arial" w:eastAsia="arial" w:hAnsi="arial" w:cs="arial"/>
          <w:color w:val="000000"/>
          <w:sz w:val="18"/>
          <w:lang w:val="en-US" w:eastAsia="en-US" w:bidi="ar-SA"/>
        </w:rPr>
        <w:t>.]</w:t>
      </w:r>
      <w:r>
        <w:rPr>
          <w:lang w:val="en-US" w:eastAsia="en-US" w:bidi="ar-SA"/>
        </w:rPr>
        <w:cr/>
      </w:r>
    </w:p>
    <w:p>
      <w:pPr>
        <w:keepNext/>
        <w:spacing w:before="240" w:line="340" w:lineRule="atLeast"/>
        <w:rPr>
          <w:lang w:val="en-US" w:eastAsia="en-US" w:bidi="ar-SA"/>
        </w:rPr>
      </w:pPr>
      <w:bookmarkStart w:id="111" w:name="Counsel_30"/>
      <w:bookmarkEnd w:id="11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3" style="position:absolute;z-index:2516951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T.J. Delaney.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J.E. Gouge, Q.C., T.S. Saunders.</w:t>
      </w:r>
      <w:r>
        <w:rPr>
          <w:lang w:val="en-US" w:eastAsia="en-US" w:bidi="ar-SA"/>
        </w:rPr>
        <w:cr/>
      </w:r>
    </w:p>
    <w:p>
      <w:pPr>
        <w:spacing w:after="240"/>
        <w:rPr>
          <w:lang w:val="en-US" w:eastAsia="en-US" w:bidi="ar-SA"/>
        </w:rPr>
      </w:pPr>
      <w:bookmarkStart w:id="112" w:name="Judgment_30"/>
      <w:bookmarkEnd w:id="112"/>
      <w:r>
        <w:pict>
          <v:line id="_x0000_s1134" style="position:absolute;z-index:25174630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Supplementary Reasons for Judgment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Issue of Battery)</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3" w:name="P. ROGERS J."/>
            <w:bookmarkEnd w:id="113"/>
            <w:r>
              <w:rPr>
                <w:rFonts w:ascii="arial" w:eastAsia="arial" w:hAnsi="arial" w:cs="arial"/>
                <w:b/>
                <w:color w:val="000000"/>
                <w:sz w:val="30"/>
                <w:lang w:val="en-US" w:eastAsia="en-US" w:bidi="ar-SA"/>
              </w:rPr>
              <w:t>P. ROGERS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evidence and the court's findings of fact following the trial of this case may be found at </w:t>
      </w:r>
      <w:hyperlink r:id="rId649" w:history="1">
        <w:r>
          <w:rPr>
            <w:rFonts w:ascii="arial" w:eastAsia="arial" w:hAnsi="arial" w:cs="arial"/>
            <w:i/>
            <w:color w:val="0077CC"/>
            <w:sz w:val="20"/>
            <w:u w:val="single"/>
            <w:shd w:val="clear" w:color="auto" w:fill="FFFFFF"/>
            <w:lang w:val="en-US" w:eastAsia="en-US" w:bidi="ar-SA"/>
          </w:rPr>
          <w:t>2009 BCSC 716</w:t>
        </w:r>
      </w:hyperlink>
      <w:r>
        <w:rPr>
          <w:rFonts w:ascii="arial" w:eastAsia="arial" w:hAnsi="arial" w:cs="arial"/>
          <w:color w:val="000000"/>
          <w:sz w:val="20"/>
          <w:lang w:val="en-US" w:eastAsia="en-US" w:bidi="ar-SA"/>
        </w:rPr>
        <w:t>. Those reasons refer to the fact that counsel made no submissions with respect to one aspect of the case. At the court's invitation, the parties have made additional submissions with respect to that missing issue, viz: the plaintiff's claim for damages for the tort of battery.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asserts that she is entitled to damages for battery because she did not consent to Mr. Regts' treatment of her at the accident scene, nor did she consent to his treatment of her as she was transported by ambulance to the Vernon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argues that the plaintiff was incapable of properly assessing whether and what type of paramedical assistance she required at the accident scene. The defendant says that the plaintiff's extremis vitiated a need for her consent to the treatment Mr. Regts offered. The defendant also argues that whether damages may flow from the manner in which Mr. Regts treated the plaintiff must be determined by the principles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 battery.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Battery is a simple tort. Any person who is touched by another but does not consent to it has suffered battery. It is an intentional tort, meaning that the touching must be intentionally done. Consent may be given in an expressed or implied manner. Under some narrow circumstances, consent may be deemed to have been given, as for example when a person's medical condition prevents him from understanding or responding to a request for consent and there is no reason to believe that he would reject medically sound treatment for that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in this case have, in their supplemental submissions, advanced learned and sound arguments for and against the plaintiff's claim for battery. Their efforts have, however, been somewhat in vain. That is because the issue of battery in this case turns entirely on 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already found that one evening Dr. Battrum fell off her horse at her farm. She knew that her shoulder had been injured and she, quite naturally, wanted to be taken to a hospital for treatment. I have found that she called 9-1-1 and asked for an ambulance to attend at her farm. Several firefighters arrived first, and they began touching Dr. Battrum. She did not resist or complain about their ministrations. The paramedics, Mr. Regts and his partner, then arrived in an ambulance. They began preparations to transfer Dr. Battrum to a stretcher so that she could be put in the ambulance and taken to a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as a fact that Dr. Battrum wanted medical treatment for her injured shoulder and that she wanted to go to the hospital to get that treatment. Her desire to receive that treatment caused her to accept the touches she received from the firefighters. The fact that Dr. Battrum does not complain about battery at the hands of those firefighters belies the fact that she impliedly consented to their putting their hands on her to, among other things, assess her vital functions and to stabilize her spinal column so that she may be transported to a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further find that Dr. Battrum was not constitutionally opposed to being touched by others for the purpose of getting her to a hospital so that her shoulder could be treated. This distinguishes her situation from the kind of case where a person's expressed religious belief might cause her to be fundamentally opposed to being touched for the purpose of some forbidden procedures like a blood transfusion.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find that Dr. Battrum also impliedly consented to Mr. Regts touching her for the purpose of transporting her to the hospital. I have already found that Mr. Regts did not perform his task negligently. I have also already found that in order to splint her for transport, Mr. Regts was obliged to move her injured arm. Had he been able to effect that movement painlessly, Dr. Battrum would have found herself with nothing to complain about and she would never have claimed that he battered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that Dr. Battrum was not, however, ready for the amount of pain caused by the movement of her arm that was necessitated by splinting it. It is that pain, and not the fact that Mr. Regts touched her, that bottoms her complaint of battery against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had no hesitation in finding that Mr. Regts was abrupt and unsympathetic to her plight and that he behaved like a lout toward her. I am not, however, prepared to find that the amount of pain that Dr. Battrum suffered when Mr. Regts splinted her arm was out of keeping with her injury. The expert medical evidence that was tendered at trial convinces me that the kind of injury that Dr. Battrum suffered can generate a significant degree of pain. I find that Mr. Regts moved Dr. Battrum's injured arm in a manner consistent with proper paramedical practice. I also find that the amount of pain that Dr. Battrum experienced as a consequence of that movement was excruciating but unavoidable.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Battrum also complains that Mr. Regts battered her while he attended to her in the ambulance on the way to the hospital. The evidence was clear that while they were in the ambulance, Mr. Regts touched Dr. Battrum only for the purpose of assessing her vital signs. Nothing about that degree of touching could amount to battery - it was entirely consistent with the treatment to which Dr. Battrum had already consented. The essence of Dr. Battrum's complaint about the ambulance ride is that Mr. Regts refused to release her from the splint which was immobilizing her injured 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Dr. Battrum's complaints about the ambulance ride cannot underwrite a tort of battery. That is because in the ambulance, Mr. Regts did not do anything new to her </w:t>
      </w:r>
      <w:r>
        <w:rPr>
          <w:rFonts w:ascii="arial" w:eastAsia="arial" w:hAnsi="arial" w:cs="arial"/>
          <w:i/>
          <w:color w:val="000000"/>
          <w:sz w:val="20"/>
          <w:lang w:val="en-US" w:eastAsia="en-US" w:bidi="ar-SA"/>
        </w:rPr>
        <w:t>vis-a-vis</w:t>
      </w:r>
      <w:r>
        <w:rPr>
          <w:rFonts w:ascii="arial" w:eastAsia="arial" w:hAnsi="arial" w:cs="arial"/>
          <w:color w:val="000000"/>
          <w:sz w:val="20"/>
          <w:lang w:val="en-US" w:eastAsia="en-US" w:bidi="ar-SA"/>
        </w:rPr>
        <w:t xml:space="preserve"> the splint. The splint had already been applied. Dr. Battrum's complaints in the ambulance were really about what had happened back at the accident scene, and what happened there did not amount to battery.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Battrum's claims for battery are dismissed. Subject to any submissions the parties may wish to make concerning costs, the defendant is entitled to its costs attributable to this aspect of the proceeding.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 ROGERS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923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Baynham v. Terry, [2003] B.C.J. No. 616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19 - 22 and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S0010315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616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422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R.P.R. (4th) 156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180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Scott Baynham and Margaret Mary Baynham, plaintiffs, and Larry Raymond Terry and Suzanne Black,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jc w:val="both"/>
        <w:rPr>
          <w:rFonts w:ascii="arial" w:eastAsia="arial" w:hAnsi="arial" w:cs="arial"/>
          <w:sz w:val="20"/>
          <w:lang w:val="en-US" w:eastAsia="en-US" w:bidi="ar-SA"/>
        </w:rPr>
      </w:pPr>
      <w:bookmarkStart w:id="114" w:name="Counsel_31"/>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J. Klassen, for the plaintiffs. Rory W. Krentz,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5" w:name="Judgment_31"/>
      <w:bookmarkEnd w:id="115"/>
      <w:r>
        <w:pict>
          <v:line id="_x0000_s1137" style="position:absolute;z-index:2517473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6" w:name="GRIST J."/>
            <w:bookmarkEnd w:id="116"/>
            <w:r>
              <w:rPr>
                <w:rFonts w:ascii="arial" w:eastAsia="arial" w:hAnsi="arial" w:cs="arial"/>
                <w:b/>
                <w:color w:val="000000"/>
                <w:sz w:val="30"/>
                <w:lang w:val="en-US" w:eastAsia="en-US" w:bidi="ar-SA"/>
              </w:rPr>
              <w:t>GRIST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Mr. and Mrs. Baynham, bought an old frame building containing three residential suites from Mr. Terry in March 2000. Shortly after purchasing the property they found the following problems: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building's roof leaked.</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plywood subsurface and some of the joists below the deck, which served as a roof over the garage, were rotten.</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frame structure supporting the back wall needed structural repair.</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sewage disposal from a holding tank cost considerably more than they had been advised by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 damages for these deficiencies on the basis of negligent or fraudulent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met shortly before the first discussions relating to purchase of the building. Mr. Terry and Ms. Black operated a second hand store from the premises next door to the building. The plaintiffs came into the store on a visit to the area and the parties became friendly. Shortly after the prospect of sale of the building was discussed and eventually on December 22nd, 1999, a contract of purchase and sale was prepared by Mr. Newlove, a Real Estate Agent who held the listing from Mr. Terry.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Terry had been trying to sell the building for some time. The property had been listed the year before and Mr. Terry again listed it with Mr. Newlove on December 8th, 1999. Mr. Newlove had Mr. Terry fill out a Property Condition Disclosure Statement when he took the listing. Items 1E, 2H and 2M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1E</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aware of any problems with the septic system?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2H</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aware of any structural problems with the premises?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2M</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aware of any roof leakage or unrepaired damage?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each case Mr. Terry answered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Baynham's evidence was that Mr. Terry encouraged him to buy the building from the onset of their discussions. He said he was told the building was one of the soundest in the area and that all major renovations had been done, including a new roof just a few years earlier. At one point he and Mr. Terry went onto the roof. Mr. Terry showed him the metal roof and areas he said he had improved by spraying in foam insulation. They also examined the upper suite. The ceiling of the suite showed water stains which Mr. Terry said were from a time before the roof improvements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Contrary to what Mr. Terry was saying, the roof did leak and the upstairs tenants were regularly complaining about water entering the suite following major rainfalls.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roof of the ground floor garage served as a deck outside the upper suite. Mr. Terry had been working on the deck while the initial discussions were ongoing. He said he had replaced soft areas of the deck sub floor with sound plywood and was covering areas with galvanized metal sheeting which he said he was advised to apply to improve the strength of the structure. Mr. Terry advised that once a top waterproof membrane was put on and some caulking applied at one spot where there was a leak into the garage, the deck would be in good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Baynham had a top layer of vinyl put over the deck but the underlying pieces of galvanized metal preventing proper adhesion of the vinyl to the deck surface. Eventually this vinyl decking was removed when rot was found in the joists underneath the deck during repairs to the east wall. Under the vinyl the plywood subsurface Mr. Terry said he had repaired was found to be rotten. Further investigation showed that the plywood deterioration was caused by moisture trapped between the top layer of the vinyl and an old fibreglass layer under the plywood. Mr. McCune, an experienced builder, stripped the rotted plywood, the fibreglass decking, and a further layer of plywood. He then repaired or replaced the joists and applied a new plywood sub floor and vinyl surface. Mr. McCune was asked whether there was any recognized remedial value to applying sheet metal to repair a deck weakened by rot, he replied that he could not think of any circumstance where this would be of value. It was also apparent from his evidence that laying the plywood sub floor over the old decking was primarily responsible for the rot and that the deteriorated condition of the deck was longstanding.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clear from the evidence of the upstairs tenant that the deck was in a bad state before Mr. Terry attempted repairs. He said that the material Mr. Terry used was salvaged from another building and did not look much better than the plywood he took off. Mr. Terry's evidence was that the metal was applied to add stiffness on advice from a person he met in the building supply store who he took to be a contractor. My conclusion is that his repairs could not have been reasonably expected to add to long term structural soundness and were most effective in concealing the underlying old surface and generally poor condition of the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building was connected at one point in its life to a septic field. The field did not meet health standards at some point and a 6,000 gallon holding tank was built. The tank was emptied from time to time by a pumper truck. The Department of Health had required Mr. Terry to submit bills showing that he was servicing the holding tank on a regular basis and required a written assurance from him that on sale the purchaser would be told that the holding tank operated under a special permit from the Health Department and that a personal application was required from any subsequent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Terry informed that the cost of sewage removal was about $600 per year. The cost Mr. Baynham experienced following the sale was significantly different from this. During the first year Mr. Baynham paid $3,162.92. Through the next years he paid $1,348.20, $1,917.44 and $1,209.10, respectively. The amounts paid after the first year was reduced in some cases through vacancies and after asking the tenants to use less water. The $1,917.44 figure seemed most appropriate to full occupancy, with the tenants being careful of water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Terry produced four receipts dealing with sewage removal during 1997 and 1998. If the records are complete, the tank was emptied in July 1997, two more times during October 1997 and February 1998 and on the last recorded occasion in July 1998. The receipts indicate that pumping the effluent deposited during the one year period after July 1997 up until July 1998 cost $1,135.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basement suite of the building faces north. The suite is recessed into the structure and the wall extending above the suite, two storeys to the roof, is supported by posts. The posts were not part of the original design. Originally the wall was supported by a cantilever constructed by extension of the floor joists beyond the basement north facing wall. Mr. McCune examined the joists when making other repairs and noted that the ends had rotted to the extent that they no longer supported the wall and that the posts apparently had been put in place to replace the support they had provided. He also found that the frame structure inside the wall showed other areas of extensive rot. He made some short term repairs to guard against failure of the wall, but felt reconstruction was necessary to be assured that the structure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posts were put in place by an owner prior to Mr. Terry purchasing the building. The condition of the cantilevered floor joists was not immediately apparent as the area underneath the joists was covered by soffit and there was no other evidence indicating the extensive rot was apparent during Mr. Terry's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Contract of Purchase and Sale of the property was signed on December 22nd, 1999. Mr. Newlove attended at Mr. and Mrs. Baynham's apartment to take the offer from them as prospective purchasers. He was surprised to find that Mr. Terry and Ms. Black were there when he arrived. He told the four of them that it was unusual to have the purchasers and the vendor both present when the offer was taken and accepted. He had the parties sign an authorization for him to act as an agent of both. He then proceeded with the documentation. He had Mr. Terry confirm the answers given on the Property Condition Disclosure Statement, completing a new statement containing the same assurances, and then had the purchasers sign the offer and Mr. Terry sign the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Contract of Purchase and Sale contains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representations, warranties, guarantees, promises, or agreements other than those set out in this contract and the representations contained in the Property Condition Disclosure Statement if attached, all of which will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Property Condition Disclosure Statement is not consistent with this statement.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disclosure statement will form part of the contract and sale if so agreed in writing by the sellers and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case concerns construction of the Contract of Purchase and Sale and so I view the provision in that document as operative.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relevant Disclosure Statements assure that the vendor is not aware of specific deficiencies, in this case, roof leakage, structural problems, or problems with the septic system. The effect of this form of assurance was commented on by Boyle, J. in Arsenault v. Pedersen, </w:t>
      </w:r>
      <w:hyperlink r:id="rId657" w:history="1">
        <w:r>
          <w:rPr>
            <w:rFonts w:ascii="arial" w:eastAsia="arial" w:hAnsi="arial" w:cs="arial"/>
            <w:i/>
            <w:color w:val="0077CC"/>
            <w:sz w:val="20"/>
            <w:u w:val="single"/>
            <w:shd w:val="clear" w:color="auto" w:fill="FFFFFF"/>
            <w:lang w:val="en-US" w:eastAsia="en-US" w:bidi="ar-SA"/>
          </w:rPr>
          <w:t>[1996] B.C.J. No. 1026</w:t>
        </w:r>
      </w:hyperlink>
      <w:r>
        <w:rPr>
          <w:rFonts w:ascii="arial" w:eastAsia="arial" w:hAnsi="arial" w:cs="arial"/>
          <w:color w:val="000000"/>
          <w:sz w:val="20"/>
          <w:lang w:val="en-US" w:eastAsia="en-US" w:bidi="ar-SA"/>
        </w:rPr>
        <w:t>, 26 April 1996, New Westminster S021575,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idea who drafted these questions (the disclosure statement) but they clearly are drawn in a manner offering more protection for a vendor than to a purchaser and in a manner to provide a sales person or vendor with an air of rectitude which might not on all occasions be deserved - even given the cautionary line: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"Buyers are urged to carefully inspect the property and, if desired, to have the property inspected by an inspection service of their choice".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Disclosure Statement does not call upon a vendor to warrant a certain state of affairs. It requires the vendor to say no more than that he or she is or is not aware of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title to the document is in this sense a misnomer. It does not directly disclose the actual condition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Most of the questions in the document are in the form, "to the best of your knowledge...", or "are you aware of...." Positive answers to these questions do not warrant the state of the property, but false answers or positive assurances negligently made would support actions in deceit or negligent misrepresentation. There are a few direct questions relating to features of the property. An example is the first question, "Are the premises connected to a public sewer system?". An affirmative answer to this might be construed as a warranty. However, the final statement before the vendor's signature limits the answers in the document to being, "true, based on the seller's current actual knowledge", so again the vendor's state of knowledge is all that is being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An action brought on a misrepresentation of a fact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short of recklessness that qualifies as deceit, may well be precluded by the, "no representations, warranties, guarantees, promises or agreements ...", clause in the Contract of Purchase and Sale. Queen v.Cognos </w:t>
      </w:r>
      <w:hyperlink r:id="rId421"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at 644-5 (S.C.C.). An exclusion clause, however, would not bar an action in deceit. Deceit will be found if a false statement is made, knowingly, or without belief in its truth, or recklessly, careless whether it is true or false. Derry v. Peek (1889), 14 A.C., 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 remaking of the Property Condition Disclosure Statement, along with the Contract of Purchase and Sale, in my view, is not consistent with exclusions of representations from that contract. The Disclosure Statement was not "attached" in the sense of affixed with a staple, but the inference to be drawn from the remaking of the document in the presence of both the vendor and the purchasers, prefacing the execution of the Contract of Sale, is that the representations were meant to be included, not excluded, as terms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whether the misrepresentations are included or not, the evidence in this case is that the vendor knew that there were problems with roof leaks and he concealed this from the purchasers. Further, he was reckless in stating that he was unaware of structural problems in light of the very poor condition of the deck. Mr. Terry's evidence that he believed that he had made all necessary repairs cannot reasonably be accepted in light of the extensive problem found and the perfunctory repairs he performed. Further still, the statement that the vendor was unaware of problems with the septic system was false and his assurance that the cost of servicing was about $600 per year was untrue. He did not inform that the system was subject to a personal permit and Health Department monitoring of pumping of the holding tank. If this had been disclosed in accordance with Mr. Terry's agreement with the health department, the receipts for pumping in the ministry files would likely have been disclosed revealing that $600 was not an accurate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these respects I find the plaintiffs' action successful. It fails, however, in respect of the structural problems with the back wall. There is no evidence that the latent defects in the structure were known to Mr. Terry. The posts placed to support the structure were put in place before he purchased the property and there was no evidence of any subsequent work on this part of the building that may have brought the condition to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of damages is sparse and the record of cost of repairs attributable to the failings in the roof and deck is mixed with items not related to the misrepresentations. A new roof was applied. The deck was stripped of its layers of sub floor and rotted joists and rebuilt. The estimate given for the roof repair was $4,830 for application of new roofing material and underlying sheathing. The estimate for deck repairs includes the cost of a new deck railing, a feature which patently needed replacing and the cost of which cannot be included as the defendants' responsibility. The best that can be gathered from the evidence is the $2,250 estimate from Reliable Renovations plus the actual cost of vinyl decking, $876.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estimate for roofing appears to be inclusive of taxes. The work and materials quoted for the deck are not inclusive of GST and PST. The inclusive figure is $3,579.27.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loss due to the misrepresentation of the cost of sewage disposal is also difficult to assess. The appraisal report for the property calculates value on the basis of a 7.5%-8.0% capitalization rate on net rental revenue. Using the more conservative 8.0% rate, the loss of value due to the impact of the larger expense, judged to be $1,900 per year, would be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argue that there is some hope of a city sewer system in ten years and suggests damages based on $1,200 extra cost per year over this period. There is no compelling evidence of this but in light of the fact the plaintiffs present the more conservative figure, I will accept the amount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Total damages are therefore: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405"/>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Roof repair:</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$4,830.00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196"/>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Deck repair:</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3,579.00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569"/>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sewage disposal: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778"/>
        <w:gridCol w:w="2510"/>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$20,409.00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present a further claim having no relation to the purchase of the building. Mr. Baynham says he was hired to fell trees on the defendant's property at Cultus Lake. This occurred at a time when the parties were on better terms and helping out one another with home projects. There is insufficient evidence for me to consider the trees felled as done on a contractual basis and I reject this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7934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Berg v. Harbour City Diesel and Offroad Ltd., [2012] B.C.J. No. 970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17, 2012; written submissions, January 24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S23502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970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710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 D. Berg, Appellant, and Harbour City Diesel and Offroad Ltd.,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117" w:name="Case Summary_4"/>
            <w:bookmarkEnd w:id="117"/>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The Provincial Court of British Columbia, </w:t>
            </w:r>
            <w:r>
              <w:rPr>
                <w:rFonts w:ascii="arial" w:eastAsia="arial" w:hAnsi="arial" w:cs="arial"/>
                <w:i/>
                <w:color w:val="000000"/>
                <w:sz w:val="20"/>
                <w:lang w:val="en-US" w:eastAsia="en-US" w:bidi="ar-SA"/>
              </w:rPr>
              <w:t>Berg v. Harbour City</w:t>
            </w:r>
            <w:r>
              <w:rPr>
                <w:rFonts w:ascii="arial" w:eastAsia="arial" w:hAnsi="arial" w:cs="arial"/>
                <w:color w:val="000000"/>
                <w:sz w:val="20"/>
                <w:lang w:val="en-US" w:eastAsia="en-US" w:bidi="ar-SA"/>
              </w:rPr>
              <w:t xml:space="preserve">, August 26, 2011, Oral Reasons for Judgment Docket #C6666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Counsel_32"/>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Sanford Bartlett.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32"/>
      <w:bookmarkEnd w:id="119"/>
      <w:r>
        <w:pict>
          <v:line id="_x0000_s1141" style="position:absolute;z-index:2517944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P.G. VOITH J."/>
            <w:bookmarkEnd w:id="120"/>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appellant, Roy Berg, appeals a judgment of the Provincial Court, Small Claims Division, dated August 26, 2011. The appeal raises three issues: (1) whether Mr. Berg should be permitted to introduce additional evidence; (2) whether the trial judge made any errors of law or fact which warrant interference with his findings or conclusions; and (3) whether there is merit to Mr. Berg's new arguments, raised for the first time on appeal, regarding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dispute between the parties concerns modifications made to Mr. Berg's truck by the respondent, Harbour City Diesel and Offroad Ltd. ("Harbour City") in 2007, and 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Berg is an experienced truck driver and a licensed heavy duty mechanic.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Harbour City, founded in 2004, is a successful diesel performance company that provides modification, performance enhancement, and general maintenance services on diesel trucks. Mr. Cross is the proprietor of Harbour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the modifications, Mr. Berg owned a 1994 Chevy one-ton truck which still had its original engine and transmission. Mr. Berg was largely happy with its performance, but desired greater power to better pull his fifth wheel trailer through the mountains. He was referred to Harbour City. After prolonged discussions, work was commenced. The precise nature of the agreement between the parties is a matter of some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Harbour City installed a 24-valve Cummins engine, a transmission, an exhaust brake, and assorted other modifications to the truck. Many of the parts, including the engine and the transmission, were used, a common practice in the industry and a fact that Mr. Berg was aware of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Berg picked up his truck in December 2007, though some minor work remained to be completed. The truck was returned to Harbour City in late January for that remaining work, and again in March to have some leaks repaired, at no charge to Mr. 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Subsequently, while using his truck, Mr. Berg noticed that the valves were making excessive noise. This problem was repaired by Steven Troyan, a witness for Mr. Berg at trial, for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Two incidents led to Mr. Berg's claim against Harbour City. The first occurred in August 2008, when Mr. Berg was driving back from Bridge Lake. There was a problem with the radiator, the causes of which are disputed. The truck was partially repaired in Kamloops by Mr. Berg himself, and then driven back to Chilliwack. On the return journey, Mr. Berg observed that the transmission was running hot. He pulled over to the side of the road whenever the temperature became excessive, but otherwise continued driving. When he was able to have the truck looked at in Chilliwack, substantial problems were uncovered with the transmission, the primary cause of which, the trial judge determined, was a failed 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truck was again returned to Harbour City, and additional repairs were made to a blown inter-cooler hose and to increase the turbo boost. There was again no charge for these repairs. Mr. Berg was also provided a used fuel pump to replace his existing fuel pump. That fuel pump was later installed by Mr. Troyan.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second incident occurred almost a year later, in June 2009. Mr. Berg was on his way to a family reunion in Saskatchewan when, going up a hill outside of Creston, he was unable to generate sufficient power and only reached the top of the hill by continually shifting between first and second gear. The truck again overheated. When Mr. Berg inspected the truck he discovered that there were problems with the steady bearing. The steady bearing was fixed in Cranbrook, and some additional repairs were effected in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Mr. Berg returned to Vancouver, Mr. Troyan recommended that he replace and upgrade the turbocharger. The main cause of the problems with the turbocharger was discovered to be an improperly sized turbine wheel, installed prior to when Harbour City acquired the turbocharger from an auto-recycler.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Neither party was represented at trial. The trial was originally scheduled for two hours, but ended up taking two full days and two half days between May 21, 2010 and August 26, 2011. Mr. Berg's notice of civil claim sought the costs of his engine and transmission repairs, and alleged that he had been overcharged for a 24-valve engine instead of the 12-valve engine he wanted, for the conversion of that engine, and for parts and labour. The total value of his claim was $11,051.05. This was subsequently amended to $14,782.61.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During the trial itself, the trial judge summarized Mr. Berg's claims in the following terms: (1) that he received a 24-valve engine when he wanted a 12-valve engine; (2) that the turbocharger did not put out the proper boost; (3) that the bill he received was more than the quote; (4) that the fan was improperly installed; and (5) that the transmission was not appropriate for his needs. Mr. Berg agreed with this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Throughout, both parties and the judge treated the matter as a contract dispute. No mention was made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Berg applied for several interlocutory orders during the course of the trial, none of which were granted. These included an application to have the defence dismissed due to the alleged withholding of documents by Harbour City and an application to amend his statement of claim. The former was rejected by the trial judge as Mr. Berg had made no application for such documents until well into the trial and the application was based on no more than, as the trial judge put it, "speculation, supposition and guesswork that such documents, in fact, even exist". The latter was rejected as the costs sought to be added to the claim had been incurred well after the commencement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During the trial, Mr. Cross made an offer to Mr. Berg to settle his claims for $1,850. This offer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trial judge, in an oral judgment, only allowed a portion of Mr. Berg's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trial judge held that Mr. Berg had failed to establish that the damage to the radiator, transmission, or steady bearing had been caused by any fault,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improper installation on the part of Harbour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trial judge refused to allow the claim based on the discrepancy between the quote and the final bill. He held that the quote was only ever a quote, and that it continued to "float" as additional items were added to the job with the approval of Mr. Berg. As well, he noted that Mr. Berg did not complain to Mr. Cross about the bill when he picked up the truck and paid it without demur.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trial judge also held that while Mr. Berg originally requested a 12-valve engine, he agreed to the installation of the 24-valve engine of his own volition after considering the pros and cons of both engines.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trial judge allowed Mr. Berg's claim for the turbocharger, as he held that Mr. Berg was entitled to expect that the turbocharger he received would be in proper working order sufficient to pull at least some heavy load, and he also allowed the claim for the repair of the valves.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total value of the award was $1,484, plus interest and filing and service fees.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appeal was heard on January 17, 2012. At bottom, Mr. Berg sought to reargue the case. In his written arguments, he detailed his disagreements with the contents and findings of fact in all but eight of the 25 paragraphs in the trial judge's oral reasons for judgment. He also submitted that the trial judge should have applied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despite the fact that neither of these statutes had been pleaded or referred to. Further, he sought to introduce a binder of additional evidence which had not been put before the court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Berg did not seek to or purport to appeal any of the interlocutory orders made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Harbour City submitted that the trial judge was not "clearly wrong" on any findings of fact or law that had been made and that the appeal should be dismissed. He also submitted that Mr. Berg should not be able to introduce any new evidence as he had not sought leave from the court to do so, that the new evidence was irrelevant and/or could have been adduced at trial with due diligence, and that the trial judge had already ruled on the admissibility of some of these documents without those rulings having been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Harbour City briefly raised the issue that Mr. Berg had filed his appeal one day late and was also late delivering some materials. The issue was not pressed, however, and I have not directly addressed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At the close of the hearing, I requested that both parties provide me with brief supplementary arguments relating to the trial judge's failure to apply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his supplemental statement of arguments, Mr. Berg criticized the trial judge for not explicitly citing points of law, statutes, or precedents in his oral reasons. He submitted that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burden of proof should have been on Harbour City and that he should not have had to carry the burden of proving some of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Berg, going well beyond the intended scope of the requested supplementary arguments, also expanded on his arguments regarding the additional evidence he sought to introduce - still more of which was included with his supplemental statement of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Harbour City, in his supplementary statement of arguments, submitted that the claim considered by the trial judge: (a) did not allege any unfair practices; (b) did not assert that Harbour City committed or engaged in any deceptive act or practice; and (c) had not relied on either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As such, the trial judge did not make an error in law in not referring to those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AND CONDUCT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Given both the nature and tone of many of Mr. Berg's arguments on appeal and the history of this action, it is worthwhile at the outset to consider the purpose of proceedings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and to review, in some detail, the conduct of Mr. Berg at trial and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purpose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is expressed in s.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this Act and the rules is to allow people who bring claims to the Provincial Court to have them resolved and to have enforcement proceedings concluded in a just, speedy, inexpensive and simple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This language was explained in </w:t>
      </w:r>
      <w:r>
        <w:rPr>
          <w:rFonts w:ascii="arial" w:eastAsia="arial" w:hAnsi="arial" w:cs="arial"/>
          <w:i/>
          <w:color w:val="000000"/>
          <w:sz w:val="20"/>
          <w:lang w:val="en-US" w:eastAsia="en-US" w:bidi="ar-SA"/>
        </w:rPr>
        <w:t>Cappos v. Zurich Canada</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[1996] B.C.J. No. 2552</w:t>
        </w:r>
      </w:hyperlink>
      <w:r>
        <w:rPr>
          <w:rFonts w:ascii="arial" w:eastAsia="arial" w:hAnsi="arial" w:cs="arial"/>
          <w:color w:val="000000"/>
          <w:sz w:val="20"/>
          <w:lang w:val="en-US" w:eastAsia="en-US" w:bidi="ar-SA"/>
        </w:rPr>
        <w:t xml:space="preserve"> (P.C.) at para. 14, where, after referring to the language of s. 2, Stansfield P.C.J.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 That statutory objective must be understood in the context of a civil dispute mechanism which is intended to be accessible to lay litigants, and which is not intended to demand of parties the precision or procedural exactitude which is demanded in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Stansfield P.C.J. then went on, at paras. 15-16, to discuss the role and importance of pleadings in small claims trials: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It is the rule, rather than the exception, that pleadings in this court are, at best, inelegant. Frequently they are seriously deficient. If we dismissed every claim or defence which suffered for inadequate pleadings, our workload would be lightened considerably, but there would be a great deal of injustice to persons who have relied, at least implicitly, upon the assurance of the legislature that there will be provided to them an informal and accessible dispute resolution process. It must be remembered, though, that while the process is intended to be informal, the forum remains a court of law, constrained to apply the substantive law formally.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Having said that, there remains an important function for pleadings. However inelegant they may be, they must place the other party on notice generally of the claim or defence they would need to meet in the event of a trial.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Very little about this claim has been speedy, inexpensive, or simple, though, as I discuss below, I do find that the outcome achieved was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preponderance of the blame for this state of affairs lies with Mr. Berg, who at every level has made persistent efforts to expand the scope of the inquiry beyond what is appropriate or relevant, to introduce new evidence or arguments which have not been shared with the respondents, and to revisit and reargue matters which have already been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These tendencies are demonstrated by the evolution of Mr. Berg's pleadings at both trial and appeal. At trial, the dispute laid before the trial judge was discrete: the plaintiff's truck had been modified by the defendant garage and he was unhappy with the results. No allegations were made of any deceptive practices and no mention was made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transcripts establish that the trial judge worked with the parties to identify and frame the issues, eventually arriving at, with the agreement of Mr. Berg, the summary of his claims which I referred to earlier. Needless to say, these were also the issues addressed by Harbour City in its defence. The trial judge issued his judgment on the basis of this understanding of the claims, resolving the issues in plain, rather than legal, language. The approach taken by the trial judge squares fully with the purposes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and the decision in </w:t>
      </w:r>
      <w:r>
        <w:rPr>
          <w:rFonts w:ascii="arial" w:eastAsia="arial" w:hAnsi="arial" w:cs="arial"/>
          <w:i/>
          <w:color w:val="000000"/>
          <w:sz w:val="20"/>
          <w:lang w:val="en-US" w:eastAsia="en-US" w:bidi="ar-SA"/>
        </w:rPr>
        <w:t>Cappos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appeal, Mr. Berg's arguments changed significantly. Not only did he argue that there was some fault with almost all of the factual findings of the trial judge, he introduced two new arguments and he attempted to introduce a significant amount of additional evidence. He sought, in other words, not an appeal, but a rehearing of his case on the basis of different arguments and different evidence, a point I communicated repeatedly to Mr. 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warrants mention both that: (a) these new arguments were not developed in any detail - Mr. Berg simply copied and pasted substantial excerpts from the statutes into his written submissions; and, (b) that these arguments and almost all of the evidence were available to Mr. Berg before trial. There is no reason that they could not have been raised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Such attempts to expand the scope of an appeal and introduce arguments and evidence which could have been raised at trial are inappropriate and unfair to the other party. In </w:t>
      </w:r>
      <w:r>
        <w:rPr>
          <w:rFonts w:ascii="arial" w:eastAsia="arial" w:hAnsi="arial" w:cs="arial"/>
          <w:i/>
          <w:color w:val="000000"/>
          <w:sz w:val="20"/>
          <w:lang w:val="en-US" w:eastAsia="en-US" w:bidi="ar-SA"/>
        </w:rPr>
        <w:t>Singh v. Rekhi</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2011 BCSC 1368</w:t>
        </w:r>
      </w:hyperlink>
      <w:r>
        <w:rPr>
          <w:rFonts w:ascii="arial" w:eastAsia="arial" w:hAnsi="arial" w:cs="arial"/>
          <w:color w:val="000000"/>
          <w:sz w:val="20"/>
          <w:lang w:val="en-US" w:eastAsia="en-US" w:bidi="ar-SA"/>
        </w:rPr>
        <w:t xml:space="preserve">, a case which dealt with an appeal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Savage J., at para. 22,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is obliged to come to trial and present their best case. They cannot come back later and assert that they could have made a better case and therefore have the matter reheard, or for that matter, introduce new evidence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Aware that Mr. Berg had already filed approximately 70 pages of written submissions in his appeal, when I requested supplementary arguments I imposed a strict limit on both their length (two pages for Mr. Berg) and scope (the application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Harbour City complied with these restrictions, Mr. Berg did not. Not only did he exceed the page limit I had stipulated, but he again introduced new arguments and additional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short, throughout this process Mr. Berg has demonstrated an obdurate unwillingness to respect the requirements and nature of the process, despite repeated efforts by the trial judge and myself to explain them to him. I have addressed the significance of this conduct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ADDITIONAL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additional evidence Mr. Berg seeks to introduce consists of e-mails, website print-outs, engine specifications, internet forum discussions, photographs, invoices, and records of horsepower tests performed on the engine installed in the truck. Most of this material was included in his statement of arguments on appeal, the balance was attached to his supplementary submissions on the application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Berg did not formally seek leave to introduce new evidence, but given that he has represented himself throughout the proceedings and has no more than the average layman's knowledge of litigation, I attach no significance to this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is a distinction between "new evidence", evidence that became available subsequent to trial, and "fresh evidence", evidence which was in existence at the time of trial, but for various reasons was not put before the court: </w:t>
      </w:r>
      <w:r>
        <w:rPr>
          <w:rFonts w:ascii="arial" w:eastAsia="arial" w:hAnsi="arial" w:cs="arial"/>
          <w:i/>
          <w:color w:val="000000"/>
          <w:sz w:val="20"/>
          <w:lang w:val="en-US" w:eastAsia="en-US" w:bidi="ar-SA"/>
        </w:rPr>
        <w:t>Scott v. Scott</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2006 BCCA 504</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Most of the additional evidence Mr. Berg seeks to introduce pre-dates the trial. As such, it would constitute fresh evidence. Some of these materials were, in fact, before the trial judge as part of one of Mr. Berg's interlocutory motions with the trial judge refusing to admit them because of their late production. Again, this order was not appealed. Three pieces of evidence post-date the trial, and as such, constitute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test for admitting fresh evidence on appeal was summarized by Levine J.A. in </w:t>
      </w:r>
      <w:r>
        <w:rPr>
          <w:rFonts w:ascii="arial" w:eastAsia="arial" w:hAnsi="arial" w:cs="arial"/>
          <w:i/>
          <w:color w:val="000000"/>
          <w:sz w:val="20"/>
          <w:lang w:val="en-US" w:eastAsia="en-US" w:bidi="ar-SA"/>
        </w:rPr>
        <w:t>Jens v. Jens</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2008 BCCA 392</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deciding whether to admit fresh evidence on an appeal, the court applies the test set out in </w:t>
      </w:r>
      <w:r>
        <w:rPr>
          <w:rFonts w:ascii="arial" w:eastAsia="arial" w:hAnsi="arial" w:cs="arial"/>
          <w:i/>
          <w:color w:val="000000"/>
          <w:sz w:val="20"/>
          <w:lang w:val="en-US" w:eastAsia="en-US" w:bidi="ar-SA"/>
        </w:rPr>
        <w:t>Palmer v. The Queen</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[1980] 1 S.C.R. 759</w:t>
        </w:r>
      </w:hyperlink>
      <w:r>
        <w:rPr>
          <w:rFonts w:ascii="arial" w:eastAsia="arial" w:hAnsi="arial" w:cs="arial"/>
          <w:color w:val="000000"/>
          <w:sz w:val="20"/>
          <w:lang w:val="en-US" w:eastAsia="en-US" w:bidi="ar-SA"/>
        </w:rPr>
        <w:t xml:space="preserve"> at 775-776; </w:t>
      </w:r>
      <w:r>
        <w:rPr>
          <w:rFonts w:ascii="arial" w:eastAsia="arial" w:hAnsi="arial" w:cs="arial"/>
          <w:i/>
          <w:color w:val="000000"/>
          <w:sz w:val="20"/>
          <w:lang w:val="en-US" w:eastAsia="en-US" w:bidi="ar-SA"/>
        </w:rPr>
        <w:t>Spoor v. Nicholls</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2001 BCCA 426</w:t>
        </w:r>
      </w:hyperlink>
      <w:r>
        <w:rPr>
          <w:rFonts w:ascii="arial" w:eastAsia="arial" w:hAnsi="arial" w:cs="arial"/>
          <w:color w:val="000000"/>
          <w:sz w:val="20"/>
          <w:lang w:val="en-US" w:eastAsia="en-US" w:bidi="ar-SA"/>
        </w:rPr>
        <w:t xml:space="preserve"> at para. 16, </w:t>
      </w:r>
      <w:hyperlink r:id="rId670" w:history="1">
        <w:r>
          <w:rPr>
            <w:rFonts w:ascii="arial" w:eastAsia="arial" w:hAnsi="arial" w:cs="arial"/>
            <w:i/>
            <w:color w:val="0077CC"/>
            <w:sz w:val="20"/>
            <w:u w:val="single"/>
            <w:shd w:val="clear" w:color="auto" w:fill="FFFFFF"/>
            <w:lang w:val="en-US" w:eastAsia="en-US" w:bidi="ar-SA"/>
          </w:rPr>
          <w:t>90 B.C.L.R. (3d) 88</w:t>
        </w:r>
      </w:hyperlink>
      <w:r>
        <w:rPr>
          <w:rFonts w:ascii="arial" w:eastAsia="arial" w:hAnsi="arial" w:cs="arial"/>
          <w:color w:val="000000"/>
          <w:sz w:val="20"/>
          <w:lang w:val="en-US" w:eastAsia="en-US" w:bidi="ar-SA"/>
        </w:rPr>
        <w:t>. This test requires the appellant to demonstrate that the evidence was not discoverable by reasonable diligence before the end of the trial; that the evidence is credible; that it would be practically conclusive of an issue before the court; and that if believed, the evidence could have affected the result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discrete pieces of fresh evidence Mr. Berg seeks to adduce do not satisfy this test. All of them could have been discovered by reasonable due diligence before the end of trial. I am also satisfied that they would not, in any event, have affected the conclusions I have come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need for certainty and finality generally prevents the admission of new evidence on appeal. After a trial has been concluded, events may occur which affect the issues between the parties, but an appeal court reviews matters as they stood at the time of trial. It is not the function of an appeal court to rehear the case or reweigh the evidence: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New evidence is only admitted in exceptional circumstances, such as where the trial judge made assumptions about future events in order to calculate damages or for some other reason, and the course of events shows the trial judge's assumptions to have been incorrect: </w:t>
      </w:r>
      <w:r>
        <w:rPr>
          <w:rFonts w:ascii="arial" w:eastAsia="arial" w:hAnsi="arial" w:cs="arial"/>
          <w:i/>
          <w:color w:val="000000"/>
          <w:sz w:val="20"/>
          <w:lang w:val="en-US" w:eastAsia="en-US" w:bidi="ar-SA"/>
        </w:rPr>
        <w:t>Jens</w:t>
      </w:r>
      <w:r>
        <w:rPr>
          <w:rFonts w:ascii="arial" w:eastAsia="arial" w:hAnsi="arial" w:cs="arial"/>
          <w:color w:val="000000"/>
          <w:sz w:val="20"/>
          <w:lang w:val="en-US" w:eastAsia="en-US" w:bidi="ar-SA"/>
        </w:rPr>
        <w: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Berg's new evidence consists of an invoice for a new turbocharger, dated November 23, 2011, a WorkSafe BC letter and an e-mail exchange with an eye surgeon concerning a workplace injury in September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invoice for the turbocharger is inadmissible. Mr. Berg has not established that it renders inaccurate any assumptions or conclusions made by the trial judge or that the interests of justice otherwise require its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letter and e-mail exchange appear to be related to Mr. Berg's late filing of the appeal. As I have made no finding on this issue, there is no need to admit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REVIEW ON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Smithers Parts Ltd. v. Hudson</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2009 BCSC 1645</w:t>
        </w:r>
      </w:hyperlink>
      <w:r>
        <w:rPr>
          <w:rFonts w:ascii="arial" w:eastAsia="arial" w:hAnsi="arial" w:cs="arial"/>
          <w:color w:val="000000"/>
          <w:sz w:val="20"/>
          <w:lang w:val="en-US" w:eastAsia="en-US" w:bidi="ar-SA"/>
        </w:rPr>
        <w:t xml:space="preserve"> at paras. 26-27, A. MacKenzie J., as she then was, explained the standard of review applicable to decisions made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standard of review on pure questions of law is one of correctness, but the standard of review for findings of fact is they cannot be reversed unless the trial judge has made a palpable and overriding error. A palpable error is one that is plainly seen: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An appeal court should only intervene when there is a material error, a serious misapprehension of the evidence, or an error in law: </w:t>
      </w:r>
      <w:r>
        <w:rPr>
          <w:rFonts w:ascii="arial" w:eastAsia="arial" w:hAnsi="arial" w:cs="arial"/>
          <w:i/>
          <w:color w:val="000000"/>
          <w:sz w:val="20"/>
          <w:lang w:val="en-US" w:eastAsia="en-US" w:bidi="ar-SA"/>
        </w:rPr>
        <w:t>Hickey v. Hickey</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[1999] 2 S.C.R. 518</w:t>
        </w:r>
      </w:hyperlink>
      <w:r>
        <w:rPr>
          <w:rFonts w:ascii="arial" w:eastAsia="arial" w:hAnsi="arial" w:cs="arial"/>
          <w:color w:val="000000"/>
          <w:sz w:val="20"/>
          <w:lang w:val="en-US" w:eastAsia="en-US" w:bidi="ar-SA"/>
        </w:rPr>
        <w:t xml:space="preserve"> at paras. 11-12; </w:t>
      </w:r>
      <w:r>
        <w:rPr>
          <w:rFonts w:ascii="arial" w:eastAsia="arial" w:hAnsi="arial" w:cs="arial"/>
          <w:i/>
          <w:color w:val="000000"/>
          <w:sz w:val="20"/>
          <w:lang w:val="en-US" w:eastAsia="en-US" w:bidi="ar-SA"/>
        </w:rPr>
        <w:t>R. v. Clark</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2005 SCC 2</w:t>
        </w:r>
      </w:hyperlink>
      <w:r>
        <w:rPr>
          <w:rFonts w:ascii="arial" w:eastAsia="arial" w:hAnsi="arial" w:cs="arial"/>
          <w:color w:val="000000"/>
          <w:sz w:val="20"/>
          <w:lang w:val="en-US" w:eastAsia="en-US" w:bidi="ar-SA"/>
        </w:rPr>
        <w:t xml:space="preserve">. This court will only intervene in an appeal from Small Claims Court where the trial judge was clearly wrong in his apprehension of the law or the facts: </w:t>
      </w:r>
      <w:r>
        <w:rPr>
          <w:rFonts w:ascii="arial" w:eastAsia="arial" w:hAnsi="arial" w:cs="arial"/>
          <w:i/>
          <w:color w:val="000000"/>
          <w:sz w:val="20"/>
          <w:lang w:val="en-US" w:eastAsia="en-US" w:bidi="ar-SA"/>
        </w:rPr>
        <w:t>Priority Buildings Services Ltd. v. Ali</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[1999] B.C.J. No. 2820</w:t>
        </w:r>
      </w:hyperlink>
      <w:r>
        <w:rPr>
          <w:rFonts w:ascii="arial" w:eastAsia="arial" w:hAnsi="arial" w:cs="arial"/>
          <w:color w:val="000000"/>
          <w:sz w:val="20"/>
          <w:lang w:val="en-US" w:eastAsia="en-US" w:bidi="ar-SA"/>
        </w:rPr>
        <w:t xml:space="preserve"> at para. 10, and </w:t>
      </w:r>
      <w:r>
        <w:rPr>
          <w:rFonts w:ascii="arial" w:eastAsia="arial" w:hAnsi="arial" w:cs="arial"/>
          <w:i/>
          <w:color w:val="000000"/>
          <w:sz w:val="20"/>
          <w:lang w:val="en-US" w:eastAsia="en-US" w:bidi="ar-SA"/>
        </w:rPr>
        <w:t>Stewart v. Strutt</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[1998] B.C.J. No. 636</w:t>
        </w:r>
      </w:hyperlink>
      <w:r>
        <w:rPr>
          <w:rFonts w:ascii="arial" w:eastAsia="arial" w:hAnsi="arial" w:cs="arial"/>
          <w:color w:val="000000"/>
          <w:sz w:val="20"/>
          <w:lang w:val="en-US" w:eastAsia="en-US" w:bidi="ar-SA"/>
        </w:rPr>
        <w:t xml:space="preserve"> at para. 10, both being Provincial Court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Apart from the ground that the judge based his error on an issue not before the court, I must find palpable and overriding error in order to reverse findings of fact or that the trial judge was clearly wrong in his apprehension of the facts; thus, the rules are the same as in the British Columbia Court of Appeal on a review from a judgment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reason that such deference is paid to the decision of the trial judge is because the trial judge benefits from hearing the testimony in person, has much greater exposure to the evidence and as a result is more familiar with the case as a whole, and is better able to assess the credibility of witnesses than is a judge sitting on appeal: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standard of review is particularly important as it pertains to the appeal advanced by Mr. Berg. In his various appeal materials and in his supplemental submissions, Mr. Berg has consistently sought to reargue the issues which were before the trial judge. This was not and is not open to him. The onus lies on Mr. Berg to establish either an error of law or that there was no reasonable evidential foundation for the factual findings which the trial judge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Berg's alleged errors of fact are too numerous to deal with individually. Again, it is not the job of an appeal court to reweigh all of the evidence, only to assess whether the conclusions of the trial judge are supported by the evidence. Having reviewed the trial record, I am satisfied that all of the factual conclusions of the trial judge were so supported. Referring to contrary evidence that was before the judge or baldly stating that the judge erred is unlikely to satisfy an appellate court that the trial judge has committed palpable and overriding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following examples are illustrative of the evidentiary bases for the factual findings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One of the trial judge's central conclusions was that while Mr. Berg had originally wanted a 12-valve engine, he subsequently agreed to the installation of the 24-valve engine. This was supported by the testimony of Mr. Cross on April 1, 2011. More significantly, it was supported by an e-mail exchange between Mr. Cross and Mr. Berg, on September 25, 2007. In that e-mail, Mr. Cross discussed and recommended the 24-valve engine, but also wrote, "We can still install a 12V as orig[i]nally planned but I thought that this 24V was a good deal and wanted to inform you about it". Mr. Berg replied, "If you can work this [a delay in Mr. Berg's ability to send money] out, </w:t>
      </w:r>
      <w:r>
        <w:rPr>
          <w:rFonts w:ascii="arial" w:eastAsia="arial" w:hAnsi="arial" w:cs="arial"/>
          <w:color w:val="000000"/>
          <w:sz w:val="20"/>
          <w:u w:val="single"/>
          <w:lang w:val="en-US" w:eastAsia="en-US" w:bidi="ar-SA"/>
        </w:rPr>
        <w:t>then go ahead with the 24V engine</w:t>
      </w:r>
      <w:r>
        <w:rPr>
          <w:rFonts w:ascii="arial" w:eastAsia="arial" w:hAnsi="arial" w:cs="arial"/>
          <w:color w:val="000000"/>
          <w:sz w:val="20"/>
          <w:lang w:val="en-US" w:eastAsia="en-US" w:bidi="ar-SA"/>
        </w:rPr>
        <w:t>" [emphasis added]. This e-mail was before the court and was referred to by the trial judge in his reasons. Mr. Berg maintains that he was "forced" into the decision. Even if I agreed, which I do not, on the evidence available to the trial judge it was certainly open to him to conclude that Mr. Berg had agreed to the installation of the 24-valve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Another of the trial judge's conclusions was that Mr. Berg failed to establish on the balance of probabilities that the damage to the radiator on his return journey from Bridge Lake was caused by the fan being installed too close to the radiator assembly. On this point, and on others, the evidence of Mr. Berg's own witness, Mr. Troyan, supported the trial judge's conclusion. During cross-examination, the following exchange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mark you see at the top is where the fan blade initially somehow folded over and then now it's bent over and it's running and carving up the radiator. For some reason, one blade bent over. We don't know why. And I told Mr. Berg that as I looked at it. I don't know why the blade bent over. Something had to have hit it and just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Mr. Troyan, from your experience and knowledge and based on all the evidence you've seen around the radiator and the fan, can you rule out -- is there anything you've seen that rules out the possibility that something struck the fan thus causing that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No, I've never seen -- I've never seen one blade on a fan bend up like that. I don't know what would cause it.</w:t>
      </w:r>
      <w:r>
        <w:rPr>
          <w:rFonts w:ascii="arial" w:eastAsia="arial" w:hAnsi="arial" w:cs="arial"/>
          <w:color w:val="000000"/>
          <w:sz w:val="20"/>
          <w:lang w:val="en-US" w:eastAsia="en-US" w:bidi="ar-SA"/>
        </w:rPr>
        <w:t xml:space="preserve"> I think me and Roy looked at that fan there afterwards and I would be very troubled to point to a situation and say this is what happened here. That's like what come first, the chicken or the egg.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Is it possible something struck that fan?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Absolutely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While I do not suggest that a "possibility" is the relevant standard of proof the trial judge was to apply, there was also further or additional testimony from Mr. Troyan and Mr. Cross which supported the theory that an object striking the fan, rather than the installed location of the fan, caused the fan to strike the radiator. In short, there was admissible evidence before the trial judge to support 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To reiterate, I am satisfied that the various factual determinations made by the trial judge are all supported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ERRORS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Mr. Berg argues that the trial judge erred in not applying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These statutes, however, were not pled, referred to, or otherwise relied on by Mr. Berg. It is also not self-evident that they should have applied. Mr. Berg did not allege any deceptive acts or practices at trial and the subject matter of the dispute was not a simple sale of a good. It was a contract for the modification, not purchase, of a truck, and included both parts and labour. Some cases have regarded such agreements as governed by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(e.g. </w:t>
      </w:r>
      <w:r>
        <w:rPr>
          <w:rFonts w:ascii="arial" w:eastAsia="arial" w:hAnsi="arial" w:cs="arial"/>
          <w:i/>
          <w:color w:val="000000"/>
          <w:sz w:val="20"/>
          <w:lang w:val="en-US" w:eastAsia="en-US" w:bidi="ar-SA"/>
        </w:rPr>
        <w:t>N.K. Automotive Truck &amp; Diesel Repair Ltd. v. Gumpel</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2001 BCSC 1248</w:t>
        </w:r>
      </w:hyperlink>
      <w:r>
        <w:rPr>
          <w:rFonts w:ascii="arial" w:eastAsia="arial" w:hAnsi="arial" w:cs="arial"/>
          <w:color w:val="000000"/>
          <w:sz w:val="20"/>
          <w:lang w:val="en-US" w:eastAsia="en-US" w:bidi="ar-SA"/>
        </w:rPr>
        <w:t xml:space="preserve">), others have not (e.g. </w:t>
      </w:r>
      <w:r>
        <w:rPr>
          <w:rFonts w:ascii="arial" w:eastAsia="arial" w:hAnsi="arial" w:cs="arial"/>
          <w:i/>
          <w:color w:val="000000"/>
          <w:sz w:val="20"/>
          <w:lang w:val="en-US" w:eastAsia="en-US" w:bidi="ar-SA"/>
        </w:rPr>
        <w:t>McVie v. Lombard Insurance Co.</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2010 BCSC 1025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Alex Gair &amp; Sons Ltd. v. Lepinski</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[1998] B.C.J. No. 494</w:t>
        </w:r>
      </w:hyperlink>
      <w:r>
        <w:rPr>
          <w:rFonts w:ascii="arial" w:eastAsia="arial" w:hAnsi="arial" w:cs="arial"/>
          <w:color w:val="000000"/>
          <w:sz w:val="20"/>
          <w:lang w:val="en-US" w:eastAsia="en-US" w:bidi="ar-SA"/>
        </w:rPr>
        <w:t>). As the issue was not argued by the parties, I make no finding on that point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neither statute was raised by either of the parties at trial and as it was not self-evident that they applied to the facts, the trial judge did not err in not applying the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NEW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Since the trial judge did not err in not applying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Mr. Berg's submissions regarding these statutes must be addressed as new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a general rule, new arguments are not considered on appeal unless the question is one of pure law and can be adequately addressed on the record created at trial: </w:t>
      </w:r>
      <w:r>
        <w:rPr>
          <w:rFonts w:ascii="arial" w:eastAsia="arial" w:hAnsi="arial" w:cs="arial"/>
          <w:i/>
          <w:color w:val="000000"/>
          <w:sz w:val="20"/>
          <w:lang w:val="en-US" w:eastAsia="en-US" w:bidi="ar-SA"/>
        </w:rPr>
        <w:t>Phillips v. Keefe</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2012 BCCA 123</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Notwithstanding this, and despite some misgivings about the applicability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the adequacy of the trial record, since I have received additional submissions on these arguments from the parties I have chosen to address them here, if only to demonstrate to Mr. Berg that even if they had been considered at trial they would not have advanced his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was no express warranty in the agreement between Mr. Berg and Harbour City, though Mr. Cross did testify at trial that they "stand behind" their work, and indeed on several occasions Harbour City did provide follow up repairs at no charge to Mr. Berg. There was a 90-day warranty provided by the auto-recycler on the parts used in the installation, but Mr. Berg was not informed of this and, in any event, the problems occurred well after this warranty had expired. Any warranty relied on by Mr. Berg, therefore, must be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his pleadings, Mr. Berg simply cites s. 18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this and any other Act, there is no implied warranty or condition as to the quality or fitness for any particular purpose of goods supplied under a contract of sale or lease, except as follows: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buyer or lessee, expressly or by implication, makes known to the seller or lessor the particular purpose for which the goods are required, so as to show that the buyer or lessee relies on the seller's or lessor's skill or judgment, and the goods are of a description that it is in the course of the seller's or lessor's business to supply, whether the seller or lessor is the manufacturer or not, there is an implied condition that the goods are reasonably fit for that purpose; except that in the case of a contract for the sale or lease of a specified article under its patent or other trade name, there is no implied condition as to its fitness for any particular purpose;</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goods are bought by description from a seller or lessor who deals in goods of that description, whether the seller or lessor is the manufacturer or not, there is an implied condition that the goods are of merchantable quality; but if the buyer or lessee has examined the goods there is no implied condition as regards defects that the examination ought to have revealed;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implied condition that the goods will be durable for a reasonable period of time having regard to the use to which they would normally be put and to all the surrounding circumstances of the sale or lease;</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implied warranty or condition as to quality or fitness for a particular purpose may be annexed by the usage of trade;</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express warranty or condition does not negative a warranty or condition implied by this Act unless inconsistent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facts, there might, in concept, be a claim under any or all of (a), (b) or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No reverse onus arises under the provisions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The plaintiff must establish not only the existence of an implied warranty, if one is relied on, but its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Mr. Berg has benefited from the use of the truck for the past four years and sought damages at trial which were lower than the total amount he had paid for the rebuild, I understand the argument to be that there has been a breach of a warranty, rather than a breach of a condition which would set aside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Fitness for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From the trial record, it is apparent that Mr. Berg did rely, to at least some extent, on Harbour City's skill or judgment and that Harbour City was in the business of supplying parts and services for the modification of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question of whether Mr. Berg made his particular purpose known to Harbour City is more complicated. This question was addressed at trial. Mr. Berg alleged that Harbour City had known his trailer weighed 16,000 pounds, while Mr. Cross testified that he only ever understood that Mr. Berg would be towing a heavy load. The trial judge, in his reasons, concluded that Harbour City only knew that Mr. Berg was pulling a heavily-loaded trailer. There was ample evidence for this conclusion, which was supported not only by Mr. Cross's testimony, but by the testimony of Mr. Troyan, who stated that Mr. Berg's truck itself was not appropriate for pulling a 16,000 pound trailer and that to do so was, as far as he knew, actually illegal as the towed load exceeded the gross vehicular weight of the truck. I therefore accept and agree that the particular purpose made known to Harbour City was limited to the understanding that Mr. Berg would be towing a heavy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truck, as initially picked up by Mr. Berg, was not suitable for this purpose. The evidence, however, does not demonstrate that the problem extended beyond the turbocharger. Mr. Troyan, who, it is worth reiterating, was Mr. Berg's witness, agreed that the conversion itself was a "quality job". Once the turbocharger was replaced, gas mileage and performance dramatically improved and, at trial, Mr. Berg provided the following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How's the truck running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It's unbelievable.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It's going fine?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It's a totally different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Berg has not established that any of the other mechanical issues suffered by the truck in 2008 and 2009 were the result of its lack of fitness for the expressed particular purpose. First, Mr. Berg has not established that the problems were caused by the truck towing a heavy load. As the trial judge concluded, he has failed to exclude or address other possible causes of the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Second, the major incidents in August 2008 and June 2009 both occurred when Mr. Berg was towing his 16,000 pound trailer, a purpose which was not communicated to Harbour City and which his own witness testified was inappropriate and possibly illegal for his truck. Even if there was evidence establishing that towing was the cause of the problems, there is no evidence establishing that the same problems would have occurred if Mr. Berg had been towing a heavy, but not 16,000 pound, load, the particular purpose that I have found was communicated to Harbour City. In this regard, it is worth noting that Mr. Berg was able to successfully tow lighter loads, such as a smaller camper and a U-Haul trailer on trips to Wyoming after the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Except for the difficulties with the turbocharger, Mr. Berg has also not established that the truck was not fit for the ordinary purposes of a truck. There were some initial minor issues, but these either related to the turbocharger, were repaired at no cost by Harbour City, or were repaired by Mr. Troyan and Mr. Berg has already been awarded damages for them. Otherwise, the truck performed adequately except when hauling Mr. Berg's 16,000 pound trailer.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Merchantable Quality and Durability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many cases there may be no practical difference between warranties of fitness for purpose and merchantable quality. However, these warranties can apply in different circumstances and can provide differing degrees of protection: </w:t>
      </w:r>
      <w:r>
        <w:rPr>
          <w:rFonts w:ascii="arial" w:eastAsia="arial" w:hAnsi="arial" w:cs="arial"/>
          <w:i/>
          <w:color w:val="000000"/>
          <w:sz w:val="20"/>
          <w:lang w:val="en-US" w:eastAsia="en-US" w:bidi="ar-SA"/>
        </w:rPr>
        <w:t>Wharton v. Tom Harris Chevrolet Oldsmobile Cadillac Ltd.</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2002 BCCA 78</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parts were sold to Mr. Berg by description. Mr. Berg raises the issue of whether the engine installed in his truck matched the description he was given. As discussed in more detail below in relation to Mr. Berg's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I find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"Merchantable quality" is not defined by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A broad or encompassing definition is also difficult to discern from the case law, the question being highly fact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Mr. Berg was purchasing and knew he was purchasing used parts. In </w:t>
      </w:r>
      <w:r>
        <w:rPr>
          <w:rFonts w:ascii="arial" w:eastAsia="arial" w:hAnsi="arial" w:cs="arial"/>
          <w:i/>
          <w:color w:val="000000"/>
          <w:sz w:val="20"/>
          <w:lang w:val="en-US" w:eastAsia="en-US" w:bidi="ar-SA"/>
        </w:rPr>
        <w:t>Bartlett v. Sidney Marcus Ltd.</w:t>
      </w:r>
      <w:r>
        <w:rPr>
          <w:rFonts w:ascii="arial" w:eastAsia="arial" w:hAnsi="arial" w:cs="arial"/>
          <w:color w:val="000000"/>
          <w:sz w:val="20"/>
          <w:lang w:val="en-US" w:eastAsia="en-US" w:bidi="ar-SA"/>
        </w:rPr>
        <w:t>, [1965] 2 All E.R. 753 (C.A.), which concerned the sale of a used car, Lord Denning held that "merchantable" means of some use, though not entirely efficient use for the purpose; not perfect condition, but usable condition. He also held that the buyer of a used vehicle must realize that defects may appear sooner or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Lord Salmond concurred that the used car had been of merchantable quality, emphasizing the fact that it had been driven more than 300 miles over the month between its purchase and the buyer's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Bartlett</w:t>
      </w:r>
      <w:r>
        <w:rPr>
          <w:rFonts w:ascii="arial" w:eastAsia="arial" w:hAnsi="arial" w:cs="arial"/>
          <w:color w:val="000000"/>
          <w:sz w:val="20"/>
          <w:lang w:val="en-US" w:eastAsia="en-US" w:bidi="ar-SA"/>
        </w:rPr>
        <w:t xml:space="preserve"> has been cited in this province in a number of decisions, including </w:t>
      </w:r>
      <w:r>
        <w:rPr>
          <w:rFonts w:ascii="arial" w:eastAsia="arial" w:hAnsi="arial" w:cs="arial"/>
          <w:i/>
          <w:color w:val="000000"/>
          <w:sz w:val="20"/>
          <w:lang w:val="en-US" w:eastAsia="en-US" w:bidi="ar-SA"/>
        </w:rPr>
        <w:t>Kerr v. Gingas</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(1980), 24 B.C.L.R. 372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All-Trac Leasing Ltd. v. North American Trust Co.</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[1996] B.C.J. No. 1747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Wanless v. Graham</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2009 BCSC 579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Used car parts should be held to a similar standard as used cars. A buyer must realize that used parts are inherently less reliable than new parts and that defects may appear sooner or later. So long as the used parts can be reasonably used, they are of merchantable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with fitness for purpose, and with the exception of the turbocharger, the evidence does not establish that any of the parts sold to Mr. Berg or installed in his truck by Harbour City were not of merchantable quality. The two incidents which spurred this action occurred eight months and eighteen months, respectively, after Mr. Berg picked up the truck from Harbour City. In the interim, Mr. Berg used the truck extensively and put thousands of miles on it. I therefore find that the parts were of merchantable quality when sold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For the same reasons, I also find that the parts satisfied any implied warranty of durability.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Mr. Berg now has, and for some time has had, what he paid for: a modified truck with substantially more power than in its original configuration that is capable of pulling a heavy load. While it was not initially fit for his purposes, there are no grounds for an award in the amount he claims. In the case of a breach of warranty, s. 56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provides that the remedy is the estimated loss directly and naturally resulting from the breach. In this case, that is the cost of the repairs necessary to make the truck fit for its particular purpose. The only repair and attendant cost for which Mr. Berg has been charged which has been established as relating to the performance of his truck and its fitness for his purpose, is the cost for the replacement of the turbocharger. Mr. Berg has failed to establish that the problems with the transmission, engine, or steady bearing were linked to the quality of the goods sold or the work done by Harbour City. The only other repair he has been charged for that is linked to the work done by Harbour City is the valve adjustment performed by Mr. Troyan. Mr. Berg has already been awarded damages for the turbocharger replacement and valve adjustment by the trial judge. There is no evidence before me to justify varying the damages already awarded to Mr. Berg.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is once again not entirely clear what breach Mr. Berg is advancing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but it appears to be that Harbour City committed a deceptive or unconscionable act or practice in relation to one or several of the following: (1) the engine installed in Mr. Berg's truck; (2) the decision to install a 24-valve engine rather than a 12-valve engine; and (3) the inability of the truck to pull his 16,000 pound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latter two claims have been addressed above in my review of the trial judge's findings of fact and the application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I have not recanvassed these claims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have not, thus far, addressed Mr. Berg's allegation that Harbour City deceived him by claiming that the 1999 engine installed in his truck was actually a 2001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allegation was raised briefly at trial, during discussion of an application by Mr. Berg to have Harbour City's defence and counterclaim dismissed. This application was dismissed and was not appealed. In that discussion, the trial judge rejected Mr. Berg's allegation both because he had delayed bringing it until trial and because it was unsupported by the evidence. The allegation was not argued or considered by the trial judge as a deceptive act or practice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Section 4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defines a deceptive act or practice as a representation or conduct by a supplier that has the capability, tendency, or effect of deceiving or misleading a consumer. This can include a representation that goods are of a particular style or model if they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Under s. 5, the burden of proof for claims that a supplier engaged in a deceptive act or practice is reversed. The onus is on the supplier to prove that it did not engage in such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the evidence before me, I am satisfied that Harbour City did not engage in any deceptive practice regarding the provenance of the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According to the e-mails exchanged between Mr. Cross and Mr. Berg, Mr. Berg was initially interested in a "96-98 5.9 litre 12 valve Cummins" engine. He wanted to avoid post-1998 engines because he had been warned of problems with their electronics. However, he was not fixated on an engine of this type. In subsequent e-mails Mr. Cross discussed with him the relative merits and drawbacks of "98-02 Cummins", "03-06 Dodge Cummins", "older Cummins 89-93" and "new diesels 2004.5+" engines.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As discussed above, on September 25, 2007, Mr. Cross e-mailed Mr. Berg that he had found what he described as "a complete powertrain from a 2001 Dodge" and recommended it for the conversion. It is noteworthy that Mr. Cross did not describe it as a 2001 engine, but rather as coming </w:t>
      </w:r>
      <w:r>
        <w:rPr>
          <w:rFonts w:ascii="arial" w:eastAsia="arial" w:hAnsi="arial" w:cs="arial"/>
          <w:i/>
          <w:color w:val="000000"/>
          <w:sz w:val="20"/>
          <w:lang w:val="en-US" w:eastAsia="en-US" w:bidi="ar-SA"/>
        </w:rPr>
        <w:t>from</w:t>
      </w:r>
      <w:r>
        <w:rPr>
          <w:rFonts w:ascii="arial" w:eastAsia="arial" w:hAnsi="arial" w:cs="arial"/>
          <w:color w:val="000000"/>
          <w:sz w:val="20"/>
          <w:lang w:val="en-US" w:eastAsia="en-US" w:bidi="ar-SA"/>
        </w:rPr>
        <w:t xml:space="preserve"> a 2001 Dodge, which is consistent with his testimony at trial. When referring to the engine by itself in that same e-mail, he referred to it as "the 24V". In subsequent correspondence that same day the engine was referred to by Mr. Berg as "the 24V engine", and Mr. Cross referred to it as "this 24V" and, along with the other parts of the powertrain, as "the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do not draw any significance from the parties' use of inconsistent terms. Read in context, it is clear that they understood one another and were talking about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parties continued to refer to the engine as variously "the 24V", "the 24-valve Cummins", "the 2001" and "the 2001 engine" until Mr. Berg picked up his truck in December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At no point either when the engine was first identified as coming from a 2001 Dodge or subsequently did Mr. Berg seek to clarify or confirm that the engine itself was manufactured in 2001, despite the fact that as a heavy duty mechanic and experienced truck driver he was aware that model years and calendar years are not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Nor did Mr. Berg ever, until he made his application at trial, provide any indication that he sought an engine manufactured in a particular year. Different types of engines were always discussed with reference to a range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Absent any expressed desire on the part of Mr. Berg for an engine from 2001, Harbour City had no reason to deceive Mr. Berg as to its provenance. There was no indication that he was any more likely to agree to an engine from 2001 than he was to an engine from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therefore conclude that if Mr. Berg was mistaken as to the date of manufacture of the engine, it was not because of any deceptive act on the part of Harbour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Under s. 13(1)(d)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on appeal the Supreme Court may "award costs to any party to the appeal in accordance with the Supreme Court Rules". Under Rule 14-1(9), costs are awarded to the successful party unless the court orders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Harbour City has requested that costs be awarded to it on Scale C. Scale C applies to matters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Cost awards, as well as indemnifying a successful party, are recognized as having a role in discouraging conduct that increases the duration and expense of litigation and discouraging the continuance of doubtful cases or defences: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This appeal should not have been a matter of more than ordinary difficulty. The dispute between the parties was relatively clear cut and the legal issues were not novel.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discussed above, however, Mr. Berg's actions rendered the appeal a more than ordinarily difficult one. In saying this, I have applied the standard of difficulty which would be relevant to a small claim action. While I accept that his status or position as an unrepresented litigant may underlie some of his conduct, my concerns go beyond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Court rules and procedures may often appear somewhat formal and rigid, to lawyers as well as laypersons, but the formality of the courtroom and the strictures surrounding, for example, when and what evidence can be presented or what issues must be properly pleaded, serve a real and important purpose. That purpose is the creation of a forum where disputes can be adjudicated consistently, civilly, and fairly. If one party consistently bends or flouts those rules, the roles of both the court and the other party are made considerably more difficult. In particular, increased laxity or flexibility on the part of the court to accommodate one party runs the real risk of being unfair to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this case, a straightforward matter involving a finite and relatively modest amount of money was made complex, time consuming, and expensive by Mr. Berg. This arose overwhelmingly not because of a failure to understand what was being communicated to him, but because of an obdurate refusal to accept what he was being told by the trial judge and by myself.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appeal is dismissed with costs to Harbour City on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Blackwater et al. v. Plint et al., [2001] I.L.R. para. G-1459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Brenner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July 10, 2001.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2001</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I.L.R. para. G-1459</w:t>
      </w:r>
    </w:p>
    <w:p>
      <w:pPr>
        <w:spacing w:before="120" w:line="260" w:lineRule="atLeast"/>
        <w:rPr>
          <w:lang w:val="en-US" w:eastAsia="en-US" w:bidi="ar-SA"/>
        </w:rPr>
      </w:pPr>
      <w:r>
        <w:rPr>
          <w:rFonts w:ascii="arial" w:eastAsia="arial" w:hAnsi="arial" w:cs="arial"/>
          <w:color w:val="000000"/>
          <w:sz w:val="20"/>
          <w:lang w:val="en-US" w:eastAsia="en-US" w:bidi="ar-SA"/>
        </w:rPr>
        <w:t>Blackwater et al. v. Plint et al.</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3" style="position:absolute;z-index:2516981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1" w:name="Keywords_4"/>
      <w:bookmarkEnd w:id="121"/>
      <w:r>
        <w:rPr>
          <w:rFonts w:ascii="arial" w:eastAsia="arial" w:hAnsi="arial" w:cs="arial"/>
          <w:b/>
          <w:color w:val="000000"/>
          <w:sz w:val="20"/>
          <w:lang w:val="en-US" w:eastAsia="en-US" w:bidi="ar-SA"/>
        </w:rPr>
        <w:t>Personal injury damages — Sexual assault — Native residential schools — Crown and Church vicariously liable for assaults by school employee — Limitations — Only claims based on sexual misconduct survived — Other negative factors in plaintiffs' lives considered in assessing damages — Limitation Act, R.S.B.C. 1979, c. 236, s. 3(4).</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2" w:name="Case Summary_5"/>
            <w:bookmarkEnd w:id="122"/>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personal injury damages arising from sexual assaults committed against the plaintiffs at a native residential school from the 1940s to the 1960s. In the first phase of the trial, the Church and the government of Canada were found vicariously liable for the assaults committed by P, a dormitory supervisor at the school. This judgment dealt only with other liability issues, direct liability, fiduciary duty, non-delegable statutory duty, limitation defences, and the assessment of damages.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 criminal conviction had been entered against P, and the Church and the government of Canada admitted that the acts of sexual abuse did occur.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plaintiffs claimed that the defendants were negligent in failing to investigate or monitor employees and in failing to take steps to avoid the abuse that occurred. </w:t>
            </w:r>
            <w:r>
              <w:rPr>
                <w:lang w:val="en-US" w:eastAsia="en-US" w:bidi="ar-SA"/>
              </w:rPr>
              <w:cr/>
            </w:r>
          </w:p>
          <w:p>
            <w:pPr>
              <w:spacing w:before="120" w:line="260" w:lineRule="atLeast"/>
              <w:ind w:left="240"/>
              <w:jc w:val="both"/>
              <w:rPr>
                <w:lang w:val="en-US" w:eastAsia="en-US" w:bidi="ar-SA"/>
              </w:rPr>
            </w:pPr>
            <w:bookmarkStart w:id="123" w:name="Holdings of Court_4"/>
            <w:bookmarkEnd w:id="123"/>
            <w:r>
              <w:rPr>
                <w:rFonts w:ascii="arial" w:eastAsia="arial" w:hAnsi="arial" w:cs="arial"/>
                <w:color w:val="000000"/>
                <w:sz w:val="20"/>
                <w:lang w:val="en-US" w:eastAsia="en-US" w:bidi="ar-SA"/>
              </w:rPr>
              <w:t>HELD: The plaintiffs were successful.</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In the first phase of the trial, it had been held that the operation of the school was a joint venture between the Church and Canada. It was now held that there was sufficient proximity to give rise to a duty of care owed by both defendants to the plaintiffs. While it was a policy decision of the government to operate residential schools, a decision which would not attract liability, the government was liable for any failure in the execution of such policy. The standard of care to be applied to the defendants' actions was that of the period during which the assaults occurred. Some of the plaintiffs had tried to report the assaults to school authorities at the time, but the Court concluded that the reports of actual sexual assaults were not made to the school principal before the time that P was fired. In the conditions of the time, sexual assault of children was rarely spoken of, and school authorities could not now be seen to have had constructive knowledge of the assaults. The reported confirmed incidents were relatively rare, and were not sufficient to have required the Church or Canada to take extraordinary precautions to protect against pedophiles at the residential schools. The Court found that the hiring practices were not below the reasonable standards for the time. The evidence was insufficient to conclude that staff monitoring or supervision was unreasonable, or that the environment at the school was unsafe in the context of the standards of the time.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Church and Canada therefore failed.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plaintiffs claimed the defendants were in breach of their fiduciary duty in operating a residential school where students were systematically subjected to abuse, racism, mistreatment and separation from family and culture. A finding of breach of fiduciary duty required some dishonesty or intentional disloyalty and a personal advantage to the fiduciary. Although the residential school program may have been bad policy, a badly flawed policy did not necessarily constitute a breach of fiduciary duty. The Court concluded that neither the Church nor Canada breached that duty.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Canada had control over virtually every aspect of Indians' lives. Canada owed a special duty to them to a very high standard of care, and this duty was not delegable to churches or other organizations. The Court found that Canada had failed to meet its statutory duty to the plaintiffs in this case.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no limitation period applied to actions based on misconduct of a sexual nature. All of the plaintiffs' other claims, based on physical abuse, breach of fiduciary duty and denial of culture, were dismissed as being brought well beyond the applicable limitation periods.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It was found that there was no agreement whereby Canada granted indemnity to the Church. In a joint venture such as the school operation, there was no right of indemnity in equity. The defendants' liability was joint and several; each of them was 100 per cent liable for damages, and neither was entitled to complete indemnity from the other. Canada had the ultimate authority in hiring staff for the school, controlled funding, and had extensive supervisory authority. It also had responsibility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Canada, as the more senior partner in the enterprise, was held to be 75 per cent liable and the Church 25 per cent liable.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In assessing damages to each plaintiff, the Court had to exclude injuries which did not arise from the sexual assaults. The vulnerable position of each plaintiff at the school was considered as well as the position each would have been in had the assaults not occurred. The plaintiffs still would have suffered the effects of separation from family, loss of culture, fear, violence and racism. The measure of the plaintiffs' damages was the difference between the position they would have been in absent the sexual abuse and the position they were in now given the sexual abuse. There was considerable evidence of traumatic events in the lives of these plaintiffs which were unrelated to the sexual assaults. The Court attempted to assess the effects of the assaults on each plaintiff, keeping in mind the </w:t>
            </w:r>
            <w:r>
              <w:rPr>
                <w:rFonts w:ascii="arial" w:eastAsia="arial" w:hAnsi="arial" w:cs="arial"/>
                <w:i/>
                <w:color w:val="000000"/>
                <w:sz w:val="20"/>
                <w:lang w:val="en-US" w:eastAsia="en-US" w:bidi="ar-SA"/>
              </w:rPr>
              <w:t>high water mark</w:t>
            </w:r>
            <w:r>
              <w:rPr>
                <w:rFonts w:ascii="arial" w:eastAsia="arial" w:hAnsi="arial" w:cs="arial"/>
                <w:color w:val="000000"/>
                <w:sz w:val="20"/>
                <w:lang w:val="en-US" w:eastAsia="en-US" w:bidi="ar-SA"/>
              </w:rPr>
              <w:t xml:space="preserve"> for an aggregate of non-pecuniary and aggravated damages in a case of this nature set by </w:t>
            </w:r>
            <w:r>
              <w:rPr>
                <w:rFonts w:ascii="arial" w:eastAsia="arial" w:hAnsi="arial" w:cs="arial"/>
                <w:i/>
                <w:color w:val="000000"/>
                <w:sz w:val="20"/>
                <w:lang w:val="en-US" w:eastAsia="en-US" w:bidi="ar-SA"/>
              </w:rPr>
              <w:t>S.Y. v. F.G.C.</w:t>
            </w:r>
            <w:r>
              <w:rPr>
                <w:rFonts w:ascii="arial" w:eastAsia="arial" w:hAnsi="arial" w:cs="arial"/>
                <w:color w:val="000000"/>
                <w:sz w:val="20"/>
                <w:lang w:val="en-US" w:eastAsia="en-US" w:bidi="ar-SA"/>
              </w:rPr>
              <w:t xml:space="preserve"> at $250,000. Punitive damages were awardable against P, but not against the Church or Canada, since their liability was vicarious and not personal.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B was seriously sexually abused on four occasions and possibly more. He suffered drug abuse, alcoholism and personality disorder throughout his life. He was awarded $125,000 non-pecuniary damages and $40,000 punitive damages against P.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R was assaulted by P up to 12 times. He grappled with alcoholism, drug abuse and depression throughout his life, but was able to maintain employment. He was awarded $85,000 non-pecuniary and aggravated damages and $20,000 punitive damages against P.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J was found to have proven only one incident of assault, although the Court believed it was likely that there had been more. The psychological injury to J was held to be minimal, and he was awarded $20,000 non-pecuniary and aggravated damages and $3,000 punitive damages against P.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S suffered assaults limited to genital touching on a few occasions. It was found that any psychological problems he suffered were not caused by these incidents. He was awarded $10,000 non-pecuniary damages and punitive damages of $2,000 against P.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M was raped and forced to engage in oral sex on more than two occasions. His alcohol problems and employment difficulties arising from stress were not found to have been caused by his attendance at the school, but the severity of the abuse he suffered entitled him to an award of $125,000 non-pecuniary and aggravated damages, and $20,000 punitive damages against P.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evidence of assaults against the plaintiff W was unclear; at first he described one assault involving fondling, and later more serious assaults. The Court found that several traumatic life events such as a fire and seeing his father burned in a boat explosion, had a far greater impact on his life than the sexual assaults, and that his ongoing psychological problems were not caused by the assaults. He was awarded $15,000 non-pecuniary and aggravated damages and $5,000 punitive damages against P.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49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Bouaziz v. Ouston, [2002] B.C.J. No. 2014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Brown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and 6, 2002, July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S004047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2014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116 A.C.W.S. (3d) 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Dr. Ali Bouaziz, plaintiff, and Rick Ouston, Neil Reynolds, Patricia Graham, Teresa Honeyman, Chris Rose, John Olding and Southam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jc w:val="both"/>
        <w:rPr>
          <w:rFonts w:ascii="arial" w:eastAsia="arial" w:hAnsi="arial" w:cs="arial"/>
          <w:sz w:val="20"/>
          <w:lang w:val="en-US" w:eastAsia="en-US" w:bidi="ar-SA"/>
        </w:rPr>
      </w:pPr>
      <w:bookmarkStart w:id="124" w:name="Counsel_33"/>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R.D. McConchie and M.A. Skene, for the plaintiff. B. Gibson, Q.C. and J. Jansen, for the defendants. D.F. Sutherland, for Nurse 1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5" w:name="Judgment_33"/>
      <w:bookmarkEnd w:id="125"/>
      <w:r>
        <w:pict>
          <v:line id="_x0000_s1146" style="position:absolute;z-index:2517504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6" w:name="BROWN J."/>
            <w:bookmarkEnd w:id="126"/>
            <w:r>
              <w:rPr>
                <w:rFonts w:ascii="arial" w:eastAsia="arial" w:hAnsi="arial" w:cs="arial"/>
                <w:b/>
                <w:color w:val="000000"/>
                <w:sz w:val="30"/>
                <w:lang w:val="en-US" w:eastAsia="en-US" w:bidi="ar-SA"/>
              </w:rPr>
              <w:t>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and defendants appeared before me on June 4, 2002 on an application to compel the defendants to answer certain questions outstanding from the Examination for Discovery of Mr. Ouston. I issued oral reasons on those submissions on June 6, 2002 and offered an opportunity to interested parties, known as Nurse Sources No. 1 and 2 to appear before me by counsel and make submissions with respect to the application. The entry of the order was suspended pending receipt of additional submissions. The reasons which follow are, under the heading of "Initial Reasons", those issued by me on June 6, 2002. The supplemental reasons are those issued following the submissions of Nurse Source No. 1, who appeared before me, together with counsel for the plaintiff and defendants on July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INITIAL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Bouaziz applies to compel a reporter with the Vancouver Sun, Rick Ouston, to answer certain questions arising from his examination for discovery. Really there is one question which Dr. Bouaziz wants answered, and that is: Who was your source or sources amongst the nurses working with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There is one issue to be determined: Do the circumstances of this case come within the general principle of privileged communications set forth by J.H. Wigmore, Evidence in Trials at Common Law, vol. 8 (Toronto: Little, Brown &amp; Co., 1961) at 527 and adopted by the Supreme Court of Canada in Slavutych v. Baker, </w:t>
      </w:r>
      <w:hyperlink r:id="rId700" w:history="1">
        <w:r>
          <w:rPr>
            <w:rFonts w:ascii="arial" w:eastAsia="arial" w:hAnsi="arial" w:cs="arial"/>
            <w:i/>
            <w:color w:val="0077CC"/>
            <w:sz w:val="20"/>
            <w:u w:val="single"/>
            <w:shd w:val="clear" w:color="auto" w:fill="FFFFFF"/>
            <w:lang w:val="en-US" w:eastAsia="en-US" w:bidi="ar-SA"/>
          </w:rPr>
          <w:t>[1976] 1 S.C.R. 254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sources in question are an employee of the Sun and two nurses. This application has focused on Nurse 1 and the Sun employee. Mr. Ouston was contacted by the Sun employee and advised that a nurse had information of import to the public which she was prepared to disclose only if Mr. Ouston would promise not to disclose her name. He was required to promise both the Sun employee and the nurse source that he would not reveal the name of the source before information would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reason given was that the information concerned the competence of Dr. Bouaziz, that if the identity of the nurse was revealed her career would be ruined. Mr. Ouston made the promise and was provided with the information: nurses at Mount St. Joseph hospital had concerns regarding Dr. Bouaziz's competence; complaints had been made to the nursing supervisor, nothing had happened; a further complaint was made to Dr. Calderisi at Mount St. Joseph, but nothing had happened as a result of that second complaint. The nurse's reason for speaking to Mr. Ouston was the concern that she had regarding Dr. Bouaziz's competence and that complaints had led to no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Ouston checked the court registry for actions and confirmed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had been taken against Dr. Bouaziz, one of which had been pursued to judgment against him. Dr. Peter Warriner, the vice president of medicine at Providence Hospitals, confirmed that complaints had been made by nurses about Dr. Bouaziz. Mr. Ouston attempted to obtain information from the college and other sources respecting complaints about Dr. Bouaziz but was unsuccessful, as these are not matters of public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Jansen, counsel for the defendants, also swore an affidavit. She interviewed Nurse 1 after this litigation was commenced. From Ms. Jansen's affidavit it appears that the concerns of Nurse 1 may be valid, with respect to her career being impaired if her identity is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Nurse 1 was very frightened following the series of newspaper articles that, were her identity disclosed, she would be ostracized and would lose her job. Ms. Jansen in her affidavit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nurse source told me that after the July 15, 2000 article in the Vancouver Sun, doctors at Mount St. Joseph were appalled that a nurse had complained about a doctor to the press and doctors exerted pressure on the nurses to support Dr. Bouaziz by engaging in a letterwriting campaign. The documents produced by Dr. Bouaziz in this action include a number of emails to and from Dr. Mark Elliot, Department head, Anaesthesiology, Mount St. Joseph Hospital, that refer to demonstrating that the Mount St. Joseph staff, especially the surgical nursing staff, is "solidly behind Dr. Bouaziz", and to the fact that physicians at Mount St. Joseph were "waiting for nurses on 3 West (the post-surgical ward to make a public statement."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appends a number of pieces of correspondence that were exchanged following the publication of these articles.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no issue here with respect to what has been called the 'newspaper privilege'. It is acknowledged that there is no blanket privilege which protects journalists from revealing their sources. Rather, the issue is whether the facts of this case come within the Wigmore or Slavutych v. Baker statement of privileged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well, Rule 27(22) provides that "unless a Court otherwise orders", a person must answer relevant questions, including the name of a person having knowledge relating to a matter in question, unless protected by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not suggested that the identity of the informer is not relevant in the broad sense that that concept is meant in examinations for discovery. The defendants say only that the disclosure of the name of the particular nurse will not advance the plaintiff's case. She is one of the nurses the defendants will likely call at trial. That she is also the source is irrelevant to the evidence she will give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issue of relevance, the plaintiff cites Lord Denning in A.G. v. Mulholland; A.G. v. Foster, [1963] 2 Q.B. 477 (C.A.) which has been widely followed in our courts. In that case Lord Justice Denning said at 487-8: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the question relevant to the inquiry? Was it one that the journalist ought to answer? It seems to me that if the inquiry was to be as thorough as the circumstances demanded, it was incumbent on Mulholland to disclose to the tribunal the source of his information. The newspapers had made these allegations. If they made them with a due sense of responsibility (as befits a press which enjoys such freedom as ours) then they must have based them on a trustworthy source. Heaven forbid that they should invent them! And if they did get them from a trustworthy source, then the tribunal must be told of it. How otherwise can the tribunal discover whether the allegations are well-founded or not? The tribunal cannot tell unless they see for themselves this trustworthy source, this witness who is the foundation of it all. The tribunal must therefore be entitled to ask what was the source from which the information came.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said that the tribunal had access to other sources of information which might make it unnecessary for the newspapers to disclose their source: and that the newspapers do not know of these other sources because so much of the proceedings were held in camera. I am not the least impressed by this argument. Even if the tribunal did have access to other sources of information, nevertheless it is still necessary for the tribunal to know whence the newspapers got their information so as to confirm, contradict or complete these other sources. The root cause of the whole inquiry was the information which the newspapers published, and it is their sources which must be tracked down so as to see whether they are trustworthy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Looking at the four criteria set forth by Wigmore at 527, they are: 1) The communications must originate in a confidence that they will not be disclosed; 2) This element of confidentiality must be essential to the full and satisfactory maintenance of the relation between the parties; 3) The relation must be one which, in the opinion of the community, ought to be sedulously fostered; 4) The injury that would inure to the relation by the disclosure of the communications must be greater than the benefit thereby gained for the correct disposal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Here, the first requirement is satisfied. The communication of identity was made only after Mr. Ouston promised he would not reveal it. The second is also met, because without the promise there would have been no relation between the parties. I am also satisfied that the relation is one which, in the opinion of the community, ought sedulously to be fostered.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importance of the press in our society is well recognized and is expressly provided for in the Charter. To have an effective press, the press must be provided with information from members of the public. Hence, the relation is one which must be sedulously fostered.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the fourth condition which causes me difficulty; namely, that the injury which would inure to the relation by the disclosure must be greater than the benefit gained for the correct disposal of the litigation. In exercising my discretion, I must apply legal principles and follow precedent. In this case I am bound by the decisions of our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the newspaper privilege cases were largely decided prior to Slavutych v. Baker, they consider the competing interests as described in Wigmore's condition four. In AG v. Mulholland, Lord Justice Denning said at 589: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then it is said ... that however relevant these questions were and however proper to be answered for the purpose of the inquiry, a journalist has a privilege by law entitling him to refuse to give his sources of information. The journalist puts forward as his justification the pursuit of truth. It is in the public interest, he says, that he should obtain information in confidence and publish it to the world at large, for by so doing he brings to the public notice that which they should know. He can expose wrongdoing and neglect of duty which would otherwise go unremedied. He cannot get this information, he says, unless he keeps the source of it secret. The mouths of his informants will be closed to him if it is known that their identity will be disclosed. So he claims to be entitled to publish all his information without ever being under any obligation, even when directed by the court or a judge, to disclose whence he got it. It seems to me that the journalist puts the matter much too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Mulholland was considered by the B.C. Court of Appeal in McConachy v. Times Publishers Ltd. et al (1964), 49 D.L.R. 2d) 349. There, Norris J.A. also quoted from the Australian decision McGuinnes v. A.-G. Victoria (1940), 63 C.L.R. 73 (H.C.) to this effect (at 358):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 one doubts that editors and journalists are at times made the repositories of special confidences which, from motives of interest as well as of honour, they would preserve from public disclosure if it were possible.... An inflexible rule was established that no obligation of honour, no duties of non-disclosure arising from the nature of a pursuit or calling, could stand in the way of the imperative necessity of revealing the truth in the witness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Justice Norris concluded at 361-2: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restrict an examination for discovery by applying the English rule of practice that no interrogatories as to a defendant's sources of information shall be allowed is to deny a party a right given by our Rules to conduct a searching cross-examination of the other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With respect, it is my opinion, based on both the English authorities and the Canadian authorities binding on this Court and the practice on discovery in this Province that the learned Judge did not err in directing that the questions in the first category... as to the sources of the information, should be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British Columbia Court of Appeal in Wismer v. MacLean-Hunter Publishing Co. Ltd. and Fraser (No. 2), </w:t>
      </w:r>
      <w:hyperlink r:id="rId701" w:history="1">
        <w:r>
          <w:rPr>
            <w:rFonts w:ascii="arial" w:eastAsia="arial" w:hAnsi="arial" w:cs="arial"/>
            <w:i/>
            <w:color w:val="0077CC"/>
            <w:sz w:val="20"/>
            <w:u w:val="single"/>
            <w:shd w:val="clear" w:color="auto" w:fill="FFFFFF"/>
            <w:lang w:val="en-US" w:eastAsia="en-US" w:bidi="ar-SA"/>
          </w:rPr>
          <w:t>[1954] 1 D.L.R. 501</w:t>
        </w:r>
      </w:hyperlink>
      <w:r>
        <w:rPr>
          <w:rFonts w:ascii="arial" w:eastAsia="arial" w:hAnsi="arial" w:cs="arial"/>
          <w:color w:val="000000"/>
          <w:sz w:val="20"/>
          <w:lang w:val="en-US" w:eastAsia="en-US" w:bidi="ar-SA"/>
        </w:rPr>
        <w:t xml:space="preserve"> also concluded that the chambers judge had properly exercised his discretion in ordering a newspaper to provide the names of its sources on examination for discovery. Finally, in Belzberg v. B.C. Television Broadcasting System Ltd. and Jackson., </w:t>
      </w:r>
      <w:hyperlink r:id="rId702" w:history="1">
        <w:r>
          <w:rPr>
            <w:rFonts w:ascii="arial" w:eastAsia="arial" w:hAnsi="arial" w:cs="arial"/>
            <w:i/>
            <w:color w:val="0077CC"/>
            <w:sz w:val="20"/>
            <w:u w:val="single"/>
            <w:shd w:val="clear" w:color="auto" w:fill="FFFFFF"/>
            <w:lang w:val="en-US" w:eastAsia="en-US" w:bidi="ar-SA"/>
          </w:rPr>
          <w:t>[1981] 3 W.W.R. 85</w:t>
        </w:r>
      </w:hyperlink>
      <w:r>
        <w:rPr>
          <w:rFonts w:ascii="arial" w:eastAsia="arial" w:hAnsi="arial" w:cs="arial"/>
          <w:color w:val="000000"/>
          <w:sz w:val="20"/>
          <w:lang w:val="en-US" w:eastAsia="en-US" w:bidi="ar-SA"/>
        </w:rPr>
        <w:t xml:space="preserve"> our court recognized a discretion not to disclose the name of the informant where the informant has given information to a journalist in confidence, noting that a judge must weigh the competing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that case Mr. Justice Berger said at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said that the exercise of the judge's discretion depends on the weighing of public advantage and private right: see Scarman L.J. in Senior v. Holdsworth.... But while in the case of confidences entrusted to journalists there is a public interest in seeing that the media have the fullest access to sources of information that will enable them to be vigilant in their scrutiny of all of our institutions, and while litigants may be said to be seeking merely to vindicate private rights, there is nevertheless an overriding public interest in seeing that justice is done in any suit before the courts. To that overriding interest confidences entrusted to journalists may have to give way. This is a principle which applies to confidences generally: the identity of police informers may, if it is essential in order that justice be done in a given case, be required to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British Columbia Court of Appeal overturned that decision not as a misstatement of principle, but rather on the narrow issue that the pleadings before the chambers judge did not raise the issue and therefore the question was not relevant, </w:t>
      </w:r>
      <w:hyperlink r:id="rId703" w:history="1">
        <w:r>
          <w:rPr>
            <w:rFonts w:ascii="arial" w:eastAsia="arial" w:hAnsi="arial" w:cs="arial"/>
            <w:i/>
            <w:color w:val="0077CC"/>
            <w:sz w:val="20"/>
            <w:u w:val="single"/>
            <w:shd w:val="clear" w:color="auto" w:fill="FFFFFF"/>
            <w:lang w:val="en-US" w:eastAsia="en-US" w:bidi="ar-SA"/>
          </w:rPr>
          <w:t>[1981] 6 W.W.R. 273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Whether the question here is framed as a residual discretion pursuant to Rule 27 (unless the Court otherwise orders), or a general communications privilege, I am bound by the decisions to which I have referred. In weighing the competing interests, it is the public interest in correctly decided litigation which prevails.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were some collateral issues. There is a decision of the college which may well be relevant which has not been disclosed. I have assumed for the purposes of this argument that the decision came out some five years after the death in question, and therefore a complaint to the college is not effective for the purpose of protecting the public (an argument advanced by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are specific discovery questions that were addressed in the notice of motion. I am assuming that, based on my reasons, those specific questions need not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in the event that these reasons are ordered, I will be editing them.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SUPPLEMENTAL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Before me, Nurse 1 argued:</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real defence raised in these proceedings is truth, and that the defendants must establish the truth or justification of the articles. Nurse 1 acknowledges that the identity of Nurse 1 is relevant to the issue of malice, but says that malice itself is a very peripheral pleading and therefore the identity of Nurse Source No. 1, while technically relevant, is very, very marginally relevant. She invites me to consider the very marginal relevance of the identity of Nurse 1 when weighing the interests on the fourth branch of the test in Slavutych v. Baker: the injury to the relation as against the benefit to the correct disposition of the litigation.</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cases upon which I relied in the initial reasons were decided before Slavutych v. Baker and are not binding upon me. Nurse 1 invites me to look at other jurisdictions which have reached conclusions different from that in British Columbia.</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2(b) of the Canadian Charter of Rights and Freedoms, which provides that everyone has freedom of thought, belief, opinion, and expression, including freedom of the press and other media of communication. She says that to be an effective press, the press must have access to sources of information which would not be made available, were the identity of those sources to be revealed in litigation. Accordingly, she says that a rule which requires the source to be identified breaches s. 2(b) of the Charter.</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Rule 27(22) provides a separate and less onerous basis on which the court has the jurisdiction to limit examination for discovery.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court should adopt the "newspaper rule" which pertains in some other jurisdictions, a rule against disclosing the identity of a source until trial. She argues that this application is a jostling for position between the two major combatants and that the trial may never proceed. Meanwhile, if her identity is disclosed, she will suffer extreme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issue of relevance, the identity of the source may be relevant not only to malice, pled in reply to the defences of qualified privilege and fair comment, but also to the issue of truth or justification: Price v. Richmond Review et al. (1965), 54 W.W.R. 378 (B.C.S.C.) at p. 380: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this case the defence is justification. It may be that in certain circumstances answers will not be ordered to questions arising in examinations-for-discovery where the plea of justification alone is made. However, in the circumstances before me there is no doubt in my mind that the questions concerning the defendant, Carlton's, source of information in so far as they relate to the material contained in the newspaper article are relevant and must be answered. ... The ... questions probe the sources of the writer's information for the relevant purpose of ascertaining whether the story is ... "a pure invention" or "the gossip of some idler" or "mere rumour".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the issue of relevance where malice is pled: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ordinary case of a libellous statement made upon the faith of information gathered from third parties, it is relevant to the issue of malice raised by a plea of fair comment for the jury to know, not only what the information was, but also any facts affecting the propriety of the defendant's action in accepting the information at its face value to the extent of making a defamatory statement about the plaintiff upon the credit of it. The whole of the circumstances in which the defendant obtained the information are or may be relevant; and of these circumstances not the least relevant will be the position, standing, character and opportunities of knowledge of the particular person upon whom the defendant says he relied for his information. If the defendant is in a position to give those particulars about his informants, the plaintiff is entitled to know them in order that he may criticize the defendant's conduct and also in order that he may make his own inquiries about the persons named, with a view to attacking the defendant's alleged reliance upon the information so received. If the defendant is not in a position to say from whom he got his information, this admission may in itself be a valuable piece of evidence for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(Robertson J.A. in Wismer v. Maclean-Hunter Publishing, supra, at 519, quoting Lord Justice Scott in South Suburban Co-operative Soc. v. Orum, [1937] 2 K.B. 690 at 700-1)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cannot say that the defences of qualified privilege and fair comment are so unlikely to succeed or peripheral to the case that they, and the reply to them, are not truly relevant. Furthermore, as is apparent from the Price case, even if those defences were not raised and we were dealing merely with truth or justification, the identity of the source may be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Thus, I am satisfied that the identity of the source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the issue of the application of the four elements required for a claim of privilege as set forth in Slavutych v. Baker, Nurse 1 argues that I am not bound by earlier decisions of the courts in British Columbia. She says that the Supreme Court of Canada in Moysa v. Alberta (Labour Relations Board) </w:t>
      </w:r>
      <w:hyperlink r:id="rId704" w:history="1">
        <w:r>
          <w:rPr>
            <w:rFonts w:ascii="arial" w:eastAsia="arial" w:hAnsi="arial" w:cs="arial"/>
            <w:i/>
            <w:color w:val="0077CC"/>
            <w:sz w:val="20"/>
            <w:u w:val="single"/>
            <w:shd w:val="clear" w:color="auto" w:fill="FFFFFF"/>
            <w:lang w:val="en-US" w:eastAsia="en-US" w:bidi="ar-SA"/>
          </w:rPr>
          <w:t>(1989), 60 D.L.R. (4th) 1</w:t>
        </w:r>
      </w:hyperlink>
      <w:r>
        <w:rPr>
          <w:rFonts w:ascii="arial" w:eastAsia="arial" w:hAnsi="arial" w:cs="arial"/>
          <w:color w:val="000000"/>
          <w:sz w:val="20"/>
          <w:lang w:val="en-US" w:eastAsia="en-US" w:bidi="ar-SA"/>
        </w:rPr>
        <w:t xml:space="preserve"> specifically left open the possibility of a qualified testimonial privilege, either on common-law principles or s. 2(b)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Moysa the Supreme Court of Canada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Even if such a qualified testimonial privilege exists in Canada, this appeal must be dismissed as the appellant here does not fall within any of the possible tests which have been proposed as establishing the conditions necessary to justify a refusal to testify.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argued that the four criteria cited by Wigmore and referred to with approval by Spence J. in Slavutych v. Baker ... provide a guide for the operation of a privilege against the disclosure of communications. The board examined this submission and held that the injury resulting from disclosure was not greater than the benefit and that the evidence was relevant, proper, and necessary to administer the Labour Relations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also argued that s. 2(b) of the Charter includes the right of the press to seek and receive as well as impart information. The appellant contends that if journalists are compelled to disclose sources, then they will lose access to information as news sources "dry up". This hindrance on the ability of the press to gather information is said to violate s. 2(b). The discussion of this issue in the courts below resulted in the three constitutional questions being stated. Despite the importance of ascertaining the extent of the s. 2(b) rights, I am of the opinion that the disposition of this appeal does not require that the constitutional questions be answered. (p.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if I assume for the moment that the right to gather the news is constitutionally enshrined in s. 2(b), the appellant has not demonstrated that compelling journalists to testify before bodies such as the Labour Relations Board would detrimentally affect journalists' ability to gather information. ... I am not convinced that it is indisputable that there is a direct relationship between testimonial compulsion and a "drying-up" of news sources as alleged by the appellant. The burden of proof that there has been a violation of s. 2(b) rests on the appellant. Absent any evidence that there is a tie between the impairment of the alleged right to gather information and the requirement that journalists testify before the Labour Relations Board, I cannot find that there has been a breach of s. 2(b) in this case. (p.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Thus, while the Supreme Court of Canada does leave the issue open to argument, the comments made by Mr. Justice Sopinka do not indicate a shift away from the approach taken by the courts in British Columbia in weighing the injury that would inure to the relation by the disclosure of the communications against the benefit gained for the correct disposal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the decisions were largely prior to Slavutych v. Baker, the courts in British Columbia when weighing the conflicting interests have consistently concluded that the identity of the informant must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Nurse 1 also provided me with numerous recent decisions from the United Kingdom, notably the most recent decision issued June 27, 2002 in Ashworth Security Hospital v. MGN Ltd. [2002] H.L.J. No. 29. While this decision and those that precede it indicate a recognition in Britain of the "chilling effect" on the media if the identity of sources is ordered disclosed, these cases deal with section 10 of the Contempt of Court Act 1981. The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court may require a person to disclose ... the source of information contained in a publication ... unless it be established to the satisfaction of the court that disclosure is necessary in the interests of justice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Thus, in England, Parliament has shifted the balance on the side of non-disclosure. That has not happened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the s. 2(b) Charter issue, as with Moysa, there is no evidence before me that the disclosure of source names will have a chilling effect on the news sources. I am simply invited to reach this conclusion as other jurisdictions have. However, Moysa does not support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 the issue of adoption of the "newspaper rule", counsel provided me with the Ontario decision of Reid v. Telegram Publishing Co. Ltd. and Drea, </w:t>
      </w:r>
      <w:hyperlink r:id="rId705" w:history="1">
        <w:r>
          <w:rPr>
            <w:rFonts w:ascii="arial" w:eastAsia="arial" w:hAnsi="arial" w:cs="arial"/>
            <w:i/>
            <w:color w:val="0077CC"/>
            <w:sz w:val="20"/>
            <w:u w:val="single"/>
            <w:shd w:val="clear" w:color="auto" w:fill="FFFFFF"/>
            <w:lang w:val="en-US" w:eastAsia="en-US" w:bidi="ar-SA"/>
          </w:rPr>
          <w:t>[1961] O.R. 418</w:t>
        </w:r>
      </w:hyperlink>
      <w:r>
        <w:rPr>
          <w:rFonts w:ascii="arial" w:eastAsia="arial" w:hAnsi="arial" w:cs="arial"/>
          <w:color w:val="000000"/>
          <w:sz w:val="20"/>
          <w:lang w:val="en-US" w:eastAsia="en-US" w:bidi="ar-SA"/>
        </w:rPr>
        <w:t xml:space="preserve"> (S.C.). However, courts in British Columbia have not adopted the Reid approach, as the Wismer and McConachie cases indicate.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However, Nurse 1 has satisfied me that it is appropriate and that the court's jurisdiction pursuant to Rule 27(22) is sufficiently broad to allow me to fashion relief for the sources in question in this action. That rule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 person being examined for discovery shall answer any question ... relating to a matter in question in the action, and is compellable to give the names and addresses of all persons who reasonably might be expected to have knowledge relating to any matter in question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Nurse Source(s) are concerned with a loss of their career should their names be disclosed. As I have noted above, this is a legitimate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Bouaziz no longer practices and it is my understanding that, at some 70 years of age, he will not be returning to practice. For the purposes of this litigation, Dr. Bouaziz' legitimate litigation interest in knowing the identity of the informants will be satisfied if their identity is revealed to Dr. Bouaziz and his counsel on this case and to none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Accordingly, I will order that the questions be answered on an undertaking from Dr. Bouaziz to the Court that he will not disclose the name or other particulars of the informant or nurse source(s) to any person, directly or indirectly, other than his counsel on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to the means of answering the questions themselves, I direct that counsel for Mr. Ouston may provide these answers to counsel for the plaintiff in writing; that that document shall then be maintained in a sealed form at the offices of plaintiff's counsel; and that copies of the document and its contents shall not be made by anyone, including Dr. Bouaziz, and he shall not make notes of the name or other particulars of the informant or nurse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My purpose is to ensure that only Dr. Bouaziz and his counsel immediately involved in this file have any knowledge of the name or names of the informant and nurse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Justice Curtis is the case management judge for this action and this order is made subject to any further directions that he may make with respect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Nurse 1 has asked that I suspend this order so that he will have an opportunity to seek instructions from his client. I will accede to this request. The answers are not to be provided until at least 10 days after receipt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7954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British Columbia Recreation and Parks Assn. v. Zakharia, [2015] B.C.J. No. 1965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8-12, 29-30, July 2-3 and 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S145803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1965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1650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British Columbia Recreation and Parks Association and Suzanne Strutt, Plaintiffs, and John Zakharia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(140 paras.)</w:t>
      </w:r>
    </w:p>
    <w:p>
      <w:pPr>
        <w:jc w:val="both"/>
        <w:rPr>
          <w:rFonts w:ascii="arial" w:eastAsia="arial" w:hAnsi="arial" w:cs="arial"/>
          <w:sz w:val="20"/>
          <w:lang w:val="en-US" w:eastAsia="en-US" w:bidi="ar-SA"/>
        </w:rPr>
      </w:pPr>
      <w:bookmarkStart w:id="127" w:name="Counsel_34"/>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P.E. Sheppard, T. Baradziej,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 appearing on his own behalf: J. Zakharia.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8" w:name="Judgment_34"/>
      <w:bookmarkEnd w:id="128"/>
      <w:r>
        <w:pict>
          <v:line id="_x0000_s1149" style="position:absolute;z-index:2517514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9" w:name="G.S. FUNT J."/>
            <w:bookmarkEnd w:id="129"/>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Mr. Zakharia, is a personal trainer. Using the internet, Mr. Zakharia, has malevolently attacked the plaintiffs, British Columbia Recreation and Parks Association ("BCRPA") and Mrs. Strutt, defaming each of them by accusing them of extorting money from him, bullying him, and otherwise victimizing him. None of the attacks had a skerrick of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Zakharia has caused Mrs. Strutt mental distress in addition to defaming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Zakharia's pleas of justification (truth), fair comment, and responsible communication, all fail. Mr. Zakharia chose not to testify as part of his defence. Mr. Zakharia appears to be of the view that as a result of his right of free expression he can conduct himself in the manner he has. The law is not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Zakharia's statements were also calculated to cause persons not to deal with BCRPA.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Zakharia has used, without permission, the trade-mark that BCRPA used for its annual fitness conference, thereby reducing the value of its trade-mark.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Mr. Zakharia has made false or misleading representations to the public that he is certified, registered or otherwise authorized by BCRPA for the purpose of promoting his own business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Lastly, Mr. Zakharia conspired with Jane Doe to injure BCRPA and Mrs. Strutt by harming the reputations of each of them and the goodwill or standing each enjoys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Zakharia counterclaimed seeking damages, pleading a conspiracy to injure him that "breached a standard of duty of care either intentionally or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set forth below, BCRPA is awarded $106,000 in damages. Mrs. Strutt is awarded $115,000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Zakharia's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will be granted a permanent injunction and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their July 28, 2014 notice of civil claim, the plaintiffs have pleaded in detail the facts on which they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his amended response, Mr. Zakharia denied each of the plaintiffs' pleaded facts. He pleaded that the plaintiffs had offered a "quasi-apology". He also pleaded that the plaintiffs' claims are based on "factious and exaggerated statements". As noted, he pleaded justification (truth), fair comment and responsible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counterclaim, Mr. Zakharia pleaded that the plaintiffs "engaged in a hostile conspiracy to injure"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a result of Mr. Zakharia's denial of the plaintiffs' pleaded facts (although some admissions were made at trial) and the fact that he chose not to testify, I will first set forth below the plaintiffs' pleaded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1:</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STATEMENT OF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Columbia Recreation and Parks Association (the "BCRPA") is a not for profit organization, and has an address for service at 2900 - 595 Burrard Street, Vancouver, British Columbia.</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Suzanne Strutt ("Strutt") is the Chief Executive Officer of the BCRPA, and has an address for service at 2900 - 595 Burrard Street, Vancouver, British Columbia.</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John Zakharia, also known as Johnny Zakharia, Johnny Zakhariah and Johnny Zacharia ("Zakharia"), is an individual with an address for service at [the Court's deletion].</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Jane Doe is a person whose name and address are unknown to BCRPA. Jane Doe appears in multiple of videos posted by Zakharia or his agents on Youtube.com.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BCRPA Fitness Registration Program</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offers a program for fitness professionals in British Columbia (the "Fitness Registration Program"), which registers individuals who have completed certain theoretical and practical training with third party companies. Individuals who become registered with the Fitness Registration Program, and are referred to as "fitness leaders".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Fitness Registration Program is a listing of all fitness professionals who have met the standards required to be registered with the BCRPA, including adherence to the BCRPA's Fitness Program Terms and Conditions of Registration (the "Registration Terms and Conditions") and its Code of Ethics (the "Code").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Individuals who wish to be registered in the Fitness Registration Program attend training courses on various fitness leadership skills, such as weight training, group fitness and personal training, through companies that are unrelated to BCRPA.</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Fitness Registration Program requires prospective fitness leaders to register initially in fitness theory. This registration lasts one year; it provides for insurance coverage while the registrant pursues certification for specialty designations. After this one year registration period the fitness leader must renew his or her registration every two years. Any fitness leader who allows his or her registration to expire is charged a late fee upon renewal of registration. The Registration Terms and Conditions and the terms and conditions of renewal of registration is available to the public on BCRPA's website at:</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http://.bc.ca/fitness_program/registration/renewal_ information/expired_registration.htm; and</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http://.bc.ca/fitness_program/registration/renewal_ _ information/fitness_leader.hm.</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Registration fees and late fees charged by the BCRPA (the "Renewal Fees") are used to pay overhead, wages and insurance premiums for registered members. The BCRPA does not waive the Renewal Fees for any prospective or current registrant.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Registration through the BCRPA is a voluntary process. An individual need not be registered with the BCRPA in order to provide fitness training courses to the public.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BCRPA Registration of Zakharia</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applied for and was granted a one-year fitness theory registration with the BCRPA on March 20, 2013. At the same time, Zakharia agreed to abide by the Registration Terms and Conditions, which all registrants are required to read and accept before the BCRPA will register the individual as a fitness leader.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agreeing to the Registration Terms and Conditions, Zakharia agreed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following terms:</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acknowledges and accepts the conditions of BCRPA Fitness Leader registration, the registration process, and all other policies and procedures;</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agrees with and will adhere to the BCRPA Fitness Registration Program, Code of Ethics, Code of Conduct and Disciplinary Process; and</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has read this agreement in its entirety and has executed the agreement voluntarily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"Agreement")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sent email notifications to Zakharia to remind him to renew his membership on January 3, 2014 and March 7, 2014.</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March 21, 2014, Zakharia had failed to renew his membership with the BCRPA.</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20, 2014 the defendant sent an email to Strutt asking that the Renewal Fees be waived or reduced.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5, 2014, the BCRPA advised the defendant that it was unable to waive or reduce the Renewal Fees. In response to emails from the defendant asking again that the Renewal Fees be waived or reduced, on May 7, 2014 the BCRPA confirmed again that it could not waive the Renewal Fees, and that the defendant would be required to sign the BCRPA's Code of Conduct upon renewing his registration.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around May 7, 2014, the BCRPA froze the defendant's online account with the BCRPA as a result of the defendant's failure to renew his registration with the BCRPA and discovery of public comments about individuals associated with the BCRPA.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same day, May 7, 2014, the BCRPA advised the defendant that if he wished to pay his Renewal Fees and sign the BCRPA Code, he could attend the BCRPA offices to do so until 4:30 p.m. that day or during business hours on subsequent days.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same day, May 7, 2014, Zakharia and the BCRPA signed an agreement with the following terms and conditions:</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agreed to adhere to the Code, including:</w:t>
      </w:r>
    </w:p>
    <w:p>
      <w:pPr>
        <w:numPr>
          <w:numId w:val="2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forthright in all dealings with the public and acting in the best interests of the public's well-being;</w:t>
      </w:r>
    </w:p>
    <w:p>
      <w:pPr>
        <w:numPr>
          <w:numId w:val="2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treating all people equally and with respect for human dignity;</w:t>
      </w:r>
    </w:p>
    <w:p>
      <w:pPr>
        <w:numPr>
          <w:numId w:val="2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preserving the credibility and dignity of colleague and associates by exhibiting professionalism in all situations; and</w:t>
      </w:r>
    </w:p>
    <w:p>
      <w:pPr>
        <w:numPr>
          <w:numId w:val="2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complying with the spirit of all applicable business, employment and copyright laws and regulations;</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acknowledged that the purpose of the Code is to provide an environment in which BCRPA stakeholders are treated with respect;</w:t>
      </w:r>
    </w:p>
    <w:p>
      <w:pPr>
        <w:numPr>
          <w:numId w:val="3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acknowledged that conduct that violates the Code is subject to disciplinary measures by the BCRPA; and</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acknowledged that he has read the registration agreement and executed the agreement voluntarily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"Renewal Agreement").</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signature of the Renewal Agreement and payment of the Renewal Fees, the BCRPA renewed the defendant's registration and reactivated his online BCRPA account on or around May 7, 2014.</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13, 2014, the BCRPA became aware that the defendant had acted contrary to the Code by disparaging an organization associated with the BCRPA on a blog he had created. The BCRPA received no response to its request for an explanation from the defendant about the blog posting.</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May 14, 2014, the defendant alerted the BCRPA to the existence of a website he had created at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 xml:space="preserve"> (the "BCfit Website").</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Zakharia's continuing violation of the Code, the Agreement, the Renewal Agreement and infringement of the BCRPA's trade-mark, the BCRPA expelled Zakharia from membership in the Fitness Registration Program and refunded all fees paid by Zakharia to the BCRPA.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Trade-mark infringement by Zakharia</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BCRPA is the registered owner of a trade-mark consisting of the word BCFIT, registered on the Canadian Trade-marks Registry on or around May 23, 2014 as No. 1678300 for use in Canada in association with the services of the BCRPA, namely, "developing, arranging and conducting educational conferences and programs and providing courses of instruction in the fields of physical activity, recreation and health" (the "Services").</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reason of the registration under the </w:t>
      </w:r>
      <w:r>
        <w:rPr>
          <w:rFonts w:ascii="arial" w:eastAsia="arial" w:hAnsi="arial" w:cs="arial"/>
          <w:i/>
          <w:color w:val="000000"/>
          <w:sz w:val="20"/>
          <w:lang w:val="en-US" w:eastAsia="en-US" w:bidi="ar-SA"/>
        </w:rPr>
        <w:t>Trade-marks Act,</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R.S.C. 1985, c. T-13</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"Trade-marks Act"),</w:t>
      </w:r>
      <w:r>
        <w:rPr>
          <w:rFonts w:ascii="arial" w:eastAsia="arial" w:hAnsi="arial" w:cs="arial"/>
          <w:color w:val="000000"/>
          <w:sz w:val="20"/>
          <w:lang w:val="en-US" w:eastAsia="en-US" w:bidi="ar-SA"/>
        </w:rPr>
        <w:t xml:space="preserve"> and pursuant to section 19 of the Act, BCRPA is entitled to the exclusive use throughout Canada of the trade-mark in association with the Services.</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use of BCFIT in Canada since 2009, the public in British Columbia have come to recognize the word BCFIT as being distinctive and as distinguishing the services of BCRPA from the services or business of others, and there is goodwill or a reputation attached to those services and business in the mind of the public in British Columbia.</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Zakharia has infringed the BCRPA's rights in the trade-mark without the consent of the BCRPA by, </w:t>
      </w:r>
      <w:r>
        <w:rPr>
          <w:rFonts w:ascii="arial" w:eastAsia="arial" w:hAnsi="arial" w:cs="arial"/>
          <w:i/>
          <w:color w:val="000000"/>
          <w:sz w:val="20"/>
          <w:lang w:val="en-US" w:eastAsia="en-US" w:bidi="ar-SA"/>
        </w:rPr>
        <w:t>inter alia:</w:t>
      </w:r>
    </w:p>
    <w:p>
      <w:pPr>
        <w:numPr>
          <w:numId w:val="4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Operating and maintaining a website at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 xml:space="preserve"> (the "BCfit Website") displaying the infringing mark and name;</w:t>
      </w:r>
    </w:p>
    <w:p>
      <w:pPr>
        <w:numPr>
          <w:numId w:val="4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Creating and using an email account displaying the infringing mark and name; and</w:t>
      </w:r>
    </w:p>
    <w:p>
      <w:pPr>
        <w:numPr>
          <w:numId w:val="4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Creating an Instagram account displaying the infringing mark and name.</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activities set out in the preceding paragraph, Zakharia is:</w:t>
      </w:r>
    </w:p>
    <w:p>
      <w:pPr>
        <w:numPr>
          <w:numId w:val="4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Infringing BCRPA's rights in its registered trade-mark No. 1678300 contrary to s. 19 of the Act and the BCRPA also pleads s. 4 of the Act;</w:t>
      </w:r>
    </w:p>
    <w:p>
      <w:pPr>
        <w:numPr>
          <w:numId w:val="4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Deemed to infringe BCRPA's rights in its registered trade-mark No. 1678300 contrary to s. 20 of the Act and BCRPA also pleads s.6 of the Act.</w:t>
      </w:r>
    </w:p>
    <w:p>
      <w:pPr>
        <w:numPr>
          <w:numId w:val="4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Passing off and continuing to pass off his services or business as and for those of BCRPA.</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continues to operate and maintain the BCfit Website after receiving formal notification that BCRPA was unwilling to tolerate further infringement by letter from BCRPA's solicitor dated June 4, 2014 delivered to Zakharia by registered mail.</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has refused to discontinue the acts complained of, and intends to continue and repeat the infringements and passing off of BCRPA's trade-mark.</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acts of Zakharia, BCRPA has suffered loss and damage in the form of loss of goodwill and depreciation of BCPRA's goodwill in its trade-mark.</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BCRPA pleads and relies upon the provisions of s. 7 of the Act, as well as the common law of British Columbia in relation to the tort of passing off.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False Representations to the Public</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currently operates and maintains a website at www.kitsilanotrainers.com/john-zakharia-in-vancouver/, which includes the following representations: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Hello. My name is John Zakharia from Vancouver. I am certified with the BCRPA as a Certified Weight Training Instructor and a Certified Group Fitness Instructor.[...]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34. Zakharia also operates and maintains a website at http:// .ca/listing/zakharia-iohimv-kitsilano-trainers-oersona l-trainers-vancouver-bc-canada, which includes the following representations: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Zakharia, Johnny - Kitsilano Trainers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Kitsilano Trainers only offers professionally certified BCRPA trainers. [...]</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is not "certified", registered, or authorized with or by the BCRPA, either as a weight training instructor, group fitness instructor or in any other capacity. The BCRPA has not authorized Zakharia to advertise that he is so certified or registered.</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violation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Zakharia has knowingly or recklessly made, or has caused others to make, representations to the public that are false or misleading in a material respect, for the purpose of promoting his own business interests (the "False Representations").</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threatens and continues to make the False Representations to the public.</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False Representations, BCRPA has suffered loss and damage.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Conspiracy to injure the BCRPA and Suzanne Strutt</w:t>
      </w:r>
    </w:p>
    <w:p>
      <w:pPr>
        <w:numPr>
          <w:numId w:val="5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approximately May 20, 2014, Zakharia and Jane Doe have combined or conspired with each other to injure the BCRPA and Strutt by creating and posting to the internet websites and videos in order to injure the BCRPA and Strutt's reputation and goodwill held by the general public.</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Zakharia and Jane Doe in furtherance of their conspiracy was unlawful and was directed towards the BCRPA and Strutt, and the likelihood of injury to the BCRPA and Strutt was known to Zakharia and Jane Doe at all material times, or should have been known to them in the circumstances.</w:t>
      </w:r>
    </w:p>
    <w:p>
      <w:pPr>
        <w:numPr>
          <w:numId w:val="5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their conspiracy, Zakharia and Jane Doe, or one or more of them, posted or caused to be posted on YouTube a video containing injurious falsehoods (defined below as the "BCRPA YouTube Video"), which acts were aimed or directed at BCRPA and which it could reasonably be foreseen would injure BCRPA and Strutt by depleting the BCRPA and Strutt's reputation and goodwill among the public and fitness community.</w:t>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and Jane Doe have refused to discontinue and threaten to continue to repeat the acts complained of.</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acts carried out by Zakharia and Jane Doe, or one or more of them as particularized in this notice of civil claim, in furtherance of their conspiracy, BCRPA and Strutt have suffered loss and damage and continue to suffer loss and damage by reason of which Zakharia and Jane Doe, and each of them, are liable for damages for the tort of conspiracy.</w:t>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acts described above are independently actionable even if not committed pursuant to a conspiracy and BCRPA claims damages in relation to those acts for the same losses as described in the preceding paragraph of this notice of civil claim.</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BCRPA claims punitive damages. The facts on which BCRPA relies in support of this claim are the fact of the conspiracy to which Zakharia and Jane Doe are parties, and the acts carried out in furtherance of the conspiracy, as particularized in this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Injurious Falsehood</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published false statements, reflecting adversely on the BCRPA's business, and calculated to induce persons to not deal with the BCRPA, made maliciously and without just cause or excuse. Particulars of the injurious falsehoods published by the defendants are as follows:</w:t>
      </w:r>
    </w:p>
    <w:p>
      <w:pPr>
        <w:numPr>
          <w:numId w:val="8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May 13, 2014, Zakharia (or alternatively one or more of Zakharia and Jane Doe) created the BCfit Website and an article entitled </w:t>
      </w:r>
      <w:r>
        <w:rPr>
          <w:rFonts w:ascii="arial" w:eastAsia="arial" w:hAnsi="arial" w:cs="arial"/>
          <w:i/>
          <w:color w:val="000000"/>
          <w:sz w:val="20"/>
          <w:lang w:val="en-US" w:eastAsia="en-US" w:bidi="ar-SA"/>
        </w:rPr>
        <w:t>"Possible Bullying and/or Extortion?"</w:t>
      </w:r>
      <w:r>
        <w:rPr>
          <w:rFonts w:ascii="arial" w:eastAsia="arial" w:hAnsi="arial" w:cs="arial"/>
          <w:color w:val="000000"/>
          <w:sz w:val="20"/>
          <w:lang w:val="en-US" w:eastAsia="en-US" w:bidi="ar-SA"/>
        </w:rPr>
        <w:t xml:space="preserve"> (the </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Internet Article"), which the defendants and each of them published or caused to be published on the BCfit Website, and the defendants continue to publish the Injurious Article [Internet Article] to the date of filing this notice of civil claim.</w:t>
      </w:r>
    </w:p>
    <w:p>
      <w:pPr>
        <w:numPr>
          <w:numId w:val="8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Internet Article contains,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following words calculated to harm the BCRPA and to induce persons not to deal with the BCRPA:</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BCRPA Vancouver</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British Columbia Parks and Recreation Review</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Author Archives: BCFIT</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Possible Bullying and/or Extortion?</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First of all, I am sure that you agree that extortion and bullying are not only unethical but it is illegal Let me share with you the definition of extortion:</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Definition of EXTORT</w:t>
      </w:r>
      <w:r>
        <w:rPr>
          <w:rFonts w:ascii="arial" w:eastAsia="arial" w:hAnsi="arial" w:cs="arial"/>
          <w:i/>
          <w:color w:val="000000"/>
          <w:sz w:val="20"/>
          <w:lang w:val="en-US" w:eastAsia="en-US" w:bidi="ar-SA"/>
        </w:rPr>
        <w:t xml:space="preserve"> [...] to obtain from a person by force, intimidation or undue or illegal power; wring; also: to gain especially by ingenuity or compelling argument</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The actions of Mrs. Strutt are a clear proof of Extortion. I obtained a screen shot of Mrs. Strutt blocking my account for your file: [...]</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At very least a 5th grader would see that this is a clear sign of unprofessionalism and abuse of power. It is also a sign of "shoot first and ask questions later". Any 5th grader would agree that any civilized human would request a meeting, an explanation before resorting to such heavy-handed tactics.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Now let me share with you a definition of Bullying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What is bullying?</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Bullying is a form of aggression where there is a power imbalance; the person doing the bullying has power over the person being victimized.</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Again. At the very least a 5th grader would see that this is a clear sign of unprofessionalism and abuse of power. It is also a sign of "shoot first and ask questions later". Any 5th grader would agree that any civilized human would request a meeting, an explanation before resorting to such heavy-handed tactics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This entry was posted in British Columbia</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Parks and Recreation, Suzanne Strutt BCRPA,</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Vancouver BCRPA and tagged Suzanne Strutt the</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CEO at British Columbia Parks and Recreation</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Association, Vancouver bcrpa on May 21, 2014</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http:// .bcfit.ca/possible-bulling-andor-extortion].</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Suzanne Strutt BCRPA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[YouTube Video link]</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Please join us in seeking justice for a middle-eastern man who is from the downtown eastside in Vancouver. Not only is he poor but he suffered 4 detached retinas and now partially-sighted. He is being mistreated and threatened by</w:t>
      </w:r>
      <w:r>
        <w:rPr>
          <w:rFonts w:ascii="arial" w:eastAsia="arial" w:hAnsi="arial" w:cs="arial"/>
          <w:i/>
          <w:color w:val="000000"/>
          <w:sz w:val="20"/>
          <w:lang w:val="en-US" w:eastAsia="en-US" w:bidi="ar-SA"/>
        </w:rPr>
        <w:t xml:space="preserve"> Suzanne Strutt the CEO at British Columbia Parks and Recreation Association.</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Recently a person on disability wrote a letter to Suzanne Strutt requesting that they waive the late fee because he is on disability and cannot afford the 190 dollars fee to renew his registration. However Suzanne Strutt replied that BCRPA is a business and they don't waive fees for low-income people. Then the person on disability who is from the downtown eastside who is proud to say that he is a BCRPA Personal Trainer asked Suzanne Strutt to atleast [sic] reply to his 2nd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request and that she consider waiving the 50 dollar late fee because 50 dollars to him is lots of groceries.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He also told her that it would be professional to offer a reply or decision because he is a registered member. What followed after that is outrageous and a clear case of malice including professional misconduct. She lashed out at him when he asked her to consider waiving the late fee. [...]</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As you have read the egregious conduct of Suzanne Strutt, this is absolutely unacceptable. What is more egregious is that the member was the ONLY ONE who left a 5 star rating for the staff at BCRPA on their facebook page. [...]</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As one can clearly see the malice and hostility Suzanne Strutt has displayed, instead of thanking him she attacks him and makes him sign documents. It does not get meaner than that folks.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We can only guess why she threatened him is because She became afraid that he would bring to light that she does not waive fees for the poor and partially sighted.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One would think that the incident is over but it got much worse.</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Suzanne Strutt BLOCKED the good citizen's account and prevented him from access to his BCRPA account, which means he could not offer his services to the public as a BCRPA Approved Personal Trainer. Which I am sure anyone would agree this is hostile and would cause anyone pain and suffering.</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To continue. The low income good-citizen had no choice but to pay 190 to Suzanne Strutt and sign her documents. Which is exactly what happened. The good citizen cannot afford a lawyer and under duress signed her documents to have his registration unlocked. Otherwise the several hundreds of dollars and several months he spent in the last year would be wasted.</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 Suzanne Strutt on May 13, 2014 noticed that the good citizen has done nothing and not defended himself so she went a step further. [...]</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As you can read she took the money of the low-income man and made him sign her documents... Suzanne Allard Strutt must remember that free speech and censorship are serious issues and any professional understands these concepts.</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After doing a little research we found that Suzanne Strutt has posed in a picture with InfoFit and gave them an award which she never mentioned. Which clearly shows a bias and hostile prejudice. Again. A clear case of professional misconduct</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Attached below are pictures of the owner of infofit being awarded an award from Suzanne Allard Strutt</w:t>
      </w:r>
      <w:r>
        <w:rPr>
          <w:rFonts w:ascii="arial" w:eastAsia="arial" w:hAnsi="arial" w:cs="arial"/>
          <w:i/>
          <w:color w:val="000000"/>
          <w:sz w:val="20"/>
          <w:lang w:val="en-US" w:eastAsia="en-US" w:bidi="ar-SA"/>
        </w:rPr>
        <w:t xml:space="preserve"> The picture says a thousand words and clearly displays a clear case of partiality, bias and malice.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[Picture of Strutt with other individuals at the 2012 BCRPA Fitness Leadership Awards]</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In conclusion, Suzanne Strutt is suggesting that one cannot exercise their reviews of a business if it contradicts her views which is a clear sign of narcissism, unprofessionalism, malice and hostility, especially when she holds a public position which requires an ethical standard and a "CODE OF CONDUCT"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in or around May 20, 2014, and continuing to the date of filing this notice of civil claim, Zakharia and Jane Doe published certain words, calculated to cause harm to the BCRPA and Strutt and to induce persons not to deal with them, on YouTube.com at http:// www.youtube.com/watch?v=lf5AOo 1110c (the "BCRPA YouTube Video").</w:t>
      </w:r>
    </w:p>
    <w:p>
      <w:pPr>
        <w:numPr>
          <w:numId w:val="8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written words complained of in the BCRPA YouTube Video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join us in seeking justice for a middle-eastern man who is from the downtown eastside in Vancouver. Not only is he poor but he suffered 4 detached retinas and now partially-sighted. He is being mistreated and threatened by Suzanne Strutt the CEO at British Columbia Parks and Recreation Association. Visit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w:t>
      </w:r>
    </w:p>
    <w:p>
      <w:pPr>
        <w:numPr>
          <w:numId w:val="9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spoken words complained of in the BCRPA YouTube Video are as follows: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"Help us seek justice against the hostile actions of Suzanne Strutt, who is the CEO of BCRPA in Vancouver. Recently, a partially blind man who is on social assistance asked her to waive a $50 late fee. However Suzanne Strutt not only refused but threatened the man if he has not signed some papers promising that he will not give a review of one of her favourite fitness leaders. We have pictures of her posing with her favourite fitness leader two years ago. But she did not mention that when she threatened the paying member, hoping the paying member would not notice and just cave into her threat not to post a negative review. If that is not misconduct and unprofessionalism, then what is? In conclusion Suzanne Strutt threatened a member [inaudible] one year worth of studies and several thousands of dollars of loss which is absolutely in violation of his civil and legal rights. Susan Strutt must step down with an apology. Remember, this man is partially sighted and low income. Help us seek justice."</w:t>
      </w:r>
    </w:p>
    <w:p>
      <w:pPr>
        <w:numPr>
          <w:numId w:val="9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false statements published by the defendants in the Internet Article and BCRPA YouTube Video were made maliciously and the plaintiffs have suffered special damages particulars of which will be provided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Defamation of BCRPA and Suzanne Strutt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Publications</w:t>
      </w:r>
      <w:r>
        <w:rPr>
          <w:rFonts w:ascii="arial" w:eastAsia="arial" w:hAnsi="arial" w:cs="arial"/>
          <w:sz w:val="20"/>
          <w:lang w:val="en-US" w:eastAsia="en-US" w:bidi="ar-SA"/>
        </w:rPr>
        <w:cr/>
      </w:r>
    </w:p>
    <w:p>
      <w:pPr>
        <w:numPr>
          <w:numId w:val="9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Internet Article particularized at paragraph 48 herein, is also defamatory of the BCRPA and Suzanne Strutt. It has been accessed, downloaded and read by many persons in British Columbia and elsewhere in Canada and the world.</w:t>
      </w:r>
    </w:p>
    <w:p>
      <w:pPr>
        <w:numPr>
          <w:numId w:val="9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facts set out above, and contrary to the words in the Internet Article, the true facts are as follows:</w:t>
      </w:r>
    </w:p>
    <w:p>
      <w:pPr>
        <w:numPr>
          <w:numId w:val="9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Suzanne Strutt is an honest, competent, reliable, professional, well-educated individual who held an excellent reputation among her colleagues and the fitness community before Zakharia commenced his campaign against her and the BCRPA.</w:t>
      </w:r>
    </w:p>
    <w:p>
      <w:pPr>
        <w:numPr>
          <w:numId w:val="9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permitted his registration with the BCRPA Fitness Registration Program to expire despite receiving multiple reminders from the BCRPA to pay his renewal fee prior to expiry.</w:t>
      </w:r>
    </w:p>
    <w:p>
      <w:pPr>
        <w:numPr>
          <w:numId w:val="9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Strutt personally accept money from Zakharia. On May 7, 2014, Zakharia met with Emmie Li, the Fitness Program Manager at BCRPA, who accepted his Renewal Fees. Zakharia was immediately registered with the Fitness Registration Program after his Renewal Fees had been paid and he had signed the Agreement.</w:t>
      </w:r>
    </w:p>
    <w:p>
      <w:pPr>
        <w:numPr>
          <w:numId w:val="9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was never under duress to sign the Agreement and pay the Renewal Fees. Strutt provided Zakharia the option of attending the BCRPA offices for renewal of his registration that day, or to meet with Emmie Li at a later date. Zakharia was and is at liberty to provide his services to the public as a personal trainer despite not being registered with the BCRPA Fitness Registration Program.</w:t>
      </w:r>
    </w:p>
    <w:p>
      <w:pPr>
        <w:numPr>
          <w:numId w:val="9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Strutt attends the annual BCRPA Fitness Leadership Awards as a representative of the BCRPA to hand out awards to the recipients. She has no personal input as to which persons or businesses will receive the awards.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does not and cannot waive fees for any individual who wishes to be registered with its Fitness Registration Program. Registration and renewal fees pay for hard costs to the BCRPA, such as insurance premiums and overhead.</w:t>
      </w:r>
    </w:p>
    <w:p>
      <w:pPr>
        <w:numPr>
          <w:numId w:val="10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Strutt treated Zakharia with respect and offered him the opportunity to be registered with the BCRPA Fitness Registration Programs on the condition that he pay the Renewal Fees and sign and abide by Registration Terms and Conditions and the Code.</w:t>
      </w:r>
    </w:p>
    <w:p>
      <w:pPr>
        <w:numPr>
          <w:numId w:val="10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in the context of the Internet Article as whole, the words complained of by the BCRPA convey the following natural and ordinary inferential meanings:</w:t>
      </w:r>
    </w:p>
    <w:p>
      <w:pPr>
        <w:numPr>
          <w:numId w:val="10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and Suzanne Strutt:</w:t>
      </w:r>
    </w:p>
    <w:p>
      <w:pPr>
        <w:numPr>
          <w:numId w:val="10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victimize disabled and low-income individuals;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biased and prejudiced;</w:t>
      </w:r>
    </w:p>
    <w:p>
      <w:pPr>
        <w:numPr>
          <w:numId w:val="10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unprofessional, dishonest, immoral and corrupt;</w:t>
      </w:r>
    </w:p>
    <w:p>
      <w:pPr>
        <w:numPr>
          <w:numId w:val="10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are malicious, hostile and threatening to members of the public;</w:t>
      </w:r>
    </w:p>
    <w:p>
      <w:pPr>
        <w:numPr>
          <w:numId w:val="10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are bullies; and</w:t>
      </w:r>
    </w:p>
    <w:p>
      <w:pPr>
        <w:numPr>
          <w:numId w:val="10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are criminals.</w:t>
      </w:r>
    </w:p>
    <w:p>
      <w:pPr>
        <w:numPr>
          <w:numId w:val="1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and Suzanne Strutt condone:</w:t>
      </w:r>
    </w:p>
    <w:p>
      <w:pPr>
        <w:numPr>
          <w:numId w:val="1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victimization of disabled and low-income individuals by its employees;</w:t>
      </w:r>
    </w:p>
    <w:p>
      <w:pPr>
        <w:numPr>
          <w:numId w:val="1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biases and prejudices of its employees towards the public;</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unprofessional, dishonest, immoral and corrupt behaviour by its employees;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 hostile, and threatening behaviour by its employees on members of the public; and</w:t>
      </w:r>
    </w:p>
    <w:p>
      <w:pPr>
        <w:numPr>
          <w:numId w:val="1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bullying of members of the public by its employees; and</w:t>
      </w:r>
    </w:p>
    <w:p>
      <w:pPr>
        <w:numPr>
          <w:numId w:val="1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criminal behaviour of its employees.</w:t>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and Suzanne Strutt are unprofessional, dishonest, immoral, and corrupt.</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Anyone who has business or personal dealings with the BCRPA or Suzanne Strutt are at risk of becoming the victim of extortion or bullying by the BCRPA or its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of these meanings is utterly false, malicious and defamatory of and concerning BCRPA and Suzanne Strutt.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YouTube Video particularized at paragraphs 51 and 52 herein, is also defamatory of the BCRPA and Suzanne Strutt. It has been accessed, downloaded and read by many persons in British Columbia and elsewhere in Canada and the world.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YouTube Video as a whole, including the words particularized herein, convey the following natural and ordinary inferential meanings: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and Suzanne Strutt employ individuals who:</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victimize disabled and low-income individuals;</w:t>
      </w:r>
    </w:p>
    <w:p>
      <w:pPr>
        <w:numPr>
          <w:numId w:val="1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biased and prejudiced;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unprofessional, dishonest, and immoral;</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malicious, hostile and threatening to members of the public; and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bullies.</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and Suzanne Strutt condone: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victimization of disabled and low-income individuals by its employees;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biases and prejudices of its employees towards the public;</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unprofessional, dishonest, and immoral behaviour by its employees;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 hostile, and threatening behaviour by its employees on members of the public; and</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bullying of members of the public by its employees.</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BCRPA and Suzanne Strutt are unprofessional, dishonest, and immoral.</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Anyone who has business or personal dealings with the BCRPA or Suzanne Strutt are at risk of becoming the victim of bullying by the BCRPA or its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of these meanings is utterly false, malicious and defamatory of and concerning BCRPA and Suzanne Strutt.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Scope of Publication</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defamatory expression on the Internet complained of in this notice of civil claim has been accessed, downloaded, read and viewed by many persons in British Columbia and Canada and elsewhere in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Joint Liability</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aided or participated in the publication of the defamatory expression complained of in this notice of civil claim pursuant to a common design and caused, procured, authorized, concurred in, and/or approved publication of the defamatory expression. Without limiting the generality of the foregoing, each defendant created or assisted in creating the content of the aforesaid defamatory expression and further (or in the alternative):</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approved, authorized, incited or encouraged publication of the aforesaid defamatory expression; and/or</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participated in causing the dissemination of the aforesaid defamatory expression by third parties by posting on the Internet and/or by email and/or by facilitating republication as alleged; and/or</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communicated to third parties their agreement with the content of the defamatory expression.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Republication by Third Parties</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and intended and expected that other persons visiting the BCfit Website and the BCRPA YouTube Video and would copy, download, or link to the defamatory expression complained of in this notice of civil claim and republish it on other Internet websites, or by email, which did in fact occur. Alternatively, such republication or linking by third party Internet websites, and republication by email, was the natural and probable result of the original publication of the defamatory expression.</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such republication by third parties on the Internet was the natural and probable result of the original publication on the Internet of the electronic version of the Internet Article or the BCRPA YouTube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Express Malice</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each published and/or authorized the publication of the defamatory expression complained of in this notice of civil claim with the knowledge that the popular innuendo meanings conveyed by that defamatory expression were false, or alternatively, with reckless indifference whether they were true or false.</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predominant purpose of the defendants was to cause harm to the BCRPA and Strutt, to expose them to hatred, ridicule and contempt, to lower them in the estimation of others, and to cause them to be shunned and avoided. In this regard, the defendants sought to destroy the reputation of the BCRPA and Strutt so that the BCRPA and Strutt would have no credibility with the general public, potential registrants of the BCRPA Fitness Registration Program, and the fitness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Damages and Injunctive Relief</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defamatory expression complained of in this notice of civil claim has caused injury, loss and damage to the BCRPA and Strutt by exposing the BCRPA and Strutt to contempt, ridicule and hatred, and causing other persons to shun or avoid the BCRPA and Strutt, and by lowering the BCRPA and Strutt in the estimation of right-thinking members of the community.</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further consequence of the publication and republication of the defamatory expression complained of in this notice of civil claim, the BCRPA and Strutt continues to suffer loss, damage, and expense, and will continue to incur loss, damage and expense in the future, including past, current and future special damages in the form of loss of income, particulars of which will be provided on request.</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past, current and future loss, damage and expense referred to in the preceding paragraph of this notice of civil claim includes,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substantial and persisting injury to reputation of the BCRPA and Strutt, injury to professional and personal relationships between the BCRPA and other persons in British Columbia and elsewhere in Canada and in other countries.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each been guilty of reprehensible, insulting, high-handed, spiteful, malicious and oppressive conduct, and such conduct by the defendants justifies the court in imposing a substantial penalty of exemplary damages on the defendants, imposing an award of aggravated damages in favour of the BCRPA and Strutt, and imposing an award of special costs in favour of the BCRPA and Strutt. The BCRPA and Strutt will rely upon the entire conduct of the defendants before and after commencement of this action to the date of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serious risk that the defendants will renew or continue publication of the defamatory expression complained of in this notice of civil claim unless the defendants are restrained from doing so by an Order of this Honourable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May 27, 2014, BCRPA was formally registered (application date May 23, 2014) as the owner of the trade-mark BCFIT. BCFIT and resembling variations such as BCFit, bcfit and BCfit, all arise in the evidence. In these Reasons, I have used the description as it appears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plaintiffs' pleadings also define the www.BCfit.ca website that Mr. Zakharia established as the "BCfit Website". In these Reasons, I will use the same definition, including when the address is shown as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finding many of the facts, the Court was required to assess the credibility of Mrs. Strutt.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Strutt testified in an open and forthright manner. She is an accomplished and experienced executive, who has also contributed her services and talents to the community. Her testimony was consistent with the surrounding evidence and circumstances. The testimony of the plaintiffs' other witnesses, each of whom was credible and reliable, was consistent with Mrs. Strutt's testimony. The Court has no reservation in accepting Mrs. Strutt's testimony and that of the plaintiffs'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Strutt's testimony, in particular, satisfied the Court that there is no evidence to support Mr. Zakharia's allegations that there was a conspiracy directed at him or that he was the subject of discrimination.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previously noted, Mr. Zakharia chose not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trial, Mr. Zakharia stated that he agreed with paragraphs 1 to 3, 5, and 7 to 18, 20, 22, 24, 33, 35, 47 and 50 of the plaintiffs' pleaded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notice of civil claim was filed on July 28, 2014. With respect to paragraph 33 of the pleaded facts, Mr. Zakharia noted that he was unable to withdraw the representations after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interlocutory injunction was granted on July 28, 2014, and before it was modified on August 25,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key facts are straightforward. Mr. Zakharia, a personal trainer, had been a BCRPA registrant. He did not pay his annual BCRPA fees in a timely manner and his registration lapsed. On May 7, 2014, his registration was reinstated upon payment of the relevant fees ($140), a moderate late fee ($50), and his written commitment to abide by BCRPA's Code of Ethics. On May 8, 2014, Ms. Emmi Li, BCRPA's fitness program manager, told Mr. Zakharia, responding to his query about whether the signed commitment was retroactive, that the commitment was not retroactive.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BCRPA had well-founded concerns with respect to Mr. Zakharia's past compliance with its Code of Ethics. By allowing Mr. Zakharia to be reinstated, provided he gave his written commitment to abide by BCRPA's Code of Ethics, Mrs. Strutt was giving Mr. Zakharia, in good faith, "another chance".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registration, a registrant is covered by insurance in relation to his or her fitness training activities. The insurance coverage is understandably important to fitness centres that may employ a BCRPA fitness leader.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Mrs. Strutt testified that BCRPA's fees (including late fees) are not waived under any circumstances. As she explained, BCRPA is a non-profit organization that incurs expenses in the course of its operation and relies on its fees to pay such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BCRPA's Code of Ethics, like those of many organizations, requires that members treat one another with civility and respect. A few days after Mr. Zakharia paid the requisite fees, without explanation, he continued to disparage a BCRPA member organization, contrary to the Code of Ethics. The Code of Ethics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Code of Ethics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Fitness Program Code of Ethics is designed to provide guidance - both individually and collectively - to all registered BCRPA Fitness Leaders, in order to maintain a high level of ethical conduct. The essential principles of the Code of Ethics are honesty and integrity. Fitness Leaders who reflect these characteristics will be a credit to the Association, the institutions they represent and themselves.</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Actively support the mission and philosophy of the BCRPA Fitness Program.</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forthright in all dealings with the public; with integrity and without compromise, always act in the best interests of the public's well-being.</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 all people equally and with respect for human dignity.</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Uphold high ethical standards, bringing integrity and honesty to the profession.</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Recognize individual boundaries of competence and refer to more qualified fitness or health professionals when appropriate.</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Participate in continuing education and training to upgrade knowledge and stay current in the fitness profession.</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Preserve the credibility and dignity of colleagues and associates by exhibiting professionalism in all situations.</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Comply with the spirit, as well as the letter of all applicable business, employment and copyright laws and regulations.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Enhance community well-being by providing a high level of excellence in both professional skills and knowledge</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Strive to bring credit to the fitness profession by meeting or exceeding the standards of the BCRPA Fitness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May 13, 2014, on becoming aware of matters, Mrs. Strutt emailed Mr. Zakharia: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sent this link: URL http:// infofitreview.wordgress.com=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very disappointed that you appear to have breached the agreement we recently signed. Please remove this post, and provide me with an explanation. I expect to hear from you within the next 48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Suzanne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Within 2 hours, Mr. Zakharia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Strutt,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threats and your acts of hostility are all documented.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give you 48 hours for an apology or I will seek legal action and exercise my legal rights and my consumer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documented your actions on www.BCfit.ca.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late in the day and it will take me one week to complete. I am producing a video documentary which I will post on youtube. It will be a documentary on BCRPA and I will have it reviewed by a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kindly request that you apologize for the troubles you caused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Mrs. Strutt's email shows, Mr. Zakharia was given the opportunity to explain the post. Mr. Zakharia's response to a request for an explanation was wholly unreasonable. He chose not to explain the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or before May 13, 2014, Mr. Zakharia created the BCFit Website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 xml:space="preserve"> which he used to attack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BCRPA had used the unregistered trade-mark BCFit since 2009, in connection with the annual fitness conference it organizes.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BCFit Website to which Mr. Zakharia refers in the above May 13, 2014 email to Ms. Strutt, an article was posted with a YouTube video. When the article was initially posted (on or about May 13, 2014), Mr. Zakharia appeared in the YouTube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May 13, 2014, Mrs. Strutt first saw the article and the video of Mr. Zakharia. On May 14, 2014, a new You Tube video was posted on the website, replacing the video of Mr. Zakharia. The presenter in the replacement YouTube video was Jane Doe. The language used by Jane Doe was similar to that used by Mr. Zakharia. The particulars of the key language of the YouTube video are found at paragraph 51 of the notice of civil claim. In addition, the text of the article posted on or before May 13, 2014 had been modified slightly. The key portions of the modified article are found in the second portion of paragraph 48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By May 22, 2014, the article described in the first portion of paragraph 48 of the notice of civil claim (the title was "Possible Extortion and/or Bullying?" and not "Possible Bullying and/or Extortion?" as set forth in the plaintiffs' pleadings), had also been posted to the BCFit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May 27, 2014, Mr. Zakharia was expelled from the BCRPA. By May 28, 2014, Mr. Zakharia was aware of his expulsion.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noted, Mr. Zakharia asserted that Mrs. Strutt had victimized him because he is partially-sighted. There was no evidence of such victimization by Mrs. Strutt or the BCRPA. In poignant testimony, Mrs. Strutt explained she was particularly distressed by Mr. Zakharia's allegations because her late son was profoundly deaf and blind. Mrs. Strutt testified that she had worked hard against discrimination towards persons with disabilities. The Court finds that Mrs. Strutt was deeply hurt by Mr. Zakharia's unkind and baseless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May 29, 2014, Mr. Zakharia sent a package of documents to CanFitPro, an organization with similar objects to those of BCRPA, in order to seek accreditation from CanFitPro. Included in the documents CanFitPro received was a certificate purportedly issued by BCRPA, showing the plaintiff as registered with BCRPA. The certificate was a fake.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September 2014, CanFitPro became aware of the truth. Mr. Zakharia's certificates with CanFitPro were revoked.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October 2, 2014, Mr. Zakharia swore an affidavit (filed October 6, 2014), in support of an application to modify an injunction issued as part of the current action (granted July 28, 2014 and modified August 25, 2014). The portion of the injunction that Mr. Zakharia sought to be deleted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John Zakharia (also known as Johnny Zakharia, Johnny Zakhariah and Johnny Zacharia) </w:t>
      </w:r>
      <w:r>
        <w:rPr>
          <w:rFonts w:ascii="arial" w:eastAsia="arial" w:hAnsi="arial" w:cs="arial"/>
          <w:b/>
          <w:color w:val="000000"/>
          <w:sz w:val="20"/>
          <w:lang w:val="en-US" w:eastAsia="en-US" w:bidi="ar-SA"/>
        </w:rPr>
        <w:t>("Zakharia")</w:t>
      </w:r>
      <w:r>
        <w:rPr>
          <w:rFonts w:ascii="arial" w:eastAsia="arial" w:hAnsi="arial" w:cs="arial"/>
          <w:color w:val="000000"/>
          <w:sz w:val="20"/>
          <w:lang w:val="en-US" w:eastAsia="en-US" w:bidi="ar-SA"/>
        </w:rPr>
        <w:t>, by himself, his servants, agents or otherwise, directly or indirectly, is enjoined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Publishing any of the statements alleged to constitute injurious falsehood of the BCRPA by denigrating the BCRPA or its Chief Executive Officer Suzanne Strutt in her capacity as the Chief Executive Officer of the BCRPA or any substantially similar statements regarding any other personal representative of the BCRPA;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paragraph 32 of his October 2, 2014 affidavit Mr. Zakharia swore:</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30, 2014, I received a letter from canfitpro which cancelled my certification as a fitness instructor with that organization. In the letter, canfitpro advised me that my certification was cancelled as a result of alleged misrepresentations I had made with respect to my BCRPA certification in May 2014. I dispute that I made any misrepresentations, but I do not feel I can adequately respond to canfitpro given the restrictions placed on me by paragraph 1(f)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Zakharia's application was heard by Justice Affleck on November 6, 2014 and dismissed on November 28, 2014: </w:t>
      </w:r>
      <w:r>
        <w:rPr>
          <w:rFonts w:ascii="arial" w:eastAsia="arial" w:hAnsi="arial" w:cs="arial"/>
          <w:i/>
          <w:color w:val="000000"/>
          <w:sz w:val="20"/>
          <w:lang w:val="en-US" w:eastAsia="en-US" w:bidi="ar-SA"/>
        </w:rPr>
        <w:t>British Columbia Recreation and Parks Association v. Zakharia</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2014 BCSC 2244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trial, if Mr. Zakharia had chosen to testify, he would have had an opportunity to explain that he had not made "any misrepresentations" to CanFitPro.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finds that Mr. Zakharia knowingly used a fake BCRPA certificate in order to become registered with CanFitPro.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Zakharia could have also testified as to the various versions of the articles and YouTube videos which were posted on the BCFit Website he created in support of his defence, including his pleas of truth, fair comment, and responsible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Despite knowing that BCRPA used BCFit for its annual fitness conference, Mr. Zakharia used the domain name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 xml:space="preserve"> to post his articles and YouTube videos. Although BCRPA had told him not to do so in December 2013, and then again on June 4, 2014, after the trade-mark had been formally registered as BCFIT on May 27, 2014, he nonetheless used the trade-mark.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his expulsion from BCRPA, Mr. Zakharia represented himself to be a "BCRPA PT", to further his own commercial interests. As an example, on September 20, 2014, Mr. Zakharia wrote to Mr. Weltman, the owner of Amazing Personal Training Studio (verbatim):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interesting in training my clients at your studio. I am a BCRPA PT and a CanFitpro and CFES PT. Plus a Keiser Indoor Cycling instructor. In addition. I own KitsilanoTrainers.com and I would love to add you (for free of course) once I begin training my clients. I assume your fees are about 15 a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June 3, 2015, a few days before the trial started, Mr. Zakharia sent separate emails to three of the plaintiffs' listed witnesses or their respective employers. With respect to Mr. Craig Sheather, vice-president of operations at the YMCA of Greater Vancouver, Mr. Zakharia wrote to Mr. S. Butz, the chief executive officer of the YMCA of Greater Vancouver, (verbatim):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Prejudice,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3 2015,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Butz and/or YMCA of Greater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involved in litigation with the BCRPA. In the past I filed a Small Claims Court Lawsuit. They replied with a Civil Lawsuit. Regarding the Small Claims Lawsuit, we did settle on the grounds that they admit that they could have treated me better, which was short of an apology. The Judge also advised them that there were contempt of Court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the Civil Case, it has been brought to my attention that Mr. Craig Sheather will be acting as a witness against me. He is planning to represent the YMCA of Greater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hereby have been made aware on June 3rd at 8 40 pm that Mr. Craig Sheather will be acting as a witness against me during the dates between June 8th to June 12, 2015.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assume that he has your consent, that he is representing the YMCA of Greater Vancouver, and not himself only. Unless otherwise notified.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litigation will follow because of the harm and distress that this action from a YMCA representative is planning on causing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You approve his actions and consent to publishing this conduct to the public, including the YMCA organizations, from Canada, and the YMCA members, nationally and internationally. From day one when I met Mr. Sheather to the day that I quote his words in the Supreme Court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will be no secrecy, or a publication ban and you have been made aware of this fact on June 3rd 2015.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Johnny Zakharia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Undeterred by Mr. Zakharia's attempt to dissuade him from giving evidence, Mr. Sheather testified at trial. He testified that he had clicked on the BCfit Website, viewed one of the YouTube videos, read the accompanying text and had followed the links to the second article ("Possible Extortion and/or Bullying") which he also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or about June 26, 2015, after the trial had commenced and before Mr. Zakharia started his defence, the YouTube video with Mr. Zakharia was re-posted. The spoken words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everyone. My name is Johnny and I'd like to thank you for helping me seek justice. For one year, I've been taking courses to become a fitness leader and I've paid several hundreds of dollars with BCRPA, British Columbia Parks &amp; Recreation Association. A few weeks ago, I sent out an email to the CEO; her name is Susan Strutt; she's the CEO of BCRPA and I asked her if she could please waive the fees because I'm low-income and I'm partially disabled, partially blind because of four detached retinas. She says she cannot waive the fee because it's a, because it's a business. Then I said to her then I said to her, 'please, waive the late fee. Please waive the late fee' and she did not reply. I sent her a reminder saying 'it would be very professional if you'd reply at least to a paying member.' She became extremely hostile. Then she made me sign forms, saying that I'm disparaging, making disparaging comments, just because I asked her to reply to my plea to waive the $50 because I'm low-income. It got even much worse than that. She sent me an email the other day threatening me, saying that any comments I made in the past, any review about any fitness leaders, that she would cancel my membership in my future I can't be a fitness leader. So one year of schooling and courses go down the drain. That's, as you can tell that's very distressing and troubling. Basically I caught her, I did some research and she's in a picture with a fitness leader that, InfoFit, giving him an award. I saw that picture on Facebook. So now we know why she doesn't want me to leave negative reviews. So you can see there's clear case of bias partiality and unprofessionalism. And now I'm living out of fear because of her hostility. As you can tell this is completely unacceptable. I'm a good citizen, professional, and I deserve to be treated equally and professionally. So please join me seeking justice and getting Susan Strutt to step down and allow me to continue with my future and my career. Thank you very much. Look below and you'll see what you need to do.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Mrs. Strutt's testimony and the testimony of the plaintiffs' other witnesses also served to establish the pleaded facts, including those at paragraphs 6, 19, 21, 23, 26, 27 (other than subparagraph (c)), 29, 30, 31, 33, 36, 37, 38, 39, 40, 41, 42, 43, 46, 47, 48, 49, 50, 51 and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respect to paragraph 4, the pleaded facts were established other than whether there were "multiple" videos of Jane Doe. There was only one video posted.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respect to subparagraph 27(c) and paragraph 34, the plaintiffs conceded that there was no evidence presented at trial to support these pleaded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Paragraphs 25 and 32 were not pleaded facts but were statements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established that the YouTube videos and articles had been accessed as set forth in paragraph 53 of the pleadings. Neither the exact number of readers nor where these readers resided was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Paragraph 28 involves questions of law that I will address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Mrs. Strutt's testimony and that of the plaintiffs' other witnesses also established the facts set forth at paragraph 54 of the pleaded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respect to the remainder of the pleaded facts (paragraphs 55 to 68) I will address these pleaded facts as part of my analysis because, for the most part, they are intertwined with questions of law and the pleadings specifically related to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noted, Mr. Zakharia chose not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Sopinka, Lederman and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4th ed (Markham, Ont.: LexisNexis Canada, 2014) at 386-387, neatly summarizes the law with respect to drawing an adverse inference in civil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6.450 In civil cases, an unfavourable inference can be drawn when, in the absence of an explanation, a party litigant does not testify, or fails to provide affidavit evidence on an application, or fails to call a witness who would have knowledge of the facts and would be assumed to be willing to assist (that party. In the same vein, an adverse inference may be drawn against a party who does not call a material witness over whom he or she has exclusive control and does not explain it away. Such failure amounts to an implied admission that the evidence of the absent witness would be contrary to the party's case, or at least would not support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6.451 An adverse inference should be drawn only after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has been established by the party bearing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drawing of an adverse inference is consistent with our much envied common law system. The common law is litigant driven. It is the parties who frame the action, collect evidence, investigate matters, and present their respective cases under our adversarial system. Where a party does not present evidence, which is in that party's control, such failure, as Sopinka notes, may lead to the natural inference that it "would be contrary to the party's case, or at least not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 Justice Romer (as he then was) stated in </w:t>
      </w:r>
      <w:r>
        <w:rPr>
          <w:rFonts w:ascii="arial" w:eastAsia="arial" w:hAnsi="arial" w:cs="arial"/>
          <w:i/>
          <w:color w:val="000000"/>
          <w:sz w:val="20"/>
          <w:lang w:val="en-US" w:eastAsia="en-US" w:bidi="ar-SA"/>
        </w:rPr>
        <w:t>Barker v. Furlong</w:t>
      </w:r>
      <w:r>
        <w:rPr>
          <w:rFonts w:ascii="arial" w:eastAsia="arial" w:hAnsi="arial" w:cs="arial"/>
          <w:color w:val="000000"/>
          <w:sz w:val="20"/>
          <w:lang w:val="en-US" w:eastAsia="en-US" w:bidi="ar-SA"/>
        </w:rPr>
        <w:t>, [1891] 2 CH.D. 172 at 184: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though I refused this application [the plaintiff's application to call the defendant after the defendant's case had been closed], I fully agree with what Mr. Haldane said -- that I am entitled and bound under the circumstances of the Defendant's not appearing to support his case, though he was in Court, to make every reasonable presumption against him;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the case at bar, the plaintiffs had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Mr. Zakharia chose not to take the stand as part of his case. He had the opportunity to explain such matters as: the basis, if any, for his statements made in the YouTube videos and articles posted on the BCfit Website he established; the circumstances surrounding the false BCRPA certificate; and the otherwise reasonable conclusion that he knows Jane Doe's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Zakharia argued that adverse inferences should be made from the plaintiffs' not calling four witnesses (Mr. M. Zaitlin, Ms. S. Seary and Ms. T. Welsford and Ms. S. McNeal). The Court finds that the witnesses either would not provide relevant evidence or that other witnesses, such as Mrs. Strutt or Ms. Li, were able to provide the evidence. The Court also accepts that the plaintiffs were mindful of the number of days set for the trial. Finally, Mr. Zakharia could have called any or all of these four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free expression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internet has not changed the law with respect to free expression. While the internet may serve as the modern day Speaker's Corner in Hyde Park (and with a potentially far greater audience), the internet does not licence the circumvention of the law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[2009] 3 S.C.R. 640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the Supreme Court of Canada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Freedom of expression is guaranteed by s. 2(</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It is essential to the functioning of our democracy, to seeking the truth in diverse fields of inquiry, and to our capacity for self-expression and individual realization.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But freedom of expression is not absolute. One limitation on free expression is the law of defamation, which protects a person's reputation from unjustified assault. The law of defamation does not forbid people from expressing themselves. It merely provides that if a person defames another, that person may be required to pay damages to the other for the harm caused to the other's reputation. However, if the defences available to a publisher are too narrowly defined, the result may be "libel chill", undermining freedom of expression and of the 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principles do not provide a licence to damage another person's reputation simply to fulfill one's atavistic desire to express oneself.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DEFAMATION -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the Supreme Court of Canada describes the elements necessary for defamation: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 plaintiff in a defamation action is required to prove three things to obtain judgment and an award of damages: (1) that the impugned words were defamatory, in the sense that they would tend to lower the plaintiff's reputation in the eyes of a reasonable person; (2) that the words in fact referred to the plaintiff; and (3) that the words were published, meaning that they were communicated to at least one person other than the plaintiff.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Where the plaintiff "proves the required elements the onus then shifts to the defendant to advance a defence in order to escape liability":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To succeed on the defence of justification, a defendant must adduce evidence showing that the statement was substantially true: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With respect to the defence of fair comment, the Supreme Court of Canada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As reformulated in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at para. 28, a defendant claiming fair comment must satisfy the following test: (a) the comment must be on a matter of public interest; (b) the comment must be based on fact; (c) the comment, though it can include inferences of fact, must be recognisable as comment; (d) the comment must satisfy the following objective test: could any person honestly express that opinion on the proved facts?; and (e) even though the comment satisfies the objective test the defence can be defeated if the plaintiff proves that the defendant was actuated by express malice.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expanded the fair comment defence by changing the traditional requirement that the opinion be one that a "fair-minded" person could honestly hold, to a requirement that it be one that "anyone could honestly have expressed" (paras. 49-51), which allows for robust debate. As Binnie J. put it, "[w]e live in a free country where people have as much right to express outrageous and ridiculous opinions as moderate ones" (para. 4).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Responsible Communication on Matters of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the Supreme Court of Canada formulated the defence of responsible communication on matters of public interest. The Chief Justice writing for the majority sets forth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[98] ... First, the publication must be on a matter of public interest. Second, the defendant must show that publication was responsible, in that he or she was diligent in trying to verify the allegation(s), having regard to all the relevant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1133, described the meaning of malice in defamation actions.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...Malice is commonly understood, in the popular sense, as spite or ill-will. However, it also includes any indirect motive or ulterior purpose that conflicts with the sense of duty or the mutual interest which the occasion created. Malice may also be established by showing that the defendant spoke dishonestly, or in knowing or reckless disregard for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defamation --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Necessary elements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noted, the testimony of the plaintiffs' witnesses establishes the pleaded facts set forth in paragraph 54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With respect to the articles and the YouTube video, the Court finds that the plaintiffs have established the "stings" of the defamation as set forth in paragraphs 55 and 57 of the notice of civil claim. In making these findings, the Court has considered the articles in their entirety. Paragraph 48 in the notice of civil claim does not quote the full articles in their entirety; it does not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several emails written by Mrs. Strutt or Ms. E. Li, the fitness program manager for BCRPA.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shows that the impugned words referred to the plaintiffs, Mrs. Strutt and the BCRPA, as each was specifically named in the YouTube videos and the articles posted by Mr. Zakharia as he blogged on the BCfit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also establishes that the articles and YouTube videos had been published and had been 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also notes that the BCfit Website served as a fish weir for internet users familiar with BCRPA's annual fitness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 Society of British Columbia v. Canada Domain Name Exchange Corporation</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2004 BCSC 1102</w:t>
        </w:r>
      </w:hyperlink>
      <w:r>
        <w:rPr>
          <w:rFonts w:ascii="arial" w:eastAsia="arial" w:hAnsi="arial" w:cs="arial"/>
          <w:color w:val="000000"/>
          <w:sz w:val="20"/>
          <w:lang w:val="en-US" w:eastAsia="en-US" w:bidi="ar-SA"/>
        </w:rPr>
        <w:t>, Justice Sigurdson described matters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Guessing is a common way internet users find and access websites. They guess at the domain name or the website name and type that into the internet browser. To look for the plaintiff's website, an obvious guess would be to type its name, without spaces: "lawsocietyofbc".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Similarly, it can reasonably be expected that an internet user looking for BCRPA's annual conference, who typed any variation of "bcfit" into an internet browser, could have been directed to the BCfit Website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 that Mr. Zakharia had established for his blog.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Court finds that Mr. Zakharia published the statements with malice. He had no basis for any of his statements, especially after being given "another chance", and after Mrs. Strutt, on May 13, 2014, offered him the opportunity to explain the post. He had no regard for the truth. The re-posting of the YouTube video during the trial further showed Mr. Zakharia's spite; he was asking that Mrs. Strutt be removed as the chief executive officer of BCRPA.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Zakharia's defences (justification, fair comment, responsible commendation) have no merit. The statements were not true. The defence of justification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Assuming the statements made were comment, they were not based on fact and were made with malice. Accordingly, the defence of fair comment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Finally, the defence of responsible communication fails. As the Supreme Court of Canada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Similarly, the defence of responsible communication obviates the need for a separate inquiry into malice. (Malice may still be relevant where other defences are raised.) A defendant who has acted with malice in publishing defamatory allegations has by definition not acted responsibly.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Earlier this year, in considering a defamation award in </w:t>
      </w:r>
      <w:r>
        <w:rPr>
          <w:rFonts w:ascii="arial" w:eastAsia="arial" w:hAnsi="arial" w:cs="arial"/>
          <w:i/>
          <w:color w:val="000000"/>
          <w:sz w:val="20"/>
          <w:lang w:val="en-US" w:eastAsia="en-US" w:bidi="ar-SA"/>
        </w:rPr>
        <w:t>Batyka v. Barber</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2015 BCSC 63</w:t>
        </w:r>
      </w:hyperlink>
      <w:r>
        <w:rPr>
          <w:rFonts w:ascii="arial" w:eastAsia="arial" w:hAnsi="arial" w:cs="arial"/>
          <w:color w:val="000000"/>
          <w:sz w:val="20"/>
          <w:lang w:val="en-US" w:eastAsia="en-US" w:bidi="ar-SA"/>
        </w:rPr>
        <w:t xml:space="preserve"> earlier this year, 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In considering the quantum of damages the Court has followed the guiding principles and factors either adopted or set forth by Justice Cory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for general, aggravated and punitive damages: see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paras. 164, 188, and 196. General damages in defamation cases are presumed from the publication of the defamatory statement, and awarded at large: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164. Aggravated damages may be awarded in circumstances "where the defendant's conduct has been particularly high-handed or oppressive", in a manner that exacerbates the plaintiff's humiliation and anxiety: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188. Punitive damages are those which are awarded "where the defendant's misconduct is so malicious, oppressive, and high-handed that it offends the court's sense of decency":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Cory J. referred to the following excerpts of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8th ed., (London: Sweet &amp; Maxwell, 1981), in describing factors to be taken into account in assessing damages, paras. 182 and 183:</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Province of the jury. In an action of libel "the assessment of damages does not depend on any legal rule." The amount of damages is "peculiarly the province of the jury," who in assessing them will naturally be governed by all the circumstances of the particular case. They are entitled to take into their consideration the conduct of the plaintiff, his position and standing, the nature of the libel, the mode and extent of publication, the absence or refusal of any retraction or apology, and "the whole conduct of the defendant from the time when the libel was published down to the very moment of their verdict. They may take into consideration the conduct of the defendant before action, after action, and in court at the trial of the action," and also, it is submitted, the conduct of his counsel, who cannot shelter his client by taking responsibility for the conduct of the case. They should allow "for the sad truth that no apology, retraction or withdrawal can ever be guaranteed completely to undo the harm it has done or the hurt it has caused." They should also take into account the evidence led in aggravation or mitigation of the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The conduct of the defendant, his conduct of the case, and his state of mind are thus all matters which the plaintiff may rely on as aggravating the damages. "Moreover, it is very well established that in cases where the damages are at large the jury (or the judge if the award is left to him) can take into account the motives and conduct of the defendant where they aggravate the injury done to the plaintiff. There may be malevolence or spite or the manner of committing the wrong may be such as to injure the plaintiff's proper feelings of dignity and pride. These are matters which the jury can take into account in assessing the appropriate compensation." "In awarding aggravated damages' the natural indignation of the court at the injury inflicted on the plaintiff is a perfectly legitimate motive in making a generous, rather than a more moderate award to provide an adequate solatium. . . that is because the injury to the plaintiff is actually greater, and, as the result of the conduct exciting the indignation, demands a more generous solatium."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With respect to punitive damages, I would add that which the Chief Justice and Justice Abella, writing for the Supreme Court of Canada in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 But to attract punitive damages, the impugned conduct must depart markedly from ordinary standards of decency -- the exceptional case that can be described as malicious, oppressive or high-handed and that offends the court's sense of decency: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196;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36. The misconduct must be of a nature as to take it beyond the usual opprobrium that surrounds breaking a contract. As stated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at para. 36, "punitive damages straddle the frontier between civil law (compensation) and criminal law (punishment)". Criminal law and quasi-criminal regulatory schemes are recognized as the primary vehicles for punishment. It is important that punitive damages be resorted to only in exceptional cases, and with restraint.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discussed below, the plaintiffs proved further torts that, to some extent, have elements which overlap with elements of the tort of defamation. In considering the plaintiff's respective defamation awards, I have considered these awards in conjunction with the awards under the other torts in order to ensure that double-counting does not result.</w:t>
      </w:r>
      <w:r>
        <w:rPr>
          <w:rFonts w:ascii="arial" w:eastAsia="arial" w:hAnsi="arial" w:cs="arial"/>
          <w:sz w:val="20"/>
          <w:lang w:val="en-US" w:eastAsia="en-US" w:bidi="ar-SA"/>
        </w:rPr>
        <w:cr/>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General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Excluding awards for punitive and special damages, the Court awards Mrs. Strutt and BCRPA $100,000 and $50,000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reviewing the various factors supporting the awards, the Court has considered, in particular, the fact that each plaintiff enjoyed a very favourable reputation in the community, the seriousness of the statements, Mr. Zakharia's malevolence, the absence of any apology, and Mr. Zakharia's persistent conduct including his continued insistence at trial of impropriety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noted, Mr. Zakharia chose not to testify as part of his defence. Despite Mr. Zakharia's protestations that he was unrepresented, anxious and "afraid of a hostile cross-examination", the Court finds that Mr. Zakharia simply did not wish to be confronted under oath as to his statements and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stings of the attacks were directed more towards Mrs. Strutt than BCRPA. As noted, Mr. Zakharia wished Mrs. Strutt to be removed as BCRPA's chief executive officer. Mrs. Strutt also suffered mental distress. At trial, he accused Mrs. Strutt of perjury. For these reasons, Mrs. Strutt's award is greater than that of BCRPA.</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also sought $25,000 in punitive damages. This case is one of those few exceptional cases where punitive damages should be awarded. Mr. Zakharia's actions were so "malicious, oppressive and high-handed that [they] offend the court's sense of decency"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at para. 62). The Court must make it clear that the internet cannot be used to defame the persons in the manner that Mr. Zakharia has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Court will award as punitive damages to Mrs. Strutt and the BCRPA $15,000 and $10,000 respectively. The Court awards the higher amount to Mrs. Strutt because the Court's sense of decency is more offended because Mr. Zakharia's internet attacks went to her innateness and sense of self.</w:t>
      </w:r>
      <w:r>
        <w:rPr>
          <w:rFonts w:ascii="arial" w:eastAsia="arial" w:hAnsi="arial" w:cs="arial"/>
          <w:sz w:val="20"/>
          <w:lang w:val="en-US" w:eastAsia="en-US" w:bidi="ar-SA"/>
        </w:rPr>
        <w:cr/>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regard to special damages, the Court will award BCRPA $33,000. The key evidence as to the quantum of the special damages was provided by Mr. R. Higo, who served as BCRPA's president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Higo testified that BCRPA expended approximately 500 staff hours after the injunction was granted on July 28, 2014 in addressing matters related to Mr. Zakharia's attacks. Ms. E. Li's testimony further supported the fact that many hours were spent addressing matters occasioned by Mr. Zakharia's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Higo stated that the value of the staff time was approximately $33,000. The Court accepts the $33,000 figure as a reasonable estimate of the BCRPA's administrative staff costs incurred.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plaintiffs will also be granted permanent injunction to prohibit any further defamation. In </w:t>
      </w:r>
      <w:r>
        <w:rPr>
          <w:rFonts w:ascii="arial" w:eastAsia="arial" w:hAnsi="arial" w:cs="arial"/>
          <w:i/>
          <w:color w:val="000000"/>
          <w:sz w:val="20"/>
          <w:lang w:val="en-US" w:eastAsia="en-US" w:bidi="ar-SA"/>
        </w:rPr>
        <w:t>Farallon Mining Ltd. v. Arnold</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2011 BCSC 1532</w:t>
        </w:r>
      </w:hyperlink>
      <w:r>
        <w:rPr>
          <w:rFonts w:ascii="arial" w:eastAsia="arial" w:hAnsi="arial" w:cs="arial"/>
          <w:color w:val="000000"/>
          <w:sz w:val="20"/>
          <w:lang w:val="en-US" w:eastAsia="en-US" w:bidi="ar-SA"/>
        </w:rPr>
        <w:t xml:space="preserve"> (at para. 114), Justice Silverman adopted Justice Chapnik's language in </w:t>
      </w:r>
      <w:r>
        <w:rPr>
          <w:rFonts w:ascii="arial" w:eastAsia="arial" w:hAnsi="arial" w:cs="arial"/>
          <w:i/>
          <w:color w:val="000000"/>
          <w:sz w:val="20"/>
          <w:lang w:val="en-US" w:eastAsia="en-US" w:bidi="ar-SA"/>
        </w:rPr>
        <w:t>Astley v. Verdun</w:t>
      </w:r>
      <w:r>
        <w:rPr>
          <w:rFonts w:ascii="arial" w:eastAsia="arial" w:hAnsi="arial" w:cs="arial"/>
          <w:color w:val="000000"/>
          <w:sz w:val="20"/>
          <w:lang w:val="en-US" w:eastAsia="en-US" w:bidi="ar-SA"/>
        </w:rPr>
        <w:t>, 2011 ONSC 3541: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Permanent injunctions have consistently been ordered after findings of defamation where either: (1) there is a likelihood that the defendant will continue to publish defamatory statements despite the finding that he is liable to the plaintiff for defamation; or (2) there is a real possibility that the plaintiff will not receive any compensation, given that enforcement against the defendant of any damage award may not be possible: see </w:t>
      </w:r>
      <w:r>
        <w:rPr>
          <w:rFonts w:ascii="arial" w:eastAsia="arial" w:hAnsi="arial" w:cs="arial"/>
          <w:i/>
          <w:color w:val="000000"/>
          <w:sz w:val="20"/>
          <w:lang w:val="en-US" w:eastAsia="en-US" w:bidi="ar-SA"/>
        </w:rPr>
        <w:t>Hunter Dickinson Inc. v. Butler</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2010 BCSC 939</w:t>
        </w:r>
      </w:hyperlink>
      <w:r>
        <w:rPr>
          <w:rFonts w:ascii="arial" w:eastAsia="arial" w:hAnsi="arial" w:cs="arial"/>
          <w:color w:val="000000"/>
          <w:sz w:val="20"/>
          <w:lang w:val="en-US" w:eastAsia="en-US" w:bidi="ar-SA"/>
        </w:rPr>
        <w:t xml:space="preserve"> at paras. 75-79; </w:t>
      </w:r>
      <w:r>
        <w:rPr>
          <w:rFonts w:ascii="arial" w:eastAsia="arial" w:hAnsi="arial" w:cs="arial"/>
          <w:i/>
          <w:color w:val="000000"/>
          <w:sz w:val="20"/>
          <w:lang w:val="en-US" w:eastAsia="en-US" w:bidi="ar-SA"/>
        </w:rPr>
        <w:t>Griffin v. Sullivan</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2008 BCSC 827</w:t>
        </w:r>
      </w:hyperlink>
      <w:r>
        <w:rPr>
          <w:rFonts w:ascii="arial" w:eastAsia="arial" w:hAnsi="arial" w:cs="arial"/>
          <w:color w:val="000000"/>
          <w:sz w:val="20"/>
          <w:lang w:val="en-US" w:eastAsia="en-US" w:bidi="ar-SA"/>
        </w:rPr>
        <w:t xml:space="preserve"> at paras. 119-127; </w:t>
      </w:r>
      <w:r>
        <w:rPr>
          <w:rFonts w:ascii="arial" w:eastAsia="arial" w:hAnsi="arial" w:cs="arial"/>
          <w:i/>
          <w:color w:val="000000"/>
          <w:sz w:val="20"/>
          <w:lang w:val="en-US" w:eastAsia="en-US" w:bidi="ar-SA"/>
        </w:rPr>
        <w:t>Newman v. Halstead</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2006 BCSC 65</w:t>
        </w:r>
      </w:hyperlink>
      <w:r>
        <w:rPr>
          <w:rFonts w:ascii="arial" w:eastAsia="arial" w:hAnsi="arial" w:cs="arial"/>
          <w:color w:val="000000"/>
          <w:sz w:val="20"/>
          <w:lang w:val="en-US" w:eastAsia="en-US" w:bidi="ar-SA"/>
        </w:rPr>
        <w:t xml:space="preserve"> at paras. 297-301; </w:t>
      </w:r>
      <w:r>
        <w:rPr>
          <w:rFonts w:ascii="arial" w:eastAsia="arial" w:hAnsi="arial" w:cs="arial"/>
          <w:i/>
          <w:color w:val="000000"/>
          <w:sz w:val="20"/>
          <w:lang w:val="en-US" w:eastAsia="en-US" w:bidi="ar-SA"/>
        </w:rPr>
        <w:t>Cragg v. Stephens</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2010 BCSC 1177</w:t>
        </w:r>
      </w:hyperlink>
      <w:r>
        <w:rPr>
          <w:rFonts w:ascii="arial" w:eastAsia="arial" w:hAnsi="arial" w:cs="arial"/>
          <w:color w:val="000000"/>
          <w:sz w:val="20"/>
          <w:lang w:val="en-US" w:eastAsia="en-US" w:bidi="ar-SA"/>
        </w:rPr>
        <w:t xml:space="preserve"> at paras. 34-35,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Zakharia's conduct establishes the likelihood that he would, absent a permanent injunction, continue to defame the plaintiffs. There is also the real possibility that the plaintiffs will not realize on their respective awards. Prior to trial, Mr. Zakharia had been granted indigent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PASSING OFF AND TRADE-MARK INFRINGEMENT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Common Aspects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described above, BCRPA had goodwill associated with BCFit. Since 2009, BCRPA had used BCFit to identify and promote the annual fitness conferences it organized. The testimony of Mrs. Strutt and Mr. Sheather, in particular, established the recognition and goodwill BCRPA had developed for BCFit within the fitness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BCRPA receives no government funding and operates in a competitive environment. An individual does not need to be registered with the BCRPA in order to provide fitness training courses to the public. The annual fitness conference it hosts, which attracts up to 300 registrants, is funded by registration fees and financial support from third party exhibitors. Accordingly, the goodwill associated with the trade-mark is particularly important to BCRPA.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BCFIT was registered as BCRPA's trade-mark on May 27, 2014 in response to Mr. Zakharia's use of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 On December 3, 2013, BCRPA had previously warned Mr. Zakharia that his use of the trade-mark would be a trade-mark infringement.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Passing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 Society</w:t>
      </w:r>
      <w:r>
        <w:rPr>
          <w:rFonts w:ascii="arial" w:eastAsia="arial" w:hAnsi="arial" w:cs="arial"/>
          <w:color w:val="000000"/>
          <w:sz w:val="20"/>
          <w:lang w:val="en-US" w:eastAsia="en-US" w:bidi="ar-SA"/>
        </w:rPr>
        <w:t xml:space="preserve">, the defendant, in November 2000, obtained from the Canadian Internet Registration Authority (CIRA) two domain names: </w:t>
      </w:r>
      <w:r>
        <w:rPr>
          <w:rFonts w:ascii="arial" w:eastAsia="arial" w:hAnsi="arial" w:cs="arial"/>
          <w:color w:val="000000"/>
          <w:sz w:val="20"/>
          <w:u w:val="single"/>
          <w:lang w:val="en-US" w:eastAsia="en-US" w:bidi="ar-SA"/>
        </w:rPr>
        <w:t>www.lawsocietyofbc.ca</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www.lsbc.ca</w:t>
      </w:r>
      <w:r>
        <w:rPr>
          <w:rFonts w:ascii="arial" w:eastAsia="arial" w:hAnsi="arial" w:cs="arial"/>
          <w:color w:val="000000"/>
          <w:sz w:val="20"/>
          <w:lang w:val="en-US" w:eastAsia="en-US" w:bidi="ar-SA"/>
        </w:rPr>
        <w:t>. The defendant used the domain names to direct persons to adult contest websites.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Since May 1998, the Law Society had operated and maintained websites, </w:t>
      </w:r>
      <w:r>
        <w:rPr>
          <w:rFonts w:ascii="arial" w:eastAsia="arial" w:hAnsi="arial" w:cs="arial"/>
          <w:color w:val="000000"/>
          <w:sz w:val="20"/>
          <w:u w:val="single"/>
          <w:lang w:val="en-US" w:eastAsia="en-US" w:bidi="ar-SA"/>
        </w:rPr>
        <w:t>www.lawsociety.bc.ca</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www.lsbc.org</w:t>
      </w:r>
      <w:r>
        <w:rPr>
          <w:rFonts w:ascii="arial" w:eastAsia="arial" w:hAnsi="arial" w:cs="arial"/>
          <w:color w:val="000000"/>
          <w:sz w:val="20"/>
          <w:lang w:val="en-US" w:eastAsia="en-US" w:bidi="ar-SA"/>
        </w:rPr>
        <w:t>. Based on the tort of passing-off the Law Society was successful in obtaining a permanent injunction to restrain the defendant from using or transferring the domain names it had registered with CIRA.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 Society</w:t>
      </w:r>
      <w:r>
        <w:rPr>
          <w:rFonts w:ascii="arial" w:eastAsia="arial" w:hAnsi="arial" w:cs="arial"/>
          <w:color w:val="000000"/>
          <w:sz w:val="20"/>
          <w:lang w:val="en-US" w:eastAsia="en-US" w:bidi="ar-SA"/>
        </w:rPr>
        <w:t>, Justice Sigurdson summarized the tort of passing-off: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test for passing-off was described in Greystone Capital Management Inc. v. Greystone Properties Ltd. </w:t>
      </w:r>
      <w:hyperlink r:id="rId724" w:history="1">
        <w:r>
          <w:rPr>
            <w:rFonts w:ascii="arial" w:eastAsia="arial" w:hAnsi="arial" w:cs="arial"/>
            <w:i/>
            <w:color w:val="0077CC"/>
            <w:sz w:val="20"/>
            <w:u w:val="single"/>
            <w:shd w:val="clear" w:color="auto" w:fill="FFFFFF"/>
            <w:lang w:val="en-US" w:eastAsia="en-US" w:bidi="ar-SA"/>
          </w:rPr>
          <w:t>(1999), 87 C.P.R. (3d) 43</w:t>
        </w:r>
      </w:hyperlink>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46 B.L.R. (2d) 45</w:t>
        </w:r>
      </w:hyperlink>
      <w:r>
        <w:rPr>
          <w:rFonts w:ascii="arial" w:eastAsia="arial" w:hAnsi="arial" w:cs="arial"/>
          <w:color w:val="000000"/>
          <w:sz w:val="20"/>
          <w:lang w:val="en-US" w:eastAsia="en-US" w:bidi="ar-SA"/>
        </w:rPr>
        <w:t xml:space="preserve"> (S.C.), where Madam Justice Stromberg-Stein referred to an allegation of passing off in the business association or business connection sense (as opposed to leading the public to believe the defendant's product or business was that of the plaintiff). She summarized the leading authority, correctly in my view, this way (at 50-51):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 of passing-off concerns misrepresentations by one party which damage the reputation or goodwill of another party. It is necessary to establish three components to succeed in a passing-off action, either at common law or pursuant to statute. Those components were set out in Ciba-Geigy Canada Ltd. v. Apotex Inc. </w:t>
      </w:r>
      <w:hyperlink r:id="rId725" w:history="1">
        <w:r>
          <w:rPr>
            <w:rFonts w:ascii="arial" w:eastAsia="arial" w:hAnsi="arial" w:cs="arial"/>
            <w:i/>
            <w:color w:val="0077CC"/>
            <w:sz w:val="20"/>
            <w:u w:val="single"/>
            <w:shd w:val="clear" w:color="auto" w:fill="FFFFFF"/>
            <w:lang w:val="en-US" w:eastAsia="en-US" w:bidi="ar-SA"/>
          </w:rPr>
          <w:t>(1992), 44 C.P.R. (3d) 289</w:t>
        </w:r>
      </w:hyperlink>
      <w:r>
        <w:rPr>
          <w:rFonts w:ascii="arial" w:eastAsia="arial" w:hAnsi="arial" w:cs="arial"/>
          <w:color w:val="000000"/>
          <w:sz w:val="20"/>
          <w:lang w:val="en-US" w:eastAsia="en-US" w:bidi="ar-SA"/>
        </w:rPr>
        <w:t xml:space="preserve"> (S.C.C.):</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reputation or goodwill at the relevant time. This includes consideration of whether the plaintiff was recognized by the trade name and whether the trade name was distinctive within the relevant field of activity.</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misrepresentation leading the relevant public to believe there is a business association or connection between the parties. This includes consideration of whether the defendants' use of the trade name is likely to deceive the relevant public. </w:t>
      </w:r>
      <w:r>
        <w:rPr>
          <w:rFonts w:ascii="arial" w:eastAsia="arial" w:hAnsi="arial" w:cs="arial"/>
          <w:color w:val="000000"/>
          <w:sz w:val="20"/>
          <w:u w:val="single"/>
          <w:lang w:val="en-US" w:eastAsia="en-US" w:bidi="ar-SA"/>
        </w:rPr>
        <w:t>Any misrepresentation need not be deliberate and proof of intent is not necessary. Evidence of likelihood of confusion, leading to the possibility of lost business opportunity, is relevant. However, the establishment of actual confusion is not required.</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or potential damage flowing to the plaintiff as a result of any misrepresentation due to loss of control over its reputation is presumed.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w:t>
      </w:r>
      <w:r>
        <w:rPr>
          <w:rFonts w:ascii="arial" w:eastAsia="arial" w:hAnsi="arial" w:cs="arial"/>
          <w:b/>
          <w:i/>
          <w:color w:val="000000"/>
          <w:sz w:val="20"/>
          <w:lang w:val="en-US" w:eastAsia="en-US" w:bidi="ar-SA"/>
        </w:rPr>
        <w:t>British Telecom</w:t>
      </w:r>
      <w:r>
        <w:rPr>
          <w:rFonts w:ascii="arial" w:eastAsia="arial" w:hAnsi="arial" w:cs="arial"/>
          <w:color w:val="000000"/>
          <w:sz w:val="20"/>
          <w:lang w:val="en-US" w:eastAsia="en-US" w:bidi="ar-SA"/>
        </w:rPr>
        <w:t xml:space="preserve">, supra, at 497, it is acknowledged, as it was in </w:t>
      </w:r>
      <w:r>
        <w:rPr>
          <w:rFonts w:ascii="arial" w:eastAsia="arial" w:hAnsi="arial" w:cs="arial"/>
          <w:b/>
          <w:i/>
          <w:color w:val="000000"/>
          <w:sz w:val="20"/>
          <w:lang w:val="en-US" w:eastAsia="en-US" w:bidi="ar-SA"/>
        </w:rPr>
        <w:t>BCAA</w:t>
      </w:r>
      <w:r>
        <w:rPr>
          <w:rFonts w:ascii="arial" w:eastAsia="arial" w:hAnsi="arial" w:cs="arial"/>
          <w:color w:val="000000"/>
          <w:sz w:val="20"/>
          <w:lang w:val="en-US" w:eastAsia="en-US" w:bidi="ar-SA"/>
        </w:rPr>
        <w:t>, supra, that the registration of a domain name may, in appropriate circumstances, amount to a passing off. There, the appellants were dealers in domain names. The Court of Appeal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placing on a register of a distinctive name such as marksandspencer makes a representation to persons who consult the register that the registrant is connected or associated with the name registered and thus the owner of the goodwill in the name. Such persons would not know of One In A Million Ltd. and would believe that they were connected or associated with the owner of the good will in the domain name they had registered. Further, registration of the domain name including the words Marks &amp; Spencer is an erosion of the exclusive goodwill in the name which damages or is likely to damage Marks &amp; Spencer plc.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 find, hardly surprisingly, that the use of the name "lawsocietyofbc" in a domain name, without additional words or qualified by other words, is a representation that the site and the location to which it is directed is associated with the plaintiff. That is a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[Bold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Mr. Zakharia used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 xml:space="preserve"> in order to misrepresent and confuse. The Court finds that the BCRPA has established the tort of passing-off.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Trade-mark Infringement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BCRPA's registered trade-mark is for services namely, "developing, arranging, and conducting educational conferences and programs and providing courses of instruction in the field of fitness, physical activity, recreational activities and maintaining personal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Section 19 of the Trade-marks Act, </w:t>
      </w:r>
      <w:hyperlink r:id="rId713" w:history="1">
        <w:r>
          <w:rPr>
            <w:rFonts w:ascii="arial" w:eastAsia="arial" w:hAnsi="arial" w:cs="arial"/>
            <w:i/>
            <w:color w:val="0077CC"/>
            <w:sz w:val="20"/>
            <w:u w:val="single"/>
            <w:shd w:val="clear" w:color="auto" w:fill="FFFFFF"/>
            <w:lang w:val="en-US" w:eastAsia="en-US" w:bidi="ar-SA"/>
          </w:rPr>
          <w:t>R.S.C. 1985, c. T-13</w:t>
        </w:r>
      </w:hyperlink>
      <w:r>
        <w:rPr>
          <w:rFonts w:ascii="arial" w:eastAsia="arial" w:hAnsi="arial" w:cs="arial"/>
          <w:color w:val="000000"/>
          <w:sz w:val="20"/>
          <w:lang w:val="en-US" w:eastAsia="en-US" w:bidi="ar-SA"/>
        </w:rPr>
        <w:t xml:space="preserve"> provides that the owner of a trade-mark has "the exclusive right to use throughout Canada of the trade-mark in respect of those goods or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Despite being warned, including formally warned on June 4, 2014, Mr. Zakharia infringed BCRPA's trade-marks through the BCfit Website he established. Mr. Zakharia knew the importance of the trade-mark to BCRPA having attended BCRPA's annual educational conference and having been warned previously not to use the trade-mark.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Zakharia's purpose was to create confusion about BCFIT by posting or linking negative comments on the BCfit Website he established. Articles he posted on the website had, in large font, BCRPA REVIEW and Suzanne Strutt BCRPA.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Sheppard sought $10,000 as an award for BCRPA for damages as a result of the passing-off and trade-mark infringement. The $10,000 included approximately $2,000 to register the trade-mark. The Court accepts $10,000 is reasonable and, in the Court's view, possibly modest in the circumstances. BCRPA's annual educational conference is a significant undertaking with revenues generated from exhibitors, and registrants. The annual fitness conference also serves as a flagship for BCRPA. $8,000 is a reasonable estimate of the extent to which the value of goodwill of the trade-mark was depreciated by Mr. Zakharia's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 initially thought that the $2,000 trade-mark registration costs should not be included in the damage award because the trade-mark would have likely been registered in the future in any event. Upon reflection, with Mrs. Strutt's testimony in mind as to the reason registration fees (including late fees) were never waived, I am satisfied that BCRPA, like many non-profit organizations, managed its financial affairs frugally. It would not make expenditures unless necessary to do so. There was no necessity until Mr. Zakharia created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 xml:space="preserve"> for his own purposes. If Mr. Zakharia had observed BCRPA's warning in December 2013, the expenditure would have been avoided.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BCRPA will be granted the permanent injunction it seeks with respect to passing off and trade-mark infringement. Mr. Zakharia is also ordered to transfer forthwith the </w:t>
      </w:r>
      <w:r>
        <w:rPr>
          <w:rFonts w:ascii="arial" w:eastAsia="arial" w:hAnsi="arial" w:cs="arial"/>
          <w:color w:val="000000"/>
          <w:sz w:val="20"/>
          <w:u w:val="single"/>
          <w:lang w:val="en-US" w:eastAsia="en-US" w:bidi="ar-SA"/>
        </w:rPr>
        <w:t>www.bc.fit.ca</w:t>
      </w:r>
      <w:r>
        <w:rPr>
          <w:rFonts w:ascii="arial" w:eastAsia="arial" w:hAnsi="arial" w:cs="arial"/>
          <w:color w:val="000000"/>
          <w:sz w:val="20"/>
          <w:lang w:val="en-US" w:eastAsia="en-US" w:bidi="ar-SA"/>
        </w:rPr>
        <w:t xml:space="preserve"> domain name to BCRPA.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INJURIOUS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Raymond E. Brown, </w:t>
      </w:r>
      <w:r>
        <w:rPr>
          <w:rFonts w:ascii="arial" w:eastAsia="arial" w:hAnsi="arial" w:cs="arial"/>
          <w:i/>
          <w:color w:val="000000"/>
          <w:sz w:val="20"/>
          <w:lang w:val="en-US" w:eastAsia="en-US" w:bidi="ar-SA"/>
        </w:rPr>
        <w:t>Brown on Defamation (Canada, United Kingdom, Australia, New Zealand, United States)</w:t>
      </w:r>
      <w:r>
        <w:rPr>
          <w:rFonts w:ascii="arial" w:eastAsia="arial" w:hAnsi="arial" w:cs="arial"/>
          <w:color w:val="000000"/>
          <w:sz w:val="20"/>
          <w:lang w:val="en-US" w:eastAsia="en-US" w:bidi="ar-SA"/>
        </w:rPr>
        <w:t>, 2d ed. (Toronto: Carswell, 1994) vol 9 sets forth the elements of the tort of injurious falsehood (at s. 28.1(1)):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common law action for injurious falsehood. It involves the publication to a third person of a false statement reflecting adversely on a person's business or property, or title to property, calculated to induce persons not to deal with the plaintiff. In order to succeed, the plaintiff must show that the published statement is untrue, that it was made maliciously without just cause or excuse, and that he or she suffered special damages. The property may be either real or personal, corporeal or incorporeal, and the plaintiffs interest may be tangible or intangible, and he or she may have actual possession of the property or future possession by way of reversion or remainder. Malice is not presumed or implied from the publication and consists in an intent, in bad faith, to injure the plaintiff without just cause or excuse. Special damages is considered the gist of the action and consists of some pecuniary loss on the part of the plaintiff. It must be the direct and natural consequence of the injurious falsehood. Truth is a defence and statements issued in or as part of judicial proceedings are protected by an absolute privilege. A person is protected by a qualified privilege where he or she asserts honestly and in good faith an interest in property inconsistent with the person having title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Zakharia injurious falsehoods were made with actual malice. The falsehoods had no basis in fact; some of them continuing to the time of trial. Mr. Zakharia used the BCfit Website despite warning, as a platform for his falsehoods. The false statements reflected adversely on BCRPA's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satisfied that there was pecuniary loss resulting from the injurious falsehoods made by Mr. Zakharia. The loss has been counted under the defamation award, but I wish to recognize the existence of such loss to demonstrate the clear basis for a permanent injunction addressing injurious falsehoods.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BCRPA will be granted the permanent injunction it seeks with respect to injurious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XIII. Breach of THE </w:t>
      </w:r>
      <w:r>
        <w:rPr>
          <w:rFonts w:ascii="arial" w:eastAsia="arial" w:hAnsi="arial" w:cs="arial"/>
          <w:b/>
          <w:i/>
          <w:color w:val="000000"/>
          <w:sz w:val="20"/>
          <w:lang w:val="en-US" w:eastAsia="en-US" w:bidi="ar-SA"/>
        </w:rPr>
        <w:t>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Where a person makes a false or misleading representation to the public, it may be the subject of a private action under sections 36 and 52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For the purposes at bar, the key provisions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read:</w:t>
      </w:r>
      <w:r>
        <w:rPr>
          <w:rFonts w:ascii="arial" w:eastAsia="arial" w:hAnsi="arial" w:cs="arial"/>
          <w:sz w:val="20"/>
          <w:lang w:val="en-US" w:eastAsia="en-US" w:bidi="ar-SA"/>
        </w:rPr>
        <w:cr/>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"business" includes the business of</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manufacturing, producing, transporting, acquiring, supplying, storing and otherwise dealing in articles, and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acquiring, supplying and otherwise dealing in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"product" includes an article and a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"service" means a service of any description whether industrial, trade, professional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Any person who has suffered loss or damage as a result of</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that is contrary to any provision of Part VI [s. 52 is in Part VI]...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in any court of competent jurisdiction, sue for and recover from the person who engaged in the conduct or failed to comply with the order an amount equal to the loss or damage proved to have been suffered by him, together with any additional amount that the court may allow not exceeding the full cost to him of any investigation in connection with the matter and of proceedings under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No person shall, for the purpose of promoting, directly or indirectly, the supply or use of a product or for the purpose of promoting, directly or indirectly, any business interest, by any means whatever, knowingly or recklessly make a representation to the public that is false or misleading in a material respect.</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greater certainty, in establishing that subsection (1) was contravened, it is not necessary to prove that</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was deceived or misled;</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member of the public to whom the representation was made was within Canada; or</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was made in a place to which the public had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Zakharia made false and misleading statements in order to promote his business interest. As noted, he used a false BCRPA certificate in order to register with CanFitPro. As a result, he would obtain a CanFitPro designation and insurance coverage he could use to promote himself as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September 2014, Mr. Zakharia represented himself to Mr. Weltman of Amazing Personal Training as a BCRPA-PT.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noted, at trial, Mr. Zakharia agreed with paragraph 33 of the pleaded facts of the notice of civil claim. For ease of reference, paragraph 33 reads:</w:t>
      </w:r>
      <w:r>
        <w:rPr>
          <w:rFonts w:ascii="arial" w:eastAsia="arial" w:hAnsi="arial" w:cs="arial"/>
          <w:sz w:val="20"/>
          <w:lang w:val="en-US" w:eastAsia="en-US" w:bidi="ar-SA"/>
        </w:rPr>
        <w:cr/>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Zakharia currently operates and maintains a website at www.kitsilanotrainers.com/john- zakharia-in-vancouver/, which includes the following representations: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Hello. My name is John Zakharia from Vancouver. I am certified with the BCRPA as a Certified Weight Training Instructor and a Certified Group Fitness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plaintiffs pleaded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(see paragraph 36 of the Pleaded Facts and paragraph 5 of the Legal Basis). Prior to filing the notice of civil claim, BCRPA incurred costs, such as staff time, investigating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During argument, Ms. Sheppard, counsel for the plaintiffs asked that $10,000 be awarded as investigation costs pre-injunction (July 28, 2014). The evidence of special damages at trial had focused on the staff costs post-injunction. That said, BCRPA would have had staff and other administrative costs pre-injunction, with $10,000 representing an estimate of such costs. The Court will award $3,000 as the costs of investigation pre-injunction. The lower amount than that sought recognizes that the investigation was part of BCRPA's general efforts directed at dealing with Mr. Zakharia's publications and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Mr. Zakharia will also be enjoined from breaching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in ways that are same or similar to the ways he has breached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XIV. conspiracy to injure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Court finds that Mr. Zakharia with Jane Doe was part of a conspiracy to injure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Ms. Sheppard describes in her closing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tort of conspiracy to injure is committed where the defendants agree to effect conduct with the predominant purpose of causing injury to the plaintiff, and the defendants know in the circumstances that injury to the plaintiff is likely to and does result from that act: C</w:t>
      </w:r>
      <w:r>
        <w:rPr>
          <w:rFonts w:ascii="arial" w:eastAsia="arial" w:hAnsi="arial" w:cs="arial"/>
          <w:i/>
          <w:color w:val="000000"/>
          <w:sz w:val="20"/>
          <w:lang w:val="en-US" w:eastAsia="en-US" w:bidi="ar-SA"/>
        </w:rPr>
        <w:t>anada Cement LaFarage Ltd. v. British Columbia Lightweight Aggregate Ltd</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at 471-472.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two YouTube videos by Mr. Zakharia and Jane Doe, posted by Mr. Zakharia, are clear evidence of the conspiracy. The wording of the two videos is too similar to be coincidental. The YouTube videos also show that Mr. Zakharia and Jane Doe intended to harm the plaintiffs and harm would likely result. I am satisfied that harm resulted, such as damage to the plaintiffs' respective reputations.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noted, Mr. Zakharia chose not to testify. In light of the plaintiffs' case, the Court has drawn the inference from his silence that he knows the identity of Jane Doe and did not wish to be confronted as to his involvement in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Zakharia's intent to harm the plaintiffs may further be seen from his June 6, 2014 letter to the BCRPA where he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Your reckless and careless and mean-spirited actions has caused me loss of income, loss of future income, loss of enjoyment of life, all stemming from your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malice. Plus other torts which will be delineated in the approaching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thus request you mail me the amount of 151 247 no later then Friday June 13 2014 or we will present your demonic and diabolic acts to a civil jury at the Law Courts on Hornby.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This amount is subject to change due future legal advice and future assessments from my doctor who will generate a report which will include the distress, anxiety, insomnia, nightmares mental suffering and hopelessness which you caused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over 500 000 people will be made aware of your malice and venomous hate when I exercise my right to free speech which only a mentally deranged and hostile dictator has a problem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June 6, 2014 letter was marked without prejudice. In </w:t>
      </w:r>
      <w:r>
        <w:rPr>
          <w:rFonts w:ascii="arial" w:eastAsia="arial" w:hAnsi="arial" w:cs="arial"/>
          <w:i/>
          <w:color w:val="000000"/>
          <w:sz w:val="20"/>
          <w:lang w:val="en-US" w:eastAsia="en-US" w:bidi="ar-SA"/>
        </w:rPr>
        <w:t>Monument Mining Limited v. Balendran Chong &amp; Bodi</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2012 BCSC 389</w:t>
        </w:r>
      </w:hyperlink>
      <w:r>
        <w:rPr>
          <w:rFonts w:ascii="arial" w:eastAsia="arial" w:hAnsi="arial" w:cs="arial"/>
          <w:color w:val="000000"/>
          <w:sz w:val="20"/>
          <w:lang w:val="en-US" w:eastAsia="en-US" w:bidi="ar-SA"/>
        </w:rPr>
        <w:t>, a letter marked without prejudice contained a threat to the effect that if money was not paid to the defendants, "widespread, harmful and untrue allegations of fraud" directed towards the plaintiff would be forthcoming (at para. 17). Justice Goepel (then sitting on this court) noted at paragraph 21 that "The authorities have long recognized that litigation privilege does not attach to egregious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Zakharia's June 6, 2014 letter has a similar threat: in essence, pay me now or I will cause the past defamatory statements to be published to 500,000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Court adopts the language of Justice Goepel at paragraph 27 of </w:t>
      </w:r>
      <w:r>
        <w:rPr>
          <w:rFonts w:ascii="arial" w:eastAsia="arial" w:hAnsi="arial" w:cs="arial"/>
          <w:i/>
          <w:color w:val="000000"/>
          <w:sz w:val="20"/>
          <w:lang w:val="en-US" w:eastAsia="en-US" w:bidi="ar-SA"/>
        </w:rPr>
        <w:t>Monument Mining</w:t>
      </w:r>
      <w:r>
        <w:rPr>
          <w:rFonts w:ascii="arial" w:eastAsia="arial" w:hAnsi="arial" w:cs="arial"/>
          <w:color w:val="000000"/>
          <w:sz w:val="20"/>
          <w:lang w:val="en-US" w:eastAsia="en-US" w:bidi="ar-SA"/>
        </w:rPr>
        <w:t>: "The threat is of such a character that the public interest in its disclosure outweighs the public interest in protecting settlement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With the damage awards set forth above, a further award would result in duplication. Accordingly, the Court will not make a further award under this tort as against Mr. Zakharia. If Jane Doe's identity becomes known, the plaintiffs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Zakharia and Jane Doe are also enjoined from conspiring to further injure the plaintiffs in the same or similar manner as they have done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Mrs. Strutt is awarded $115,000.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BCRPA is awarded $106,000.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 permanent injunction that accords with these Reasons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Counsel for the plaintiffs asked the Court for the opportunity to make submissions regarding costs, including special costs. I ask that a counsel arrange through Trial Scheduling a 9 a.m. one-hour hearing within 90 days of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also ask that counsel for the plaintiffs submit through Trial Scheduling the Order for the permanent injunction as soon as reasonably possible. If counsel wish to appear before me, counsel may arrange a 9 a.m. one-hour hearing, and, if desirable, on short notice, through Trial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7964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Bucholz v. Bevan, [2017] B.C.J. No. 2652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Scarth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of the plaintiff November 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of the defendant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third party Dr. Class: November 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of the defendants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 Bevan, BMW financial services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(Canada) inc. and BMW canada inc.: December 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M102177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2652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2377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C.P.C. (8th) 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3632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Craig Bucholz, Plaintiff, and Nicholas Donald Bevan, BMW Financial Services (Canada) Inc./ Services Financiers BMW (Canada) Inc., BMW Canada Inc. and Dr. Sabrina Class, Defendants, and Dr. Sabrina Class, Nicholas Donald Bevan, BMW Financial Services (Canada) Inc.,/ Services Financiers BMW (Canada) Inc., and BMW Canada Inc.,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 paras.)</w:t>
      </w:r>
    </w:p>
    <w:p>
      <w:pPr>
        <w:jc w:val="both"/>
        <w:rPr>
          <w:rFonts w:ascii="arial" w:eastAsia="arial" w:hAnsi="arial" w:cs="arial"/>
          <w:sz w:val="20"/>
          <w:lang w:val="en-US" w:eastAsia="en-US" w:bidi="ar-SA"/>
        </w:rPr>
      </w:pPr>
      <w:bookmarkStart w:id="130" w:name="Counsel_35"/>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J.S. 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 Bevan, BMW Financial Services (Canada) Inc. and BMW Canada Inc.: L.J. Mackoff.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S. Class: C.B. Elder.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35"/>
      <w:bookmarkEnd w:id="131"/>
      <w:r>
        <w:pict>
          <v:line id="_x0000_s1152" style="position:absolute;z-index:2517524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MASTER S. SCARTH"/>
            <w:bookmarkEnd w:id="132"/>
            <w:r>
              <w:rPr>
                <w:rFonts w:ascii="arial" w:eastAsia="arial" w:hAnsi="arial" w:cs="arial"/>
                <w:b/>
                <w:color w:val="000000"/>
                <w:sz w:val="30"/>
                <w:lang w:val="en-US" w:eastAsia="en-US" w:bidi="ar-SA"/>
              </w:rPr>
              <w:t>MASTER S. SCARTH</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Mr. Bucholz and the defendant and third party Dr. Class each apply for an order that the trial of this matter be heard by the court without a jury. The applications are governed by Rule 12-6(5)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provides that:</w:t>
      </w:r>
      <w:r>
        <w:rPr>
          <w:rFonts w:ascii="arial" w:eastAsia="arial" w:hAnsi="arial" w:cs="arial"/>
          <w:sz w:val="20"/>
          <w:lang w:val="en-US" w:eastAsia="en-US" w:bidi="ar-SA"/>
        </w:rPr>
        <w:cr/>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on whom a notice under subrule (3) has been served may apply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after service for an order that the trial or part of it be heard by the court without a jury on the ground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that cannot be made conveniently with a jury,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Here the applicants rely on s-ss. 5(a)(i) and (ii). They submit that this case will involve a prolonged examination of documents and a scientific investigation that cannot be conveniently made with a jury. They also submit that the issues here are of an intricate or complex character such that the trial should be heard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Mr. Bevan, BMW Financial Services (Canada) Inc. and BMW Canada Inc. (the "Bevan defendants") oppose the application. They submit that this is not a complex case and is appropriate for trial by judge and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Dealing briefly with the background, Mr. Bucholz has been involved in three motor vehicle accidents, one in 2003, another in 2007 and the one which is the subject of this action in 2009. The 2007 accident was also the subject of an action, the defendant being Mr. Meszaros. The Meszaros action and this action were scheduled to be heard together for trial on March 7, 2016. The Bevan defendants filed a jury notice. The trial date was adjourned. Shortly afterwards, Dr. Class, Mr. Bucholz's family physician, was added as a defendant and third party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of this action is now set for 45 days commencing February 26, 2018. Mr. Bucholz has recently settled his claims against Mr. Meszaros relating to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action, Mr. Bucholz alleges that he suffers from chronic pain, soft-tissue injuries to his left shoulder, neck, back and legs, a head injury, depression and anxiety, insomnia, bowel and bladder difficulties, migraines and a secondary addiction to prescription pain medications. He alleges that his pain and pain-related disability were caused by the motor vehicle accidents and a physical dependence on opioid pain medication which he alleges was improperly prescribed or monitored by Dr. Class, his family physician. The plaintiff first consulted Dr. Class following the 2003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While the Bevan defendants have denied liability for the accident, it is not anticipated that it will be contested at trial. Causation and damages will be contested. The Bevan defendants take the position that the plaintiff's pain-related disability, if any, is due to the 2007 accident or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Class, and not the relatively minor 2009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There is no dispute that the Bevan defendants are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entitled to have this action tried by a jury and that the onus is on the applicants to satisfy the court that it should exercise its discretion in favour of proceeding by judge alone. In </w:t>
      </w:r>
      <w:r>
        <w:rPr>
          <w:rFonts w:ascii="arial" w:eastAsia="arial" w:hAnsi="arial" w:cs="arial"/>
          <w:i/>
          <w:color w:val="000000"/>
          <w:sz w:val="20"/>
          <w:lang w:val="en-US" w:eastAsia="en-US" w:bidi="ar-SA"/>
        </w:rPr>
        <w:t>Rados v. Pannu</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2015 BCSC 453</w:t>
        </w:r>
      </w:hyperlink>
      <w:r>
        <w:rPr>
          <w:rFonts w:ascii="arial" w:eastAsia="arial" w:hAnsi="arial" w:cs="arial"/>
          <w:color w:val="000000"/>
          <w:sz w:val="20"/>
          <w:lang w:val="en-US" w:eastAsia="en-US" w:bidi="ar-SA"/>
        </w:rPr>
        <w:t xml:space="preserve"> (aff'd on appeal </w:t>
      </w:r>
      <w:hyperlink r:id="rId735" w:history="1">
        <w:r>
          <w:rPr>
            <w:rFonts w:ascii="arial" w:eastAsia="arial" w:hAnsi="arial" w:cs="arial"/>
            <w:i/>
            <w:color w:val="0077CC"/>
            <w:sz w:val="20"/>
            <w:u w:val="single"/>
            <w:shd w:val="clear" w:color="auto" w:fill="FFFFFF"/>
            <w:lang w:val="en-US" w:eastAsia="en-US" w:bidi="ar-SA"/>
          </w:rPr>
          <w:t>2015 BCCA 459</w:t>
        </w:r>
      </w:hyperlink>
      <w:r>
        <w:rPr>
          <w:rFonts w:ascii="arial" w:eastAsia="arial" w:hAnsi="arial" w:cs="arial"/>
          <w:color w:val="000000"/>
          <w:sz w:val="20"/>
          <w:lang w:val="en-US" w:eastAsia="en-US" w:bidi="ar-SA"/>
        </w:rPr>
        <w:t>), at para. 38 the Court listed a number of factors that may be taken into account in determining whether that onus has been met:</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anticipated length of the trial;</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experts to be called;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of expert evidence;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character of the expert evidence;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there are conflicts in the expert evidence;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inquiries the trier of fact will be asked to make to resolve those conflicts, including by having regard to scientific literature;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case necessarily involves reference to unfamiliar medical terminology;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issues to be resolved by the jury;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 of those issues;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complexities that may arise as a consequence of the interaction between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Addressing the last three factors first, the parties each provided a summary of the issues that the jury would need to address. The Bevan defendants agree "by and large" with the summary provided by Dr. Class. The summary provided by the plaintiff includes the same issues as those listed by the other parties, but provides additional detail as to the process of resolving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accept that the summary provided by Dr. Class, attached as Schedule A to these reasons, is substantially accurate. The number of issues is significant, arising from two different accidents and the plaintiff's treatment by Dr. Class. The Bevan defendants submit that liability with respect to Dr. Meszaros and the Bevan defendants will not be contested, and that "the jury's task will be complicated only to the extent of determining the applicable standard of care for Dr. Class and whether she breached that standard of care and with respect to the limitation defence." However, these liability issues are themselves difficult and the interaction of liability, causation and apportionment, as more fully set out in the plaintiff's written submissions, is genuinely complex and difficult: </w:t>
      </w:r>
      <w:r>
        <w:rPr>
          <w:rFonts w:ascii="arial" w:eastAsia="arial" w:hAnsi="arial" w:cs="arial"/>
          <w:i/>
          <w:color w:val="000000"/>
          <w:sz w:val="20"/>
          <w:lang w:val="en-US" w:eastAsia="en-US" w:bidi="ar-SA"/>
        </w:rPr>
        <w:t>Sadowick v. Doobay</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[1982] B.C.J. No. 447</w:t>
        </w:r>
      </w:hyperlink>
      <w:r>
        <w:rPr>
          <w:rFonts w:ascii="arial" w:eastAsia="arial" w:hAnsi="arial" w:cs="arial"/>
          <w:color w:val="000000"/>
          <w:sz w:val="20"/>
          <w:lang w:val="en-US" w:eastAsia="en-US" w:bidi="ar-SA"/>
        </w:rPr>
        <w:t xml:space="preserve"> (S.C.),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Addressing the other factors listed in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xml:space="preserve">, the trial is booked for 45 days. While in </w:t>
      </w:r>
      <w:r>
        <w:rPr>
          <w:rFonts w:ascii="arial" w:eastAsia="arial" w:hAnsi="arial" w:cs="arial"/>
          <w:i/>
          <w:color w:val="000000"/>
          <w:sz w:val="20"/>
          <w:lang w:val="en-US" w:eastAsia="en-US" w:bidi="ar-SA"/>
        </w:rPr>
        <w:t>Froese v. Wilson</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2017 BCSC 2042</w:t>
        </w:r>
      </w:hyperlink>
      <w:r>
        <w:rPr>
          <w:rFonts w:ascii="arial" w:eastAsia="arial" w:hAnsi="arial" w:cs="arial"/>
          <w:color w:val="000000"/>
          <w:sz w:val="20"/>
          <w:lang w:val="en-US" w:eastAsia="en-US" w:bidi="ar-SA"/>
        </w:rPr>
        <w:t xml:space="preserve"> at para. 16, Smith J. noted that the trend in the jurisprudence has been towards acceptance of the capacity of a jury to absorb and understand conflicting medical evidence in personal injury cases, the trial in </w:t>
      </w:r>
      <w:r>
        <w:rPr>
          <w:rFonts w:ascii="arial" w:eastAsia="arial" w:hAnsi="arial" w:cs="arial"/>
          <w:i/>
          <w:color w:val="000000"/>
          <w:sz w:val="20"/>
          <w:lang w:val="en-US" w:eastAsia="en-US" w:bidi="ar-SA"/>
        </w:rPr>
        <w:t>Froese</w:t>
      </w:r>
      <w:r>
        <w:rPr>
          <w:rFonts w:ascii="arial" w:eastAsia="arial" w:hAnsi="arial" w:cs="arial"/>
          <w:color w:val="000000"/>
          <w:sz w:val="20"/>
          <w:lang w:val="en-US" w:eastAsia="en-US" w:bidi="ar-SA"/>
        </w:rPr>
        <w:t xml:space="preserve"> was scheduled for 20 days, less than half the length of the trial here. With a 45-day trial, the concerns expressed in </w:t>
      </w:r>
      <w:r>
        <w:rPr>
          <w:rFonts w:ascii="arial" w:eastAsia="arial" w:hAnsi="arial" w:cs="arial"/>
          <w:i/>
          <w:color w:val="000000"/>
          <w:sz w:val="20"/>
          <w:lang w:val="en-US" w:eastAsia="en-US" w:bidi="ar-SA"/>
        </w:rPr>
        <w:t>Wipfli v. Britten</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(1981), 32 B.C.L.R. 343</w:t>
        </w:r>
      </w:hyperlink>
      <w:r>
        <w:rPr>
          <w:rFonts w:ascii="arial" w:eastAsia="arial" w:hAnsi="arial" w:cs="arial"/>
          <w:color w:val="000000"/>
          <w:sz w:val="20"/>
          <w:lang w:val="en-US" w:eastAsia="en-US" w:bidi="ar-SA"/>
        </w:rPr>
        <w:t xml:space="preserve"> at 348-349 (S.C.) - as to the jury's ability to retain its understanding of the evidence presented through a long trial - remain pertinent.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Three of the factors listed in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xml:space="preserve"> relate to expert evidence. At the time of the application, there were 14 expert witnesses and 21 expert reports. More may be served at the 84- and 42-day deadlines. This introduces significant complexity. While some of the reports come from experts in "fields that are commonly at issue in personal injury cases" (</w:t>
      </w:r>
      <w:r>
        <w:rPr>
          <w:rFonts w:ascii="arial" w:eastAsia="arial" w:hAnsi="arial" w:cs="arial"/>
          <w:i/>
          <w:color w:val="000000"/>
          <w:sz w:val="20"/>
          <w:lang w:val="en-US" w:eastAsia="en-US" w:bidi="ar-SA"/>
        </w:rPr>
        <w:t>Froese</w:t>
      </w:r>
      <w:r>
        <w:rPr>
          <w:rFonts w:ascii="arial" w:eastAsia="arial" w:hAnsi="arial" w:cs="arial"/>
          <w:color w:val="000000"/>
          <w:sz w:val="20"/>
          <w:lang w:val="en-US" w:eastAsia="en-US" w:bidi="ar-SA"/>
        </w:rPr>
        <w:t>, para. 17), others address the issue of standard of care of a general practitioner which raises more difficulty. Furthermore, given the period over which Dr. Class treated Mr. Bucholz, the jury will have to consider opinions addressing an evolving standard of care in the controversial area of opioid treatment. More generally, with respect to causation, the reports conflict as to the proximate cause of Mr. Bucholz's condition, the possible contributors being the 2007 accident, the 2009 accident and Mr. Bucholz's opioid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All of this supports the applicants' contention that the 45-day trial involves a scientific investigation that cannot conveniently be made by a jury, and that the issues are complex such that they are not suitable for a trial with a jury. Accordingly, the applications of Dr. Class and Mr. Bucholz are allowed. They are entitled to their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SCARTH</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SUPPLEMENTAL SUBMISSIONS OF DR.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November 21, 2017, following an application to strike the jury notice in this matter, Master Scarth requested further written submissions from counsel relating to the questions the jury would be asked to address. The following is a list of questions Dr. Class submits the trier of fact will be asked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 Dr. Class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Class breach the standard of care at any time between March 2003 and November 2015?</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Dr. Class' breach(es) of the standard of care cause the plaintiff injury?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injuries were caused by Dr. Class' breach of the standard of care?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contributorily negligent in respect to Dr. Class' breach(es) of the standard of care?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to what extent was the plaintiff at fault?</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plaintiff's claim against Dr. Class in respect to any breach(es) of the standard of care barred by the ultimate limitation period or, alternatively,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 2007 MVA</w:t>
      </w:r>
      <w:r>
        <w:rPr>
          <w:rFonts w:ascii="arial" w:eastAsia="arial" w:hAnsi="arial" w:cs="arial"/>
          <w:sz w:val="20"/>
          <w:lang w:val="en-US" w:eastAsia="en-US" w:bidi="ar-SA"/>
        </w:rPr>
        <w:cr/>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Meszaros at fault for the 2007 MVA?</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injured as a result of the 2007 MVA?</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were caused by the 2007 MVA?</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at fault or contributorily negligent in respect to the 2007 MVA?</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to what extent was the plaintiff at fault for the 2007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 2009 MVA</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Bevan at fault for the 2009 MVA?</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injured as a result of the 2009 MVA?</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were caused by the 2009 MVA?</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contributorily negligent in respect to the 2009 MVA?</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to what extent was the plaintiff at fault for the 2009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Damages/Causation</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2007 MVA, did the plaintiff have a pre-existing condition such that the "thin skull" or "crumbling skull" doctrines apply?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injuries caused by Dr. Class' breach(es) of the standard of care, if any, the 2007 MVA, or the 2009 MVA divisible? If so, which injuries arc attributable to which event?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plaintiff's damages, if any, for any divisible injuries?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plaintiff's damages, if any, for any indivisible injuries?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to the plaintiff's indivisible injuries, if any, what is the apportionment of fault, if any, among Dr. Class, Mr. Meszaros, Mr. Bevan, and/or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of which is respectfully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 28 November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HARPER GREY LLP</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 Cameron B. Elder)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Lawyer for Dr. Sabrina Class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7975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Burke v. Watson &amp; Barnard (A Firm), [2015] B.C.J. No. 1042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A.H. Silverman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 and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S139534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1042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870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Colleen Burke, Plaintiff, and Watson &amp; Barnard (A Firm) and Warren Barnard,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jc w:val="both"/>
        <w:rPr>
          <w:rFonts w:ascii="arial" w:eastAsia="arial" w:hAnsi="arial" w:cs="arial"/>
          <w:sz w:val="20"/>
          <w:lang w:val="en-US" w:eastAsia="en-US" w:bidi="ar-SA"/>
        </w:rPr>
      </w:pPr>
      <w:bookmarkStart w:id="133" w:name="Counsel_36"/>
      <w:bookmarkEnd w:id="1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van Ert and H.E. Cochran.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R.D.W. Dalziel, and E.C. Lapper.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36"/>
      <w:bookmarkEnd w:id="134"/>
      <w:r>
        <w:pict>
          <v:line id="_x0000_s1155" style="position:absolute;z-index:2517534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A.H. SILVERMAN J. (orally)"/>
            <w:bookmarkEnd w:id="135"/>
            <w:r>
              <w:rPr>
                <w:rFonts w:ascii="arial" w:eastAsia="arial" w:hAnsi="arial" w:cs="arial"/>
                <w:b/>
                <w:color w:val="000000"/>
                <w:sz w:val="30"/>
                <w:lang w:val="en-US" w:eastAsia="en-US" w:bidi="ar-SA"/>
              </w:rPr>
              <w:t>A.H. SILVERMAN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oral reasons. If a transcript is ordered, I reserve the right to edit, although that process will not involve a change in the decision or in the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applies pursuant to Rule 9-4 to have a point of law arising from the pleadings determined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apply pursuant to Rule 9-5(1)(d) for an order striking out the Notice of Civil Claim and dismissing the plaintiff's claim on the basis that it is an abuse of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Ruling deals with both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application under Rule 9-4 is traditionally dealt with in two stages, which are sometimes bifurcated. That occurred in this case. On April 1, 2015, I ruled on Stage 1, and determined that there was a suitable question of law to be determined in advance of the trial. Those reasons have now been transcribed and they should be read together with this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Ruling addresses the Stage 2 issue; that is, what is the correct determination of the point of law. That determination will certainly frame one of the significant issues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question of law to be determined is that set out in the plaintiff's Notice of Application. It is also set out in the Stage 1 reasons. It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bound by the order of Dickson J. made 14 December 2010 that the boundary between Lot 4 Block "C", District Lot 30, Group 2, New Westminster District, PID 011-908-203 (the Burke property) and Lot 25 Block "C", District Lot 30, Group 2, New Westminster District, PID 001-452-185 (the Keefe property) is as marked by the fence that stood between the properties prior to its removal on February 15,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argues that the correct answer to the point of law must be yes. That is, that the defendants in the current action are bound by Judge Dickson's findings relating to the boundary in question. The plaintiff says this for two reasons:</w:t>
      </w:r>
      <w:r>
        <w:rPr>
          <w:rFonts w:ascii="arial" w:eastAsia="arial" w:hAnsi="arial" w:cs="arial"/>
          <w:sz w:val="20"/>
          <w:lang w:val="en-US" w:eastAsia="en-US" w:bidi="ar-SA"/>
        </w:rPr>
        <w:cr/>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Dickson decision with respect to the boundary is an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decision binding on the whole world, including the defendants in this action.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defendants were privies, that is, the current defendants were privies of the defendants at the previous trial, so that the Dickson findings are binding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argue that the plaintiffs are wrong on both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Both sides provide me with persuasive case law to support their positions. The defendants provide me with authority that, at the risk of over simplification, starts from the proposition that decisions concerning property boundaries are often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but not always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The distinction is drawn by what type of proceeding the decision is dealing with. Where the decision is dispositive of a land issue dispute, that is where the fundamental purpose of the proceeding is to make findings relating to the land, then the decision will be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However, where the purpose of the decision, that is the fundamental purpose, is to decide issues between persons, and there may be an ancillary land issue along the way, that decision will not be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at least not necessarily, but instead will be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defendants argue that this is such a situation. In the previous trial, Judge Dickson made a decision concerning the boundary at stake here, but that case was fundamentally not about the boundary, it was about issues between the parties. The action and the trial and the decision was not framed as a land issue, the defendants argue. It was a trial, rather, for the tort of trespass. The decision fundamentally decided that issue of dispute between the parties. While Judge Dickson had to make a ruling about the boundary along the way in order to decide the trespass issue, that boundary ruling is not dispositive of that issue and therefore it is merely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While I accept that there are cases where the position of the defendants, as argued today, would be correct and the land issue would not be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this is not one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it is true that the previous case was framed in trespass, it was not a trespass of some stranger walking on the plaintiff's property. Rather, the litigants were neighbours who shared a common boundary. The location of that boundary was what was in dispute. There was apparently a fence which captured the disputed area in a way which the defendants at that trial thought was wrongly placed. The plaintiffs objected to the defendants removing it, but they did so in any event in the middle of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trespass consisted of what I have just described. The sole reason for the claim of trespass arose because there was a dispute about the boundary. The adjudication of the trespass issue between the parties flowed inexorably from and solely from the adjudication concerning the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in the current case were not defendants in the Dickson trial. Rather, they provided expert opinion evidence on behalf of those defendants about the location of the boundary. Judge Dickson did not accept their opinion evidence and instead based her decision on the opinion evidence of the plaintiff's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are numerous authorities that assert the general rule that decisions involving ownership of land, where that is fundamentally in issue, are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decisions. I will refer to just a few of them. There are also scholars who assert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Sopinka J.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2009 edition, at p. 1306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traditional view is that in order for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to operate, the party invoking the estoppel and the party against whom it is invoked must both have been parties to the former proceeding.. . . In this regard, judgments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are to be distinguished from judgments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The latter are conclusive against all persons whether parties or strangers. Judgments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are those which affect legal status and include divorce decrees, adjudications of bankruptcy and declarations as to the ownership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order for the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aspect of judgments to apply, it is necessary that the factual findings of the decisions be essential or fundamental from the judgment, and the only place to look for that is in the judgment itself or in the order. That is the proposition of Donald Lange in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3rd edition, at p. 485.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when one looks at the order of Judge Dickson and the judgment of the Court of Appeal decision from Judge Dickson's decision, it is clear that the essential nature related to the boundary itself, and that it was fundamental and indeed paramount to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order after Judge Dickson's trial has a single declaration, and then after that it goes on to a new heading which says, "And this court orders that . . ." After that comes damages for the various things, including trespass. The word "trespass" does not appear as part of the declaration. It first appears under the next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declaration itself has, at the beginning of it, "This court declares that", and that is followed by the judge's Ruling with respect to the boundary, which is in the precise same words as the question of law that is posed by the plaintiff's Notice of Application today. The declaration, in other words, deals with one thing only, the correct location of the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of Appeal affirmed Judge Dickson's Ruling and that decision is at </w:t>
      </w:r>
      <w:hyperlink r:id="rId680" w:history="1">
        <w:r>
          <w:rPr>
            <w:rFonts w:ascii="arial" w:eastAsia="arial" w:hAnsi="arial" w:cs="arial"/>
            <w:i/>
            <w:color w:val="0077CC"/>
            <w:sz w:val="20"/>
            <w:u w:val="single"/>
            <w:shd w:val="clear" w:color="auto" w:fill="FFFFFF"/>
            <w:lang w:val="en-US" w:eastAsia="en-US" w:bidi="ar-SA"/>
          </w:rPr>
          <w:t>[2012] B.C.J. No. 505</w:t>
        </w:r>
      </w:hyperlink>
      <w:r>
        <w:rPr>
          <w:rFonts w:ascii="arial" w:eastAsia="arial" w:hAnsi="arial" w:cs="arial"/>
          <w:color w:val="000000"/>
          <w:sz w:val="20"/>
          <w:lang w:val="en-US" w:eastAsia="en-US" w:bidi="ar-SA"/>
        </w:rPr>
        <w:t>. At para. 59, the land issue, the boundary issue, is referred to as the "fundamental issue". At para. 107, Chief Justice Finch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also say the judge erred in her assessment of the expert evidence. This argument is essentially an attempt by the defendants to have this Court retry the case. The judge made clear findings of credibility and reliability concerning the three experts, and gave reasons for doing so. The defendants have not pointed to any error of law or principle that would allow this Court to interfere with her evaluation of the experts'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not surprising that such decisions are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decisions. As the Court of Appeal has recently observed in the case of </w:t>
      </w:r>
      <w:r>
        <w:rPr>
          <w:rFonts w:ascii="arial" w:eastAsia="arial" w:hAnsi="arial" w:cs="arial"/>
          <w:i/>
          <w:color w:val="000000"/>
          <w:sz w:val="20"/>
          <w:lang w:val="en-US" w:eastAsia="en-US" w:bidi="ar-SA"/>
        </w:rPr>
        <w:t>Hegel v. Ministry of Forests</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2010 BCCA 289</w:t>
        </w:r>
      </w:hyperlink>
      <w:r>
        <w:rPr>
          <w:rFonts w:ascii="arial" w:eastAsia="arial" w:hAnsi="arial" w:cs="arial"/>
          <w:color w:val="000000"/>
          <w:sz w:val="20"/>
          <w:lang w:val="en-US" w:eastAsia="en-US" w:bidi="ar-SA"/>
        </w:rPr>
        <w:t>,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to a land owner perhaps nothing more important than security of title and reliance upon boundaries as established in the 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For all of the foregoing reasons, I am satisfied that the declaration made by Judge Dickson with respect to the boundaries is an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While defence counsel of course disagrees with that conclusion, and that the Judge Dickson declaration is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they do agree that once it has been decided, as it has been, its natural consequence in the ordinary course would be to act 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issue estoppel, thereby preventing the defendants from presenting that same defence at the upcoming trial. That is, of course, accurate and precisely the reason why the plaintiffs have brought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Defence counsel argues, however, that it does not have to be so, because despite the conclusion that I have come to, I have a discretion, defence counsel argues, to exempt the defendant from that consequence on the basis that it would be an injustice and unfair to let it continue to be a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issue estoppel ruling. In that regard, he refers me to a number of cases including </w:t>
      </w:r>
      <w:r>
        <w:rPr>
          <w:rFonts w:ascii="arial" w:eastAsia="arial" w:hAnsi="arial" w:cs="arial"/>
          <w:i/>
          <w:color w:val="000000"/>
          <w:sz w:val="20"/>
          <w:lang w:val="en-US" w:eastAsia="en-US" w:bidi="ar-SA"/>
        </w:rPr>
        <w:t>Apotex v. Merck &amp; Co.</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2002 FCA 210</w:t>
        </w:r>
      </w:hyperlink>
      <w:r>
        <w:rPr>
          <w:rFonts w:ascii="arial" w:eastAsia="arial" w:hAnsi="arial" w:cs="arial"/>
          <w:color w:val="000000"/>
          <w:sz w:val="20"/>
          <w:lang w:val="en-US" w:eastAsia="en-US" w:bidi="ar-SA"/>
        </w:rPr>
        <w:t xml:space="preserve">, where there is an included quotation from the Supreme Court of Canada case in </w:t>
      </w:r>
      <w:r>
        <w:rPr>
          <w:rFonts w:ascii="arial" w:eastAsia="arial" w:hAnsi="arial" w:cs="arial"/>
          <w:i/>
          <w:color w:val="000000"/>
          <w:sz w:val="20"/>
          <w:lang w:val="en-US" w:eastAsia="en-US" w:bidi="ar-SA"/>
        </w:rPr>
        <w:t>Danyluk v. Ainsworth Technologies</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where the following proposition is asserted: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justice will be done between the parties, the Court must as a final and most important factor, stand back and, taking into account the entirety of the circumstances, consider whether application of issue estoppel in the particular case would work an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Also, for that same proposition, I am referred to </w:t>
      </w:r>
      <w:r>
        <w:rPr>
          <w:rFonts w:ascii="arial" w:eastAsia="arial" w:hAnsi="arial" w:cs="arial"/>
          <w:i/>
          <w:color w:val="000000"/>
          <w:sz w:val="20"/>
          <w:lang w:val="en-US" w:eastAsia="en-US" w:bidi="ar-SA"/>
        </w:rPr>
        <w:t>Penner v. Niagara Police,</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2013 SCC 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support of the notion that it would be unfair and unjust to let issue estoppel 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carry the day, I have been presented by an affidavit from one of the defendants, Mr. Barnard, which details a number of factors, including, and I paraphrase: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exclusion from the courtroom at the first trial, presumably because he was a witness;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had received no notice of his potential jeopardy prior to that trial;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had no counsel at that trial, nor any indication that he would need one;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unaware that there may have been a need to consider the wisdom of seeking an additional expert opinion to support his opinion;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had obtained no legal advice whatsoever as to whether or not there should have been additional expert opinions offered supporting his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argues that the Barnard affidavit is not admissible on this application, which is required to be considered on the merits of the pleadings, together with whatever other facts counsel may agree upon. In my view, it is unnecessary to determine whether or not the affidavit is admissible, because I do not accept defence counsel's assertion that I have a discretion to exempt the defendant from the consequences of the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decision on the basis of unfairness or injustice or any other reason. That principle, that I would have such a discretion, would be applicable if we were discussing a previous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judgment, but we are not. An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judgment binds the whole world, and I have no discretion to exclude anybody in the world from the application of that principle, and that would be so even if the Barnard affidavit were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follows from all of the foregoing that the point of law set out in the plaintiff's Notice of Application is answered in the affirmative.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a consequence of the foregoing decision concerning the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nature of the Dickson judgment, it is not necessary to determine the plaintiff's alternative argument; that is, whether the current defendants were, at the Dickson trial, privies of the defendants at that trial. Nevertheless, I consider it prudent to do so. The plaintiff argues that they were privies arising out of Mr. Barnard's status as an expert witness on behalf of the defendants at that trial. They argue that his participation in that trial and his admission during his evidence that he had a "vested interest" in the outcome of that trial supports the notion that the current defendants, including him, were privies. The plaintiffs argue that he had a full opportunity to express and defend his expert opinion before Judge Dickson about the boundary location, and he obviously had notice of the proceeding. Taken together, the plaintiffs argue that those factors are sufficient to establish that he was a privy.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disagree. Having notice that one is a witness, even knowing that your testimony will be in dispute, is not sufficient notice in the circumstances of this case to render the defendants privy or privies on the basis of their involvement in the Dickson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the circumstances of this case, having notice that he was a witness is not the same as having notice that he potentially faced some kind of jeopardy. While there may be situations where being a witness is sufficient to lay the foundation for being a privy, this case is not one of them. In coming to this conclusion, I have considered and relied on the reasoning in several cases which were referred to me, including </w:t>
      </w:r>
      <w:r>
        <w:rPr>
          <w:rFonts w:ascii="arial" w:eastAsia="arial" w:hAnsi="arial" w:cs="arial"/>
          <w:i/>
          <w:color w:val="000000"/>
          <w:sz w:val="20"/>
          <w:lang w:val="en-US" w:eastAsia="en-US" w:bidi="ar-SA"/>
        </w:rPr>
        <w:t>Kent v. Oliver</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2000 BCSC 1154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Solomon v. Smith</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(1987), 45 D.L.R. (4th)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final matter for consideration is the defence application to have the plaintiff's claim dismissed on the basis that it is an abuse of process. The abuse of process, the defence argues, arises from the fact that the plaintiff should have, but did not, join the defendants in this action as defendants in the action before Judge Dickson. At the outset of this application, the defendants conceded that in the event that the defendants were determined to not be privies, this application would be moot. Now that that has occurred, I dismiss this application on the basis that it is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That is the judgment. What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VAN ERT: Costs follow the event, would be my only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COURT: I do not need to hear from you on that, Mr. Dalziel. Mr. van Ert, I am against you on that. In my view, if you are unable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Barnard, he should not have to pay any costs. It will be costs in the cause.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A.H. 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7985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Callan v. Cooke, [2020] B.C.J. No. 331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 S114724, S153859, S195374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331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Callan, Plaintiff, and Donald Cooke and the Attorney General of Canada, Defendants And between Thomas Thiessen, Plaintiff, and Donald Cooke and the Attorney General of Canada, Defendants And between Travis Piers, Plaintiff, and Donald Cooke and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(131 paras.)</w:t>
      </w:r>
    </w:p>
    <w:p>
      <w:pPr>
        <w:jc w:val="both"/>
        <w:rPr>
          <w:rFonts w:ascii="arial" w:eastAsia="arial" w:hAnsi="arial" w:cs="arial"/>
          <w:sz w:val="20"/>
          <w:lang w:val="en-US" w:eastAsia="en-US" w:bidi="ar-SA"/>
        </w:rPr>
      </w:pPr>
      <w:bookmarkStart w:id="136" w:name="Counsel_37"/>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R.W. Mostar, J. Chung, Articling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Cooke: R.S. Anderson Q.C., T.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Canada: T. Bean, L. Bell.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37"/>
      <w:bookmarkEnd w:id="137"/>
      <w:r>
        <w:pict>
          <v:line id="_x0000_s1158" style="position:absolute;z-index:2517544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C.E. HINKSON C.J.S.C."/>
            <w:bookmarkEnd w:id="138"/>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in these actions each allege that in or about the years 1982 to 1985, they were sexually assaulted by the defendant, Donald Cooke.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Cooke denies the allegations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also allege that the defendant Attorney General of Canada is vicariously and statutorily liable for the actions of the defendant Cooke, as he was a member of the Royal Canadian Mounted Police ("RCMP") at the time of the alleged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Attorney General of Canada both denies the allegations with respect to the defendant Cooke, and disputes the allegations of vicarious or statutory liability for the alleged conduct of the defendant Cooke.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Cooke applies for an order dismissing the actions against him by Robert Callan and Thomas Thiessen, two of the plaintiffs, for want of prosecution. He also applied for an order dismissing an action commenced against him by one Graeme Wilson, but adjourned that application, as there is a concern that Mr. Wilson has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apply for orders that the trials of their actions be consolidated, or alternatively tried and heard at the same time, but abandoned their applications to consolidate the three actions, proceeding only with respect to the applications that the three actions be tried and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Cooke contends that if his application is successful, I need not determine the plaintiffs' applications, however I heard the applications together, in order to gain a greater appreciation of the merits of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Attorney General for Canada takes no position on any of the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Cooke graduated from the RCMP Academy in Regina, Saskatchewan on February 15,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From February 1982 to 1986, Mr. Cooke was stationed with the RCMP in Abbotsford, British Columbia, serving as an undercover officer. During that time, he coached minor hockey. It was also during this period that the alleged sexual assaults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were all minors at the time of the alleged assaults. Robert Callan and Travis Piers were players on a hockey team coached by the defendant Cooke whom they allege cultivated a relationship with them for the purpose of promoting and realizing his intention to sexually assault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Thiessen was not involved in hockey. He alleges that he met the defendant Cooke by chance, and that thereafter, the defendant Cooke cultivated a relationship with him and his parents for the purpose of promoting and realizing his intention to sexually assault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Callan alleges that the defendant Cooke sexually assaulted him between the years 1982 and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Thiessen alleges that the defendant Cooke sexually assaulted him between the years 1982 and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Travis Piers alleges that the defendant Cooke sexually assaulted him between the years 1982 and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allege that they were sexually assaulted by the defendant Cooke in his police vehicle and in other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During the 1985/86 hockey year, when the defendant Cooke was the head coach of a Midget AAA team, he removed several players from the team for theft of equipment, including Callan and Piers.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May of 1986, after what he asserts to be almost two years of planning efforts, the defendant Cooke was transferred to the east coast of Canada, for medical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From 2004 to 2009, a police investigation of allegations of sexual misconduct by the defendant Cooke was carried out, although the defendant Cooke was unaware of the investigation until May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May 28, 2005, the defendant Cooke was arrested by the RCMP while at a golf course. During his arrest, he learned of the allegations of sexual assault from 1982 to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Shortly after his arrest, the RCMP suspended the defendant Cooke and provided notice that his pay was to be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his arrest, the defendant Cooke took a lie detector test relating to Mr. Wilson's allegations. The defendant Cooke swore that he passed the lie detector test, and in the result, the RCMP reinstated his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July 29, 2005, a writ of summons and statement of claim was filed on behalf of Mr. Wilson in the British Columbia Supreme Court in Action No. S054259, Vancouver Registry ("the Wilson action"), by Mr. Mostar, who is counsel for the plaintiffs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November 14, 2005, the Attorney General of British Columbia and the Attorney General of Canada filed appearances and statements of defence in the Wilson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June 1, 2006, the defendant Cooke filed an appearance in the Wilson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spring of 2006, the defendant Cooke took another lie detector test relating to the Callan allegations, which he swore that he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September 5, 2006, the defendant Cooke filed his statement of defence in the Wilson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July 27, 2007, Mr. Mostar filed a notice of withdrawal of solicitor in the Wilson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April 2009, the Regional Crown Counsel in New Westminster advised the defendant Cooke's counsel that the police investigation into the sexual assault allegations against the defendant Cooke was over and that no charges would be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July 13, 2011, a notice of civil claim was filed by Mr. Mostar, on behalf of the plaintiff Callan, in the British Columbia Supreme Court in Action No. S114724, Vancouver Registry ("the Callan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October 7, 2011, a response to civil claim was filed by the Attorney General of Canada for and on Behalf of Her Majesty the Queen in Right of Canada in the Callan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January 19, 2012, a response to the notice of civil claim was filed by the defendant Cooke in the Callan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June 1, 2012, a notice of application was filed by the Attorney General of Canada in the Callan action seeking to strike parts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July 10, 2012, a notice of application was filed by the plaintiff Callan seeking the production of documents by the RCMP in 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July 19, 2012, the Attorney General of Canada filed a response to the notice of application for production of the RCMP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October 9, 2012, Master Tokarek granted an order in the Callan action for the production of the Abbotsford Police Department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October 23, 2012, the defendant Cooke filed a notice of appeal from Master Tokarek's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October 29, 2012, Madam Justice Arnold-Bailey granted an order striking out parts of the notice of civil claim in the Callan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 January 31, 2013, Mr. Justice Masuhara released reasons for judgment indexed at </w:t>
      </w:r>
      <w:hyperlink r:id="rId758" w:history="1">
        <w:r>
          <w:rPr>
            <w:rFonts w:ascii="arial" w:eastAsia="arial" w:hAnsi="arial" w:cs="arial"/>
            <w:i/>
            <w:color w:val="0077CC"/>
            <w:sz w:val="20"/>
            <w:u w:val="single"/>
            <w:shd w:val="clear" w:color="auto" w:fill="FFFFFF"/>
            <w:lang w:val="en-US" w:eastAsia="en-US" w:bidi="ar-SA"/>
          </w:rPr>
          <w:t>2013 BCSC 142</w:t>
        </w:r>
      </w:hyperlink>
      <w:r>
        <w:rPr>
          <w:rFonts w:ascii="arial" w:eastAsia="arial" w:hAnsi="arial" w:cs="arial"/>
          <w:color w:val="000000"/>
          <w:sz w:val="20"/>
          <w:lang w:val="en-US" w:eastAsia="en-US" w:bidi="ar-SA"/>
        </w:rPr>
        <w:t>, for the production of the file of the Abbotsford Police Department in the Callan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July 16, 2013, Mr. Mostar wrote to counsel for the defendant Cooke, Mr. Anderson, and to others enclosing a CD-Rom containing the file of the Abbotsford Police Department in the Callan action, with some enclosures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February 20, 2014, Mr. Anderson, counsel for the defendant Cooke, conducted an examination for discovery of the plaintiff Callan.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February 21, 2014, Mr. Mostar conducted an examination for discovery of the defendant Cooke in the Callan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February 27, 2014, Mr. Mostar filed an amended notice of civil claim in the Callan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July 22, 2014, the Attorney General of Canada filed an amended response to civil claim in the Callan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July 22, 2014, the Attorney General of Canada filed a list of documents in the Callan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March 4, 2015, Mr. Mostar wrote to Mr. Anderson and others regarding the scheduling of a trial in the Callan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Admitting no wrongdoing, the defendant Cooke reached a settlement with the RCMP in May 2015, which provided that he would be paid a lump sum and would be eligible for an RCMP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May 11, 2015, Mr. Mostar filed a notice of civil claim in British Columbia Supreme Court in Action No. S153859, Vancouver Registry, between Thomas Thiessen, Donald Cooke and others ("the Thiessen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February 3, 2016, Mr. Mostar filed a notice of application on behalf of Mr. Thiessen for substituted service of the defendant Cooke in 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February 17, 2016, the Attorney General of Canada filed a response to the notice of application for substituted service in the Thiessen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April 19, 2016, Mr. Mostar wrote to Mr. Anderson about joining the Callan and Thiessen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July 28, 2016, the defendant Cooke filed a response to civil claim in the Thiessen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May 14, 2018, Mr. Mostar filed notices of intention to proceed in both the Callan and Thiessen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October 12, 2018, Mr. Anderson wrote to a paralegal at the office of the plaintiffs' counsel advising that he would pursue an application for dismissal of the Callan and Thiessen actions for want of prosecution or alternatively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October 15, 2018, Mr. Mostar wrote to Mr. Anderson regarding the scheduling of a trial, joining the Callan and Thiessen actions explaining his clients' delay in proceeding earlier being due to "challenges Mr. Thiessen has encountered psychologically".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November 28, 2018, Ms. Melody Robens-Paradise, counsel for the Attorney General of Canada, wrote to Mr. Mostar and Mr. Anderson regarding future applications in the Callan and Thiessen actions. She advised that her colleague, Thomas Bean, would assume conduct of the file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November 28, 2018, Mr. Mostar wrote to Mr. Anderson and Mr. Bean regarding the delay and joining the Callan and Thiessen actions, stating that "Mr. Thiessen has been struggling with some issues with cancer over the last many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May 7, 2019, Mr. Mostar filed a notice of civil claim in British Columbia Supreme Court in Action No. S195374 between Travis Piers and the defendant Cooke ("the Piers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notice of civil claim by Mr. Piers has not yet been served on the defendant Cooke.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May 16, 2019, Mr. Mostar wrote to Mr. Anderson and Mr. Bean enclosing a notice of application to join the Callan action, the Thiessen action and the Piers action in the Thiessen action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June 6, 2019, Mr. Mostar filed a requisition adjourning the consolidation application scheduled for June 12,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July 12, 2019, Mr. Mostar, filed a notice of application on behalf of the plaintiff Thiessen to consolidate the Callan, Thiessen, and the Piers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January 13, 2020, Mr. Mostar filed corresponding applications on behalf of the plaintiffs Callan and Piers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Applicable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plaintiffs or the defendant Cooke rely upon the following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The object of these Supreme Court Civil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22-5(8) Proceedings may be consolidated at any time by order of the court or may be ordered to be tried at the same time or on the same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22-7(7) If, 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Rule 22-4(2), and 22-7(1) are also to be considered. They provide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22-4(2) The court may extend or shorten any period of time provided for in these Supreme Court Civil Rules or in an order of the court, even though the application for the extension or the order granting the extension is made after the period of time has expired.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22-7(1) Unless the court otherwise orders, a failure to comply with these Supreme Court Civil Rules must be treated as an irregularity and does not nullify</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step taken in the proceeding,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 or order made in the proceeding.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Timeliness of the Plaintiffs'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Cooke argues that the plaintiffs' applications cannot be heard because they have been brought one year and two days after the notices of intention to proceed were filed. He relies on Rule 22-4(4) in support of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Unless I find for the defendant Cooke on his application, I see nothing to be gained by any party if I accede to that technical objection, dismiss the applications with liberty to the plaintiffs to reapply after further notices of intention to proceed are filed, and have the applications then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will therefore abridge the time for the filing of the plaintiffs' notices of application before me until May 18, 2019, pursuant to Rule 22-4(2), with the result that the technical objection to their applications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If the defendant Cooke succeeds on his application, the plaintiffs' applications need not be resolved, so I will address the defendant Cooke's application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 Cooke's Application to Dismiss Actions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considerations of delay, excuse and prejudice are all important on an application to dismiss a case for want of prosecution, the overriding concern is that justice must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concurring reasons in </w:t>
      </w:r>
      <w:r>
        <w:rPr>
          <w:rFonts w:ascii="arial" w:eastAsia="arial" w:hAnsi="arial" w:cs="arial"/>
          <w:i/>
          <w:color w:val="000000"/>
          <w:sz w:val="20"/>
          <w:lang w:val="en-US" w:eastAsia="en-US" w:bidi="ar-SA"/>
        </w:rPr>
        <w:t>Rhyolite Resources Inc. v. CanQuest Resource Corp.</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xml:space="preserve"> at para. 26, Mr. Justice Lambert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dominant test on an application to dismiss an action for want of prosecution is the overall balancing of the interests of justice as that balancing affects all the parties. The first three tests are simply the conditions precedent to a consideration of the dominant test, though they raise some of the circumstances which constitute an important aspect of the prejudice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tests discussed in the above passage were revisited in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Country West</w:t>
      </w:r>
      <w:r>
        <w:rPr>
          <w:rFonts w:ascii="arial" w:eastAsia="arial" w:hAnsi="arial" w:cs="arial"/>
          <w:color w:val="000000"/>
          <w:sz w:val="20"/>
          <w:lang w:val="en-US" w:eastAsia="en-US" w:bidi="ar-SA"/>
        </w:rPr>
        <w:t>]. In that case, Mr. Justice Low set out the factors to be considered on an application to dismiss a civil claim for want of prosecution at para. 27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now turn to a consideration of each of those factors.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The Length of the Delay in the Prosecution of the Actions against the Defendant Cooke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An inordinate delay is one that is uncontrolled, immoderate or excessive: </w:t>
      </w:r>
      <w:r>
        <w:rPr>
          <w:rFonts w:ascii="arial" w:eastAsia="arial" w:hAnsi="arial" w:cs="arial"/>
          <w:i/>
          <w:color w:val="000000"/>
          <w:sz w:val="20"/>
          <w:lang w:val="en-US" w:eastAsia="en-US" w:bidi="ar-SA"/>
        </w:rPr>
        <w:t>Azeri v. Esmati-Seifabad</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2009 BCCA 133</w:t>
        </w:r>
      </w:hyperlink>
      <w:r>
        <w:rPr>
          <w:rFonts w:ascii="arial" w:eastAsia="arial" w:hAnsi="arial" w:cs="arial"/>
          <w:color w:val="000000"/>
          <w:sz w:val="20"/>
          <w:lang w:val="en-US" w:eastAsia="en-US" w:bidi="ar-SA"/>
        </w:rPr>
        <w:t xml:space="preserve"> at para. 9. Silence or absence of encouragement to proceed from a defendant should not weigh in the plaintiffs' favour: </w:t>
      </w:r>
      <w:r>
        <w:rPr>
          <w:rFonts w:ascii="arial" w:eastAsia="arial" w:hAnsi="arial" w:cs="arial"/>
          <w:i/>
          <w:color w:val="000000"/>
          <w:sz w:val="20"/>
          <w:lang w:val="en-US" w:eastAsia="en-US" w:bidi="ar-SA"/>
        </w:rPr>
        <w:t>Ed Bulley Ventures Ltd. v. The Pantry Hospitality Corporation</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2014 BCCA 52</w:t>
        </w:r>
      </w:hyperlink>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Ed Bulley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delay to be considered is the delay in prosecuting an action from the time that it was commenced: </w:t>
      </w:r>
      <w:r>
        <w:rPr>
          <w:rFonts w:ascii="arial" w:eastAsia="arial" w:hAnsi="arial" w:cs="arial"/>
          <w:i/>
          <w:color w:val="000000"/>
          <w:sz w:val="20"/>
          <w:lang w:val="en-US" w:eastAsia="en-US" w:bidi="ar-SA"/>
        </w:rPr>
        <w:t>Ed Bulley</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Scurfield v. Air Canada</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2017 BCSC 1437</w:t>
        </w:r>
      </w:hyperlink>
      <w:r>
        <w:rPr>
          <w:rFonts w:ascii="arial" w:eastAsia="arial" w:hAnsi="arial" w:cs="arial"/>
          <w:color w:val="000000"/>
          <w:sz w:val="20"/>
          <w:lang w:val="en-US" w:eastAsia="en-US" w:bidi="ar-SA"/>
        </w:rPr>
        <w:t xml:space="preserve">, Madam Justice Hyslop allowed an application for dismissal for want of prosecution where an action had been commenced in 2010 for damages for false imprisonment, arbitrary detention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as a result of a 2008 incident. Hyslop J. found that in the absence of reasons for the delay, as no reasons had been put forward for the delay so as to assess as to whether it was excusable, the delay was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para. 18, Hyslop J. accepted the submissions of the defendants, in part,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of the allegations is also relevant to the consideration of the degree of prejudice that the defendant is considered to suffer by delay. In actions involving serious allegations reflecting on a defendant's character, it is even more important that reliable evidence be conveyed to the court, and the plaintiff has a particular onus to proceed with appropriate expediency and diligence in these cases: </w:t>
      </w:r>
      <w:r>
        <w:rPr>
          <w:rFonts w:ascii="arial" w:eastAsia="arial" w:hAnsi="arial" w:cs="arial"/>
          <w:i/>
          <w:color w:val="000000"/>
          <w:sz w:val="20"/>
          <w:lang w:val="en-US" w:eastAsia="en-US" w:bidi="ar-SA"/>
        </w:rPr>
        <w:t>Lindholm</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Vic Van Isle Construction</w:t>
      </w:r>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Extra Gift Exchange v. Accurate Effective Bailiffs</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2015 BCSC 915</w:t>
        </w:r>
      </w:hyperlink>
      <w:r>
        <w:rPr>
          <w:rFonts w:ascii="arial" w:eastAsia="arial" w:hAnsi="arial" w:cs="arial"/>
          <w:color w:val="000000"/>
          <w:sz w:val="20"/>
          <w:lang w:val="en-US" w:eastAsia="en-US" w:bidi="ar-SA"/>
        </w:rPr>
        <w:t xml:space="preserve"> at para. 42.</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presumption of prejudice</w:t>
      </w:r>
      <w:r>
        <w:rPr>
          <w:rFonts w:ascii="arial" w:eastAsia="arial" w:hAnsi="arial" w:cs="arial"/>
          <w:color w:val="000000"/>
          <w:sz w:val="20"/>
          <w:lang w:val="en-US" w:eastAsia="en-US" w:bidi="ar-SA"/>
        </w:rPr>
        <w:t xml:space="preserve"> will be afforded "much more" weight in a case where the allegations are serious: </w:t>
      </w:r>
      <w:r>
        <w:rPr>
          <w:rFonts w:ascii="arial" w:eastAsia="arial" w:hAnsi="arial" w:cs="arial"/>
          <w:i/>
          <w:color w:val="000000"/>
          <w:sz w:val="20"/>
          <w:lang w:val="en-US" w:eastAsia="en-US" w:bidi="ar-SA"/>
        </w:rPr>
        <w:t>Matheny v. British Columbia Transit Corp.,</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1997 CanLII 4184</w:t>
        </w:r>
      </w:hyperlink>
      <w:r>
        <w:rPr>
          <w:rFonts w:ascii="arial" w:eastAsia="arial" w:hAnsi="arial" w:cs="arial"/>
          <w:color w:val="000000"/>
          <w:sz w:val="20"/>
          <w:lang w:val="en-US" w:eastAsia="en-US" w:bidi="ar-SA"/>
        </w:rPr>
        <w:t xml:space="preserve"> (B.C.S.C.) at para. 41; </w:t>
      </w:r>
      <w:r>
        <w:rPr>
          <w:rFonts w:ascii="arial" w:eastAsia="arial" w:hAnsi="arial" w:cs="arial"/>
          <w:i/>
          <w:color w:val="000000"/>
          <w:sz w:val="20"/>
          <w:lang w:val="en-US" w:eastAsia="en-US" w:bidi="ar-SA"/>
        </w:rPr>
        <w:t>Sampson v. Scaletta</w:t>
      </w:r>
      <w:r>
        <w:rPr>
          <w:rFonts w:ascii="arial" w:eastAsia="arial" w:hAnsi="arial" w:cs="arial"/>
          <w:color w:val="000000"/>
          <w:sz w:val="20"/>
          <w:lang w:val="en-US" w:eastAsia="en-US" w:bidi="ar-SA"/>
        </w:rPr>
        <w:t xml:space="preserve">, Vancouver Registry no. S107065, 11 November 2016 at paras. 42-43. In </w:t>
      </w:r>
      <w:r>
        <w:rPr>
          <w:rFonts w:ascii="arial" w:eastAsia="arial" w:hAnsi="arial" w:cs="arial"/>
          <w:i/>
          <w:color w:val="000000"/>
          <w:sz w:val="20"/>
          <w:lang w:val="en-US" w:eastAsia="en-US" w:bidi="ar-SA"/>
        </w:rPr>
        <w:t>Vic Van Isle Construction</w:t>
      </w:r>
      <w:r>
        <w:rPr>
          <w:rFonts w:ascii="arial" w:eastAsia="arial" w:hAnsi="arial" w:cs="arial"/>
          <w:color w:val="000000"/>
          <w:sz w:val="20"/>
          <w:lang w:val="en-US" w:eastAsia="en-US" w:bidi="ar-SA"/>
        </w:rPr>
        <w:t>, the court stated that in a case where the limitation period has expired and the allegations are serious (in that case, fraud), the presumption "will not be easily displaced" (at para. 27).</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against the Defendants are serious. Among other things, all of the Defendants are accused of assault and false imprisonment. The Applicants are also accused of knowingly or recklessly making untrue statements to police, and the RCMP are accused of false arrest. These allegations clearly impugn the character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assessing delay with respect to Messrs. Callan and Thiessen, the period begins for Mr. Callan on July 13, 2011 when he filed his statement of claim, and for Mr. Thiessen on May 11, 2015, when he filed his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is no question that there has been a clear intention and effort on behalf of the plaintiffs to coordinate their actions. The plaintiff Callan did not proceed with his action as quickly as he might have otherwise done, in order to wait for the plaintiff Thiessen to proceed with his action and Mr. Piers to proceed with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that the delay in this case can fairly be described as both tactical and inordinate. This factor must then be considered in light of the nature of the allegations of the plaintiffs and the other factors listed by Low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Reasons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for the plaintiffs has contended that the three cases should be joined and heard together, since at least April of 2016. He submits the delay is excusable for "the reasonable need to conjoin the presently known claims for purposes of trial, interconnected as they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not persuaded that the plaintiffs could not have sought to adduce each other's evidence as similar fact evidence before all three actions were commenced. They could have been called, and if necessary been subpoenaed, in actions in which they were not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Counsel for the plaintiffs further submits the delay is excusable because of the unique character of civil actions for historical sexual assault. His stated reason for the delay in moving matters forward was the plaintiff Thiessen's own psychological challenges, and later some issues the plaintiff Thiessen was experiencing with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Each of Messrs. Thiessen, Callan and Piers swore affidavits in support of the application for the consolidation of their actions on May 16,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his affidavit, the plaintiff Thiessen swore, in part, that: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 had a great deal of difficulty bringing myself to a decision to finally initiate and permit the filing of the action.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suffer significant psychological stress and anxiety which I assert is a consequence of the assaults committed upon me by the defendant Cooke.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attended counselling and consider myself significantly psychologically impacted by the assaults committed upon me by the defendant Cooke.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service of the proceedings upon the defendant Cooke, I instructed my solicitor to pause on the process of the lawsuit as my psychological state would not permit me to address the issues and I did not feel psychologically strong enough to move forward with court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his affidavit, the plaintiff Callan has sworn, in part, that: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becoming acquainted with Thomas Thiessen, I became aware that he was extremely depressed and exhibited, to my lay observation through conversations, significant depression and anxiety. For significant periods of time he was uncommunicative.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made aware that my counsel thought it prudent and appropriate that when Thomas Thiessen was ready to proceed with his action the court be approached for an order consolidating or otherwise ordering that the actions be heard at the same time given that certain of the facts and circumstances of the assaults were similar.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that Thomas Thiessen was uncommunicative and not prepared to proceed, I allowed my solicitor to simply pause my action pending the readiness of Thomas Thiessen to proceed with his court action, which I now understand he is prepared to do and has so instructed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While the defendant Cooke argued that paras. 13 and 14 of Mr. Callan's affidavit were inadmissible as hearsay, those paragraphs are not relied upon for truth of the statements attributed to Mr. Thiessen, but instead are relied upon for the admissible purpose of the fact that the statements were made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his affidavit, the plaintiff Piers has sworn, in part, that: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my action is just in the process of being commenced, I have been represented by my present counsel for some years. I have struggled with the decision to commence an action, as the psychological stress of relating the narrative of the events surrounding my involvement with the defendant Cooke has made it difficult to talk about them and to become involved in the court process, which I find daunting.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Wawanesa Mutual Insurance Company</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2013 SKQB 443</w:t>
        </w:r>
      </w:hyperlink>
      <w:r>
        <w:rPr>
          <w:rFonts w:ascii="arial" w:eastAsia="arial" w:hAnsi="arial" w:cs="arial"/>
          <w:color w:val="000000"/>
          <w:sz w:val="20"/>
          <w:lang w:val="en-US" w:eastAsia="en-US" w:bidi="ar-SA"/>
        </w:rPr>
        <w:t>, an initial claim was commenced in 1993 and was tried in 1995. The trial judge found in favour of the defendant. As a result of an appeal by the plaintiffs, a new trial was ordered in 2000. In 2013, the defendant insurer applied to strike the plaintiffs' claim for want of prosecution. The Browns attested that because of their depression they were unable to provide the necessary information and instructions to advance their claim until early 2011. Their depression was alleged to be a significant factor in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At para. 40, Ryan-Froslie J.A., sitting as a Queen's Bench Justice </w:t>
      </w:r>
      <w:r>
        <w:rPr>
          <w:rFonts w:ascii="arial" w:eastAsia="arial" w:hAnsi="arial" w:cs="arial"/>
          <w:i/>
          <w:color w:val="000000"/>
          <w:sz w:val="20"/>
          <w:lang w:val="en-US" w:eastAsia="en-US" w:bidi="ar-SA"/>
        </w:rPr>
        <w:t>ex officio</w:t>
      </w:r>
      <w:r>
        <w:rPr>
          <w:rFonts w:ascii="arial" w:eastAsia="arial" w:hAnsi="arial" w:cs="arial"/>
          <w:color w:val="000000"/>
          <w:sz w:val="20"/>
          <w:lang w:val="en-US" w:eastAsia="en-US" w:bidi="ar-SA"/>
        </w:rPr>
        <w:t>, found a portion of delay in that case was inexcusable, but nonetheless held that an illness could constitute a reasonable excuse for a failure to pursue a legal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Gray v. Reeves</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(1992), 64 B.C.L.R. (2d) 275</w:t>
        </w:r>
      </w:hyperlink>
      <w:r>
        <w:rPr>
          <w:rFonts w:ascii="arial" w:eastAsia="arial" w:hAnsi="arial" w:cs="arial"/>
          <w:color w:val="000000"/>
          <w:sz w:val="20"/>
          <w:lang w:val="en-US" w:eastAsia="en-US" w:bidi="ar-SA"/>
        </w:rPr>
        <w:t xml:space="preserve"> at para. 76, Mr. Justice Hall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traditional type of personal injury case, if someone receives a vigorous punch to the nose or is struck by a motor vehicle, they cannot fail to appreciate forthwith that they have suffered a harmful effect from the conduct of a potential defendant. There is usually a quite dramatic cause and effect. Cases of sexual assault such as the instant case are often quite a different matter. Here, the injuries suffered by the plaintiff (as in a great many of these cases) were not recognized and could perhaps not be recognized until long after the actual assaults had occurred. The reasons for this are not difficult to appreciate. Typically, an abused child, by reason of family dynamics will be reluctant to "go public" while remaining an integral member of the family unit. Later, the victim may suffer from depression, behavioural problems or difficulty in forming a stable monogamous relationship but it is (and certainly until the recent past was) often not an easy task for a victim of past sexual abuse to discern any nexus between his or her present problems and the past wrongful conduct of a potential defendant. The simple fact is that limitation statutes were not drawn with the childhood sexual assault victim in mind and as a result they are not in all respects satisfactory. This class of case presents the courts with new factual patterns that must, however, be addressed in the context of the existing legislative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D.D.</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[2000] 2 S.C.R. 275</w:t>
        </w:r>
      </w:hyperlink>
      <w:r>
        <w:rPr>
          <w:rFonts w:ascii="arial" w:eastAsia="arial" w:hAnsi="arial" w:cs="arial"/>
          <w:color w:val="000000"/>
          <w:sz w:val="20"/>
          <w:lang w:val="en-US" w:eastAsia="en-US" w:bidi="ar-SA"/>
        </w:rPr>
        <w:t>, Mr. Justice Major, writing for the majority, considered the effect of the delay in reporting sexual assault by children. At paras. 62 - 63, he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Today and for some time, the rationale in </w:t>
      </w:r>
      <w:r>
        <w:rPr>
          <w:rFonts w:ascii="arial" w:eastAsia="arial" w:hAnsi="arial" w:cs="arial"/>
          <w:i/>
          <w:color w:val="000000"/>
          <w:sz w:val="20"/>
          <w:lang w:val="en-US" w:eastAsia="en-US" w:bidi="ar-SA"/>
        </w:rPr>
        <w:t>Kribs</w:t>
      </w:r>
      <w:r>
        <w:rPr>
          <w:rFonts w:ascii="arial" w:eastAsia="arial" w:hAnsi="arial" w:cs="arial"/>
          <w:color w:val="000000"/>
          <w:sz w:val="20"/>
          <w:lang w:val="en-US" w:eastAsia="en-US" w:bidi="ar-SA"/>
        </w:rPr>
        <w:t xml:space="preserve"> has been repeatedly subjected to criticism, is not followed, and has been overruled. The </w:t>
      </w:r>
      <w:r>
        <w:rPr>
          <w:rFonts w:ascii="arial" w:eastAsia="arial" w:hAnsi="arial" w:cs="arial"/>
          <w:i/>
          <w:color w:val="000000"/>
          <w:sz w:val="20"/>
          <w:lang w:val="en-US" w:eastAsia="en-US" w:bidi="ar-SA"/>
        </w:rPr>
        <w:t>Report of the Federal/Provincial Task Force on Uniform Rules of Evidence</w:t>
      </w:r>
      <w:r>
        <w:rPr>
          <w:rFonts w:ascii="arial" w:eastAsia="arial" w:hAnsi="arial" w:cs="arial"/>
          <w:color w:val="000000"/>
          <w:sz w:val="20"/>
          <w:lang w:val="en-US" w:eastAsia="en-US" w:bidi="ar-SA"/>
        </w:rPr>
        <w:t xml:space="preserve"> (1982), at p. 301, as cited by Sopinka, Lederman and Bryant,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322,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expectations of medieval England as to the reaction of an innocent victim of a sexual attack are no longer relevant. A victim may have a genuine complaint but delay making it because of such legitimate concerns as the prospect of embarrassment and humiliation, or the destruction of domestic or personal relationships. The delay may also be attributable to the youth or lack of knowledge of the complainant or to threats of reprisal from the accused. In contemporary society, there is no longer a logical connection between the genuineness of a complaint and the promptness with which it is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response to this criticism, Parliament chose to abrogate the authority of </w:t>
      </w:r>
      <w:r>
        <w:rPr>
          <w:rFonts w:ascii="arial" w:eastAsia="arial" w:hAnsi="arial" w:cs="arial"/>
          <w:i/>
          <w:color w:val="000000"/>
          <w:sz w:val="20"/>
          <w:lang w:val="en-US" w:eastAsia="en-US" w:bidi="ar-SA"/>
        </w:rPr>
        <w:t>Kribs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Timm</w:t>
      </w:r>
      <w:r>
        <w:rPr>
          <w:rFonts w:ascii="arial" w:eastAsia="arial" w:hAnsi="arial" w:cs="arial"/>
          <w:color w:val="000000"/>
          <w:sz w:val="20"/>
          <w:lang w:val="en-US" w:eastAsia="en-US" w:bidi="ar-SA"/>
        </w:rPr>
        <w:t xml:space="preserve"> by statute (see s. 275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R.S.C., 1985, c. C-46).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Application of the mistake reflected in the early common law now constitutes reversible error. See </w:t>
      </w:r>
      <w:r>
        <w:rPr>
          <w:rFonts w:ascii="arial" w:eastAsia="arial" w:hAnsi="arial" w:cs="arial"/>
          <w:i/>
          <w:color w:val="000000"/>
          <w:sz w:val="20"/>
          <w:lang w:val="en-US" w:eastAsia="en-US" w:bidi="ar-SA"/>
        </w:rPr>
        <w:t>R. v. W. (R.)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122</w:t>
      </w:r>
      <w:r>
        <w:rPr>
          <w:rFonts w:ascii="arial" w:eastAsia="arial" w:hAnsi="arial" w:cs="arial"/>
          <w:color w:val="000000"/>
          <w:sz w:val="20"/>
          <w:lang w:val="en-US" w:eastAsia="en-US" w:bidi="ar-SA"/>
        </w:rPr>
        <w:t>, per McLachlin J. (as she then was) at p. 136: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Finally, the Court of Appeal relied on the fact that neither of the older children was "aware or concerned that anything untoward occurred which is really the best test of the quality of the acts." This reference reveals reliance on the stereotypical but suspect view that the victims of sexual aggression are likely to report the acts, a stereotype which found expression in the now discounted doctrine of recent complaint. In fact, the literature suggests the converse may be true; victims of abuse often in fact do not disclose it, and if they do, it may not be until a substantial length of time has passed.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significance of the complainant's failure to make a timely complaint must not be the subject of any presumptive adverse inference based upon now rejected stereotypical assumptions of how persons (particularly children) react to acts of sexual abuse: </w:t>
      </w:r>
      <w:r>
        <w:rPr>
          <w:rFonts w:ascii="arial" w:eastAsia="arial" w:hAnsi="arial" w:cs="arial"/>
          <w:i/>
          <w:color w:val="000000"/>
          <w:sz w:val="20"/>
          <w:lang w:val="en-US" w:eastAsia="en-US" w:bidi="ar-SA"/>
        </w:rPr>
        <w:t>R. v. M. (P.S.)</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(1992), 77 C.C.C. (3d) 402</w:t>
        </w:r>
      </w:hyperlink>
      <w:r>
        <w:rPr>
          <w:rFonts w:ascii="arial" w:eastAsia="arial" w:hAnsi="arial" w:cs="arial"/>
          <w:color w:val="000000"/>
          <w:sz w:val="20"/>
          <w:lang w:val="en-US" w:eastAsia="en-US" w:bidi="ar-SA"/>
        </w:rPr>
        <w:t xml:space="preserve"> (Ont. C.A.), at pp. 408-9; </w:t>
      </w:r>
      <w:r>
        <w:rPr>
          <w:rFonts w:ascii="arial" w:eastAsia="arial" w:hAnsi="arial" w:cs="arial"/>
          <w:i/>
          <w:color w:val="000000"/>
          <w:sz w:val="20"/>
          <w:lang w:val="en-US" w:eastAsia="en-US" w:bidi="ar-SA"/>
        </w:rPr>
        <w:t>R. v. T.E.M</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(1996), 187 A.R. 273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S.A.D. v. E.E.P. Estate</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2003 BCSC 1535</w:t>
        </w:r>
      </w:hyperlink>
      <w:r>
        <w:rPr>
          <w:rFonts w:ascii="arial" w:eastAsia="arial" w:hAnsi="arial" w:cs="arial"/>
          <w:color w:val="000000"/>
          <w:sz w:val="20"/>
          <w:lang w:val="en-US" w:eastAsia="en-US" w:bidi="ar-SA"/>
        </w:rPr>
        <w:t xml:space="preserve"> at para. 22, Madam Justice Boyd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While there was indeed some delay in this matter, the delay between the dates the wrongful conduct was committed and the date the action was commenced against the defendant C.A.H. cannot be taken into account in determining whether there has been an inordinate delay on the part of the plaintiffs in prosecuting their action. In both </w:t>
      </w:r>
      <w:r>
        <w:rPr>
          <w:rFonts w:ascii="arial" w:eastAsia="arial" w:hAnsi="arial" w:cs="arial"/>
          <w:i/>
          <w:color w:val="000000"/>
          <w:sz w:val="20"/>
          <w:lang w:val="en-US" w:eastAsia="en-US" w:bidi="ar-SA"/>
        </w:rPr>
        <w:t>K.E.G. v. G.R</w:t>
      </w:r>
      <w:r>
        <w:rPr>
          <w:rFonts w:ascii="arial" w:eastAsia="arial" w:hAnsi="arial" w:cs="arial"/>
          <w:color w:val="000000"/>
          <w:sz w:val="20"/>
          <w:lang w:val="en-US" w:eastAsia="en-US" w:bidi="ar-SA"/>
        </w:rPr>
        <w:t xml:space="preserve">. (1992) B.C.J. No. 256 and </w:t>
      </w:r>
      <w:r>
        <w:rPr>
          <w:rFonts w:ascii="arial" w:eastAsia="arial" w:hAnsi="arial" w:cs="arial"/>
          <w:i/>
          <w:color w:val="000000"/>
          <w:sz w:val="20"/>
          <w:lang w:val="en-US" w:eastAsia="en-US" w:bidi="ar-SA"/>
        </w:rPr>
        <w:t>M.K. v. M.(H.)</w:t>
      </w:r>
      <w:r>
        <w:rPr>
          <w:rFonts w:ascii="arial" w:eastAsia="arial" w:hAnsi="arial" w:cs="arial"/>
          <w:color w:val="000000"/>
          <w:sz w:val="20"/>
          <w:lang w:val="en-US" w:eastAsia="en-US" w:bidi="ar-SA"/>
        </w:rPr>
        <w:t xml:space="preserve"> (1992) S.C.J. No. 85, the British Columbia Supreme Court and the Supreme Court of Canada recognized that delay on the part of adult survivors of childhood sexual abuse was justifiable. Falling on the heels of those decisions, the British Columbia legislature amended the Limitation Act, R.S.B.C. 1996. Chapter 266, to remove any limitation period for the commencement of civil suits for childhood sexual abuse. That legislation is retrospective in its application (</w:t>
      </w:r>
      <w:r>
        <w:rPr>
          <w:rFonts w:ascii="arial" w:eastAsia="arial" w:hAnsi="arial" w:cs="arial"/>
          <w:i/>
          <w:color w:val="000000"/>
          <w:sz w:val="20"/>
          <w:lang w:val="en-US" w:eastAsia="en-US" w:bidi="ar-SA"/>
        </w:rPr>
        <w:t>J.P. v. Sinclair</w:t>
      </w:r>
      <w:r>
        <w:rPr>
          <w:rFonts w:ascii="arial" w:eastAsia="arial" w:hAnsi="arial" w:cs="arial"/>
          <w:color w:val="000000"/>
          <w:sz w:val="20"/>
          <w:lang w:val="en-US" w:eastAsia="en-US" w:bidi="ar-SA"/>
        </w:rPr>
        <w:t xml:space="preserve"> (1997) B.C.J. No. 1327).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Like the courts in the above authorities, I accept it is daunting for a victim of sexual abuse as a minor, if that is in fact what the plaintiffs are, to pursue a claim against an adult who perpetrated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accept that even once a victim of sexual assault has made a complaint about the assault, he or she cannot be expected to act with the same dispatch that is expected of those making complaints with respect to more commonly experienced traumas.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accept that if the plaintiffs were indeed sexually assaulted as minors, at least a part of the reason for the delay in pursuing their claims is due to the nature of the assaults that they experienced. On the evidence before me, I am unable to determine just how much of the delay can be attributed to the nature of these assaults.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Prejudice to the Defendant Cooke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At para. 45 in </w:t>
      </w:r>
      <w:r>
        <w:rPr>
          <w:rFonts w:ascii="arial" w:eastAsia="arial" w:hAnsi="arial" w:cs="arial"/>
          <w:i/>
          <w:color w:val="000000"/>
          <w:sz w:val="20"/>
          <w:lang w:val="en-US" w:eastAsia="en-US" w:bidi="ar-SA"/>
        </w:rPr>
        <w:t>Country West</w:t>
      </w:r>
      <w:r>
        <w:rPr>
          <w:rFonts w:ascii="arial" w:eastAsia="arial" w:hAnsi="arial" w:cs="arial"/>
          <w:color w:val="000000"/>
          <w:sz w:val="20"/>
          <w:lang w:val="en-US" w:eastAsia="en-US" w:bidi="ar-SA"/>
        </w:rPr>
        <w:t xml:space="preserve">, Low J.A. applied the comments of Mr. Justice Esson in </w:t>
      </w:r>
      <w:r>
        <w:rPr>
          <w:rFonts w:ascii="arial" w:eastAsia="arial" w:hAnsi="arial" w:cs="arial"/>
          <w:i/>
          <w:color w:val="000000"/>
          <w:sz w:val="20"/>
          <w:lang w:val="en-US" w:eastAsia="en-US" w:bidi="ar-SA"/>
        </w:rPr>
        <w:t>Tundra Helicopters et al. v. Allison Gas Turbine et. al.</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at para. 37, in describing the onus of proof for prejudice: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matters not who puts forward the evidence. The question remains whether, on a balance of probabilities, absence of prejudice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Irving v. Irving et al</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[1982] B.C.J. No. 970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the Court of Appeal allowed an appeal from a refusal to dismiss a case for want of prosecution in circumstances where the delay was inexcusable because it was intentional and likely to prejudice the defendants. At para. 11, Mr. Justice Seaton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delay as a means of gaining tactical advantage is not to be compared to a delay forced on the plaintiff by negligent solicitors, impecuniosity, or illness. The delay was intentional, calculated to help the plaintiff and therefore hurt the defendants. None of the questions that arise on an application such as this can be considered in isolation. That which would make a short delay excusable might not be sufficient to make a long delay excusable. Some delays may be so long and the prejudice to the defendant so great that no reason would excuse the delay. The question is whether this delay is excusable in the light of the reason for it and the other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Although I have found that Mr. Callan's delay and, to a lesser extent that of Mr. Thiessen, in pursuing their claims was at least in part tactical, I also found that their delays were in part due to the nature of the assaults that they allege, and the difficulties that the courts have accepted are associated with such experiences. In the result, I find that a strict application of the comments of Seaton J.A. above would be inapt.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will therefore consider the third factor identified by Low J.A. in </w:t>
      </w:r>
      <w:r>
        <w:rPr>
          <w:rFonts w:ascii="arial" w:eastAsia="arial" w:hAnsi="arial" w:cs="arial"/>
          <w:i/>
          <w:color w:val="000000"/>
          <w:sz w:val="20"/>
          <w:lang w:val="en-US" w:eastAsia="en-US" w:bidi="ar-SA"/>
        </w:rPr>
        <w:t>Country West</w:t>
      </w:r>
      <w:r>
        <w:rPr>
          <w:rFonts w:ascii="arial" w:eastAsia="arial" w:hAnsi="arial" w:cs="arial"/>
          <w:color w:val="000000"/>
          <w:sz w:val="20"/>
          <w:lang w:val="en-US" w:eastAsia="en-US" w:bidi="ar-SA"/>
        </w:rPr>
        <w:t xml:space="preserve"> on the basis that the delays in the cases of the plaintiffs Callan and Thiessen were not entirely tactical.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Although the defendant Cooke contended that there was a motivation, which, if true, would demonstrate some animus against him on the part of the plaintiffs Callan and Piers, but not on the part of the plaintiff Thiessen, I am unable to resolve that contention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leads me to the defendant Cooke's contention that the delay in these actions has caused memory to fade and that potential witnesses have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delays in these cases may have created a risk that a fair trial of the issues in the litigation will be difficult, due to the lapses in memories, and the death of at least one potential similar fact witness, but that is a sword that cuts both for and against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evidence before me differs from that in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as discussed by Seaton J.A. at para. 16 where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 case in which the defendant alleges prejudice at large. This defendant has listed the key witnesses, not now available, that would have been available had the action proceeded in a timely fashion. The plaintiff's counsel said that he was instructed to admit some of the facts which the defendant's affidavit said could have been proven at a trial eight or ten years ago. For example, the manager of the bank with whom the defendants dealt could have verified that it was the defendant and the late partner who were authorized to do business on behalf of the company. The bank manager died in 1974. The plaintiff will admit that she had no authority at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plaintiffs argue that at a minimum, they will each give evidence, either as parties or as proposed similar fact witnesses in the other actions if their actions are not tried and heard at the same time. They contend that trying and hearing the three actions at the same time will economize the judicial time required to deal with the three actions, avoid the need for the plaintiffs and the defendant to address the unpleasant details in three separate proceedings, and avoid the potential for inconsistent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 Cooke contends that the evidence of the three plaintiffs cannot be received as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While I have some reservations about the admissibility of the opinions of Drs. Klarreich and Stokl that are relied upon by the defendant Cooke on his application, I accept that the spectre of the plaintiffs' claims against him has had a role in and a significant adverse effect on his emotional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accept that the plaintiffs' allegations have hung over the defendant Cooke, like the sword of Damocles, since he was first made aware of them in 2005 until at least February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am prepared to presume that the delay in the prosecution of their claims by the plaintiffs Callan and Thiessen may cause the defendant Cooke some challenges in defending against their claims. However, in the absence of more specific identification of these challenges, I am unable to afford this factor a great amount of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 Essential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that the defendant Cooke's application must stand or fall mainly on the application of this fourth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Essential justice is an all-encompassing factor that affords the court the latitude to exercise a discretion in a principled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allegations of sexual assault against the defendant Cooke are serious and impugn his character. He contends that not only has the delay in this case been intentional, it has also been tactical, and an attempt by the plaintiffs to adduce similar fact evidence at trial by waiting until other actions against him were commenced or proceeded upon, to the sole advantage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his affidavit sworn December 23, 2019, the defendant Cooke swore, in part, that after he was examined for discovery on February 21, 2014:</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believed that all the civil matters had been abandoned and I felt that space was increasingly being created for me to repair old relationships, build new relations, and move on with my life more generally.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after reading Callan's affidavit of April 24, 2019, that was filed May 16, 2019 and Thiessen's affidavit of April 30, 2019, filed May 16, 2019 did I learn that Mr. Mostar advised Callan and Thiessen to "pause".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 same affidavit, the defendant Cooke swore that he has undergone experimental treatment to help him with the trauma he contends that he has suffered as a result of his arrest and the subsequent civil actions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Life for the defendant Cooke has not been easy since his arrest on May 28, 2005. Dr. Stephen Stokl is a psychiatrist, and he has treated the defendant Cooke for approximately 15 years. Dr. Stokl listed a litany of difficulties that the defendant Cooke has faced since that date, including four sinus surgeries in 2008, 2010, 2012, and 2013 respectively, repair surgery on his right shoulder in 2010, and similar surgery on his left shoulder in 2017. The defendant Cooke also underwent a surgical repair of his right elbow in 2014, and more minor procedures at various times since May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addition to his health difficulties, Dr. Stokl described that the defendant Cooke has experienced the loss of three of his former co-workers, described as his very best and supportive friends, in the last nine years. In his report of December 6, 2019, Dr. Stokl described the defendant Cooke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no longer has friends, is not in any relationship whatsoever, and he has been marginalized by family members and lost any support from them except for two of his oldest siblings, although there are still seven family members still living. None of his family members have really ever supported him for being gay in his sexual orientation. He has lost a significant amount of interest in socializing, as he is afraid of any questions that people might ask or his name being on the Internet for some reason about a sex-related incident causing almost phobic behaviour in his environment. This has intensified his withdrawal and isolation and depression. In the past couple of weeks he knows he has lost weight due to the loss of appetite and the abdominal complaints that he is currently still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unfortunate as all of these difficulties are for the defendant Cooke, few have any causal relationship to the actions he has applied to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If the allegations against the defendant Cooke are dismissed without their determination on their merits, a great injustice may be done to the plaintiffs. As Mr. Justice Esson observed in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must be borne in mind that in all contested law suits there is likely to be sufficient passage of time that memories erode to some extent, records may be lost, witnesses may disappear. It is no light matter to dismiss an action for want of prosecution. As Diplock L.J. said in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at p. 259: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application is not usually made until the period of limitation for the plaintiff's cause of action has expired. It is then a Draconian order and will not be lightly made. It should not in any event be exercised without giving the plaintiff an opportunity to remedy his default, unless the court is satisfied either that the default has been intentional and contumelious, or that the inexcusable delay for which the plaintiff or his lawyers have been responsible has been such as to give rise to a substantial risk that a fair trial of the issues in the litigation will not be possible at the earliest date at which, as a result of the delay, the action would come to trial if it were allowed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Even if I were to dismiss the actions commenced by the plaintiffs Callan and Thiessen, that would not assist the defendant Cooke, as there is no application before me and no basis upon which it is suggested that the plaintiff Piers' action cannot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If the plaintiff Piers were to go to trial in his case, and the evidence of the plaintiffs Callan and Thiessen were found to be admissible in that proceeding as similar fact evidence, the defendant Cooke would still have to face all three plaintiffs Callan, Thiessen, and Piers.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Weighing these factors in an effort to determine essential justice in this case, I find that the fourth factor identified by Low J.A. in </w:t>
      </w:r>
      <w:r>
        <w:rPr>
          <w:rFonts w:ascii="arial" w:eastAsia="arial" w:hAnsi="arial" w:cs="arial"/>
          <w:i/>
          <w:color w:val="000000"/>
          <w:sz w:val="20"/>
          <w:lang w:val="en-US" w:eastAsia="en-US" w:bidi="ar-SA"/>
        </w:rPr>
        <w:t>Country West</w:t>
      </w:r>
      <w:r>
        <w:rPr>
          <w:rFonts w:ascii="arial" w:eastAsia="arial" w:hAnsi="arial" w:cs="arial"/>
          <w:color w:val="000000"/>
          <w:sz w:val="20"/>
          <w:lang w:val="en-US" w:eastAsia="en-US" w:bidi="ar-SA"/>
        </w:rPr>
        <w:t xml:space="preserve"> favours the plaintiffs Callan and Thiessen, and that the defendant Cooke's application must therefore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Applications to Consolidate or Hear Actions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An order under Rule 22-5(8) engages the discretion of the court. The order is discretionary and regard must be given to the administration of justice when considering an application to consolidate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law to be applied in applications under Rule 22-5(8) is well-settled, and ably set out by Master Kirkpatrick in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There are two questions that must be addressed. The first question is: do common claims, disputes and relationships exist between the parties? That determination is made on a review of the pleadings. The second question is: are the actions so interwoven that separate trials at different times before different judges would be undesirable and fraught with problems and expense? This question involves a consideration of factors beyond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factors to consider when making a determination on consolidation or ordering that actions be heard together include whether the consolidation will:</w:t>
      </w:r>
      <w:r>
        <w:rPr>
          <w:rFonts w:ascii="arial" w:eastAsia="arial" w:hAnsi="arial" w:cs="arial"/>
          <w:sz w:val="20"/>
          <w:lang w:val="en-US" w:eastAsia="en-US" w:bidi="ar-SA"/>
        </w:rPr>
        <w:cr/>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saving in pre-trial procedures;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 the number of trial days taken up by the actions heard together;</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avoid serious inconvenience to a party being required to attend a trial in which they only have a marginal interest;</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save the time and witness fees of experts;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dispose of all actions at the same time due to common issues of fact or law;</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avoid a multiplicity of proceedings;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degree of commonality and intertwining of issues outweighs the prejudicial factors raised by the party opposing consolidation;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bearing in mind:</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stages of the actions;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trial will be delayed and prejudice one or some of the parties;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refusal to consolidate risks inconsistent results.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Merritt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Insurance Corporation of British Columbia v. Sam</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(1998), 24 C.P.C. (4th) 338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Liu v. Tsai</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2017 BCSC 221</w:t>
        </w:r>
      </w:hyperlink>
      <w:r>
        <w:rPr>
          <w:rFonts w:ascii="arial" w:eastAsia="arial" w:hAnsi="arial" w:cs="arial"/>
          <w:color w:val="000000"/>
          <w:sz w:val="20"/>
          <w:lang w:val="en-US" w:eastAsia="en-US" w:bidi="ar-SA"/>
        </w:rPr>
        <w:t xml:space="preserv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 Cooke contends that in a case of sexual assault allegations, determination of issues in one action will not necessarily determine the outcome of the other, as each individual allegation of sexual battery and assault is factually separate from every other allegation and the determination of one plaintiff's allegations will have no bearing on the determination of another instance of alleged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R. v. Handy</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2002 SCC 56</w:t>
        </w:r>
      </w:hyperlink>
      <w:r>
        <w:rPr>
          <w:rFonts w:ascii="arial" w:eastAsia="arial" w:hAnsi="arial" w:cs="arial"/>
          <w:color w:val="000000"/>
          <w:sz w:val="20"/>
          <w:lang w:val="en-US" w:eastAsia="en-US" w:bidi="ar-SA"/>
        </w:rPr>
        <w:t>, the defendant Cooke submits that adducing the proposed "similar fact" evidence is an effort to lead general propensity evidence and inadmissible at law. In attempting to obtain an order that all actions be heard at the same time, it is the defendant Cooke's submission that the plaintiffs are, in effect, seeking to avoid the similar fact evidence rule and usurping the function of the trial judge to rule on the admissibility of the evidence in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 Cooke contends that there is no evidence that hearing the actions together will save money and no suggestion that a single expert will speak to the psychological damage of each of the plaintiffs, nor an allegation that each of the plaintiffs or other witnesses that might be called can speak to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his response, counsel for the defendant Cooke made the helpful suggestion, with which counsel for the plaintiffs agreed, that if I were to accede to the plaintiffs' application, rather than ordering the actions to be heard at the same time, I should simply order that they be set for hearing at the same time, leaving it to the trial judge to decide if he or she would hear them together after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to determine whether the evidence of the plaintiffs should be admitted as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I am not in a position at this juncture to determine whether the evidence of the plaintiffs Callan, Thiessen and Piers will be admissible as similar fact evidence, I will adopt the suggestion of counsel for the defendant Cooke and order that the trials in the three actions commenced by these plaintiffs be set for hearing at the same time. I leave it to the trial judge hearing the cases to determine whether they should be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 Cooke's application for the dismissal of the actions of the plaintiffs Callan and Thiessen for want of prosecution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applications of the plaintiffs Callan, Thiessen and Piers are allowed in part. I order that their cases be set for hearing at the same time before the same judge. The hearing judge may choose to conduct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into the admissibility of the evidence of one of these three plaintiffs in one or more of the cases of the other plaintiffs as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7995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Can-West Development Ltd. v. Parmar, [2020] B.C.J. No. 476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Choi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28,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S177387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439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Can-West Development Ltd., Plaintiff, and Devinder Singh Parmar and Anju Parmar,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jc w:val="both"/>
        <w:rPr>
          <w:rFonts w:ascii="arial" w:eastAsia="arial" w:hAnsi="arial" w:cs="arial"/>
          <w:sz w:val="20"/>
          <w:lang w:val="en-US" w:eastAsia="en-US" w:bidi="ar-SA"/>
        </w:rPr>
      </w:pPr>
      <w:bookmarkStart w:id="139" w:name="Counsel_38"/>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for the Defendant by Counterclaim, Jagjiwan Singh Ranauta: W. McLachlan, D. Garand.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Williams, C. Leung.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38"/>
      <w:bookmarkEnd w:id="140"/>
      <w:r>
        <w:pict>
          <v:line id="_x0000_s1161" style="position:absolute;z-index:251755520"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 on Costs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G. CHOI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All parties seek costs of the trial respecting my reasons indexed as </w:t>
      </w:r>
      <w:r>
        <w:rPr>
          <w:rFonts w:ascii="arial" w:eastAsia="arial" w:hAnsi="arial" w:cs="arial"/>
          <w:i/>
          <w:color w:val="000000"/>
          <w:sz w:val="20"/>
          <w:lang w:val="en-US" w:eastAsia="en-US" w:bidi="ar-SA"/>
        </w:rPr>
        <w:t>Can-West Development Ltd. v. Parmar</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2019 BCSC 1573</w:t>
        </w:r>
      </w:hyperlink>
      <w:r>
        <w:rPr>
          <w:rFonts w:ascii="arial" w:eastAsia="arial" w:hAnsi="arial" w:cs="arial"/>
          <w:color w:val="000000"/>
          <w:sz w:val="20"/>
          <w:lang w:val="en-US" w:eastAsia="en-US" w:bidi="ar-SA"/>
        </w:rPr>
        <w:t>. Mr. and Ms. Parmar, the defendants, seek costs at Scale B. Can-West, the plaintiff and defendant by counterclaim, also seeks costs at Scale B. Mr. Ranauta, a defendant by counterclaim, seeks special costs. Both Mr. and Ms. Parmar and Can-West claim they were substantially successful at trial. Mr. Ranauta seeks special costs because the allegations against him personally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actions respected the building of a duplex and infill home at 5475, 5477, and 5479 Wales Street, Vancouver, by Mr. Ranauta's company Can-West for the homeowners Mr. and Ms. Parmar. Can-West sought $351,530 against the defendants for payment of the development. Mr. and Ms. Parmar disagreed with the amount owing under the contract and sought an order in their counterclaim for $217,968 for construction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found that Can-West breached the contract and owed the defendants $137,250 pursuant to the counterclaim. I found that Can-West was also entitled to damages for breach of contract, which resulted in a set-off of $80,718 owing by the defendants to Can-West. At para. 191 of the reasons, I held that the defendants owed Can-West $80,718 plus GST. Can-West argues that because the defendants have to pay pursuant to the judgment, Can-West was substantially successful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Clarification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Before I turn to the issue of which party was substantially successful, I will address the clarification items sought by the parties respecting the reasons for judgment. Mr. and Ms. Parmar seek clarification on the following items:</w:t>
      </w:r>
      <w:r>
        <w:rPr>
          <w:rFonts w:ascii="arial" w:eastAsia="arial" w:hAnsi="arial" w:cs="arial"/>
          <w:sz w:val="20"/>
          <w:lang w:val="en-US" w:eastAsia="en-US" w:bidi="ar-SA"/>
        </w:rPr>
        <w:cr/>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deficiencies award of $137,250 at para. 186 of the reasons should have actually been less, being $135,113;</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figures in paras. 8, 48(e), 65(d), 66, and 187 of the reasons should have included GST because para. 11 states that the total construction cost was $803,250 inclusive of GST;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general requirements, overhead of 5%, and management fees of 10% on the deficiencies awarded, plus GST on these amounts, was to be included in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Can-West seeks to clarify whether pre- and post-judgment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was awarded to it. For the reasons that follow, I agree that all items sought by the parties are granted: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defendants' submission that the total value of the deficiencies is actually $135,113, not $137,250, as set out in the reasons for judgment. I commend the defendants for bringing to the court's attention that their award was less than actually set out in the reasons for judgment.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8, 48(e), 65(d), 66, and 187 of the reasons incorrectly state that the figures were exclusive of GST. These amounts were inclusive of GST. This means that the amount owed by Mr. and Ms. Parmar to Can-West is inclusive of GST. To be clear, however, para. 8(b) is correct, but para. 8(g) is incorrect when it states that the total cost was $803,250 plus GST.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that the general requirements, overhead, management fees, and GST formed part of Mr. Craxton's expert report and that the amount awarded on the deficiencies to Mr. and Ms. Parmar is exclusive of these amounts. I, therefore, agree that the sums in Schedule B of the defendants' notice of application are correct. Schedule B shows that the total award for the defendants' claim is $151,781.90:</w:t>
      </w:r>
    </w:p>
    <w:p>
      <w:pPr>
        <w:spacing w:before="120" w:line="260" w:lineRule="atLeast"/>
        <w:rPr>
          <w:rFonts w:ascii="arial" w:eastAsia="arial" w:hAnsi="arial" w:cs="arial"/>
          <w:sz w:val="20"/>
          <w:lang w:val="en-US" w:eastAsia="en-US" w:bidi="ar-SA"/>
        </w:rPr>
      </w:pPr>
      <w:r>
        <w:pict>
          <v:shape id="_x0000_i1162" type="#_x0000_t75" style="width:371.25pt;height:235.5pt">
            <v:imagedata r:id="rId786" o:title=""/>
          </v:shape>
        </w:pict>
      </w:r>
      <w:r>
        <w:rPr>
          <w:rFonts w:ascii="arial" w:eastAsia="arial" w:hAnsi="arial" w:cs="arial"/>
          <w:sz w:val="20"/>
          <w:lang w:val="en-US" w:eastAsia="en-US" w:bidi="ar-SA"/>
        </w:rPr>
        <w:t xml:space="preserve">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that pre- and post-judgment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is payable on the amounts owing by Mr. and Ms. Parmar to Can-West.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note commendably that none of the opposing parties opposed the clarification items sought by the other except that Can-West argues that the amounts owing by Mr. and Ms. Parmar respecting the deficiencies should be exclusive of GST. This argument is rejected because it was clear that the total construction price was $803,250 including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Which Party Was Substantially Successful</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now turn to the issue of which party was substantially successful. Mr. and Ms. Parmar argue that the determination of success is not so simplistic under the case law as submitted by Can-West. It relies on a variety of cases including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Gichuru v. Purewal</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2019 BCSC 951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 v. 1216393 Ontario Inc.</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2013 BCSC 1036</w:t>
        </w:r>
      </w:hyperlink>
      <w:r>
        <w:rPr>
          <w:rFonts w:ascii="arial" w:eastAsia="arial" w:hAnsi="arial" w:cs="arial"/>
          <w:color w:val="000000"/>
          <w:sz w:val="20"/>
          <w:lang w:val="en-US" w:eastAsia="en-US" w:bidi="ar-SA"/>
        </w:rPr>
        <w:t xml:space="preserve">. Rule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provides, "Subject to subrule (12), costs of a proceeding must be awarded to the successful party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Subrule (12) relates to costs of applications. The principles of costs awards are set out in the authorities cited by the defendants and are not in dispute. The application of these principles to this case is in dispute. The purpose of costs is set out at para. 74 of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The purposes for which costs rules exist must be kept in mind in determining whether appellate intervention is warranted. In addition to indemnifying a successful litigant, those purposes have been described as follows by this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"[D]eterring frivolous actions or defences":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leave ref'd, [1988] 1 S.C.R. ix;</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encourage conduct that reduces the duration and expense of litigation and to discourage conduct that has the opposite effect":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at para. 28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"[E]ncouraging litigants to settle whenever possible, thus freeing up judicial resources for other cases: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 xml:space="preserve"> at para. 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have a winnowing function in the litigation process" by "requir[ing] litigants to make a careful assessment of the strength or lack thereof of their cases at the commencement and throughout the course of the litigation", and by "discourag[ing] the continuance of doubtful cases or defences":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88 B.C.L.R. (4th) 17</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the court set out some of the principles in determining substantial success at paras. 12-15. In determining substantial success, the court need not descend into a meticulous mathematical examination of the matters in dispute: </w:t>
      </w:r>
      <w:r>
        <w:rPr>
          <w:rFonts w:ascii="arial" w:eastAsia="arial" w:hAnsi="arial" w:cs="arial"/>
          <w:i/>
          <w:color w:val="000000"/>
          <w:sz w:val="20"/>
          <w:lang w:val="en-US" w:eastAsia="en-US" w:bidi="ar-SA"/>
        </w:rPr>
        <w:t>Fotheringham v. Fotheringham</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2001 BCSC 1321</w:t>
        </w:r>
      </w:hyperlink>
      <w:r>
        <w:rPr>
          <w:rFonts w:ascii="arial" w:eastAsia="arial" w:hAnsi="arial" w:cs="arial"/>
          <w:color w:val="000000"/>
          <w:sz w:val="20"/>
          <w:lang w:val="en-US" w:eastAsia="en-US" w:bidi="ar-SA"/>
        </w:rPr>
        <w:t xml:space="preserve"> at para. 45; </w:t>
      </w:r>
      <w:r>
        <w:rPr>
          <w:rFonts w:ascii="arial" w:eastAsia="arial" w:hAnsi="arial" w:cs="arial"/>
          <w:i/>
          <w:color w:val="000000"/>
          <w:sz w:val="20"/>
          <w:lang w:val="en-US" w:eastAsia="en-US" w:bidi="ar-SA"/>
        </w:rPr>
        <w:t>Gagne v. Sharpe</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2015 BCSC 154</w:t>
        </w:r>
      </w:hyperlink>
      <w:r>
        <w:rPr>
          <w:rFonts w:ascii="arial" w:eastAsia="arial" w:hAnsi="arial" w:cs="arial"/>
          <w:color w:val="000000"/>
          <w:sz w:val="20"/>
          <w:lang w:val="en-US" w:eastAsia="en-US" w:bidi="ar-SA"/>
        </w:rPr>
        <w:t xml:space="preserve"> at paras. 22 and 34. As stated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13, the court ought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Focus on the matters in dispute, which may or may not include issues mentioned explicitly in the pleadings;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 the weight or importance of these matters to the parties;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Globally determine which party substantially succeeded overall;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one party achieved substantial success, consider whether there are reasons to "otherwise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Fotheringham</w:t>
      </w:r>
      <w:r>
        <w:rPr>
          <w:rFonts w:ascii="arial" w:eastAsia="arial" w:hAnsi="arial" w:cs="arial"/>
          <w:color w:val="000000"/>
          <w:sz w:val="20"/>
          <w:lang w:val="en-US" w:eastAsia="en-US" w:bidi="ar-SA"/>
        </w:rPr>
        <w:t xml:space="preserve"> at paragraph 46; </w:t>
      </w:r>
      <w:r>
        <w:rPr>
          <w:rFonts w:ascii="arial" w:eastAsia="arial" w:hAnsi="arial" w:cs="arial"/>
          <w:i/>
          <w:color w:val="000000"/>
          <w:sz w:val="20"/>
          <w:lang w:val="en-US" w:eastAsia="en-US" w:bidi="ar-SA"/>
        </w:rPr>
        <w:t>Vazzaz v. Vazzaz</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2006 BCSC 1146</w:t>
        </w:r>
      </w:hyperlink>
      <w:r>
        <w:rPr>
          <w:rFonts w:ascii="arial" w:eastAsia="arial" w:hAnsi="arial" w:cs="arial"/>
          <w:color w:val="000000"/>
          <w:sz w:val="20"/>
          <w:lang w:val="en-US" w:eastAsia="en-US" w:bidi="ar-SA"/>
        </w:rPr>
        <w:t xml:space="preserve">, at paragraph 35; </w:t>
      </w:r>
      <w:r>
        <w:rPr>
          <w:rFonts w:ascii="arial" w:eastAsia="arial" w:hAnsi="arial" w:cs="arial"/>
          <w:i/>
          <w:color w:val="000000"/>
          <w:sz w:val="20"/>
          <w:lang w:val="en-US" w:eastAsia="en-US" w:bidi="ar-SA"/>
        </w:rPr>
        <w:t>Gagne</w:t>
      </w:r>
      <w:r>
        <w:rPr>
          <w:rFonts w:ascii="arial" w:eastAsia="arial" w:hAnsi="arial" w:cs="arial"/>
          <w:color w:val="000000"/>
          <w:sz w:val="20"/>
          <w:lang w:val="en-US" w:eastAsia="en-US" w:bidi="ar-SA"/>
        </w:rPr>
        <w:t xml:space="preserve"> at paragraph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are many reasons why a court may deny a substantially successful party their costs. These include misconduct in the course of litigation and the substantially successful party failing on one or more issues that took a discrete amount of time at trial: </w:t>
      </w:r>
      <w:r>
        <w:rPr>
          <w:rFonts w:ascii="arial" w:eastAsia="arial" w:hAnsi="arial" w:cs="arial"/>
          <w:i/>
          <w:color w:val="000000"/>
          <w:sz w:val="20"/>
          <w:lang w:val="en-US" w:eastAsia="en-US" w:bidi="ar-SA"/>
        </w:rPr>
        <w:t>Loft v. Nat</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2014 BCCA 108</w:t>
        </w:r>
      </w:hyperlink>
      <w:r>
        <w:rPr>
          <w:rFonts w:ascii="arial" w:eastAsia="arial" w:hAnsi="arial" w:cs="arial"/>
          <w:color w:val="000000"/>
          <w:sz w:val="20"/>
          <w:lang w:val="en-US" w:eastAsia="en-US" w:bidi="ar-SA"/>
        </w:rPr>
        <w:t xml:space="preserve"> at para. 49. Of course, in any costs application, it is important to keep in mind the purpose of the costs rule, including encouraging conduct that reduces the duration and expense of litigation and discouraging conduct that has the opposite effect: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Gagne</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the reasons that follow, I find that the defendants were substantially successful in this proceeding: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successful on the major issues of high weight or importance, including whether the signed document was the agreement between the parties, and if so, whether it encompassed a duplex or a duplex plus infill home. Another issue of high importance was whether the written contract was amended orally, and if so, to what extent. The defendants were also largely successful on their claim respecting the value and extent of the deficient construction items, particularly in the context of the defendants by counterclaim's positions on those items.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reject the plaintiff's argument that they were the successful party because the defendants must make any payment to them. The plaintiff sought payment of $351,530. The reasons for judgment awarded the plaintiff $80,718. That amount will now change somewhat based on the clarification orders I have made. However, it will not change substantially and will remain far less than the quantum sought by the plaintiff. The plaintiff's argument on substantial success rests on the premise that it is successful if any payment is owed to it. I disagree. No case law was cited in support of this analysis, and I agree with the defendants that this assessment of substantial success is contrary to the principles in the cases cited by the defendants.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 I ought to consider without-prejudice communications respecting settlement that were not formal offers to settle. This argument is without legal foundation, and I will not consider it further.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succeeded in the four applications that were heard, three of which were heard in the first week of trial and the fourth after the trial was concluded. All applications were commenced by Can-West and Mr. Ranauta, and three of them related to the new home warranty program insurance and report. The applications spanned the first week of trial plus half a day after the trial concluded.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successful in excluding all parts of the plaintiff's expert report that they sought to have excluded, rendering little of the report admissible.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greatly exceeded all parties' estimates in their trial briefs, and each called witnesses that were not listed in their trial management conference ("TMC") brief. Can-West and Mr. Ranauta greatly exceeded their estimates in the TMC brief. The plaintiff's brief dated June 19, 2018, estimated five days for a trial, listing only Mr. Ranauta as a witness for five hours in direct examination. At trial, Mr. Ranauta was examined for almost two and a half days in direct alone, and then the plaintiff called four more witnesses that took almost another four days. I am not aware of any circumstances after the TMC that should have caused such an elongation in the plaintiff's case. In making this finding, I have considered the plaintiff's argument that at the time of the TMC, they had not commissioned the ConEcon Report and dismiss that as a reason while the trial was lengthening so substantially. There was little in that report that was not already known to the parties. I also note that some of the plaintiff's witnesses could not speak English. Yet, no interpreter had been arranged. Further trial time was lost as a result.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Can-West and Mr. Ranauta made a number of evidentiary objections, citing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(1893), 6 R. 67 (U.K.H.L.). The court directed that the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actions be communicated in writing by the plaintiff's counsel to the defendants' counsel. The result was a letter dated November 13, 2018, setting out the objections. The defendants then prepared an extensive response with specific references to the evidence, and oral arguments were made. After hearing the defendants' oral argument on the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issue, the plaintiff's objections were rightfully withdrawn. However, by this point, not only was some trial time taken up by this issue, but also much more time would have been taken to prepare such a detailed response by the defendants' counsel. In my view, the objection ought not to have been made in the first place and particularly with such vigour.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accordingly, that much of the elongation of the trial was due to the manner in which Can-West and Mr. Ranauta pursued the litigation. Further, some of the evidence and submissions advanced by the plaintiff and Mr. Ranauta were contradictory and confusing, lengthening the evidence and submissions even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now turn to Mr. Ranauta's claim for special costs, because he was personally added as a defendant by counterclaim and the claims against him were dismissed. The counterclaim sought the following relief:</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against Can-West and/or Mr. Ranauta in favour of the Parmars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wrongful conversion, which includes but not limited to:</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expenses;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expenses to remedy the deficient work;</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delay expenses; and</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wrongful conversion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counterclaim was not amended. Mr. Ranauta argues that it was only in the defendants' closing argument that the claim against him was limited to one of conversion for refusing to provide the keys to the development to Ms. Parmar, resulting in the defendants incurring $871 to change the 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argue that they advised Mr. Ranauta of the claims advanced against him as early as September 13, 2017. In a letter of that date between counsel, they set out their claim against Mr. Ranauta as being one in which he acted outside of his capacity as a director or officer of Can-West when "he intentionally stole the keys to the residence from our clients. In doing so, Mr. Ranauta committed the tort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rely on this letter to argue that the plaintiff and Mr. Ranauta were well aware that the claims against Mr. Ranauta were limited to the lock-changing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hindsight, it is clear that amending the counterclaim to clarify the claims sought against Mr. Ranauta personally would have been preferable. However, for the reasons that follow, I agree with the defendants that Mr. Ranauta is not entitled to special costs or any costs: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None of the defendants' conduct can be characterized as reprehensible, as defined by case law: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2013 BCSC 1352</w:t>
        </w:r>
      </w:hyperlink>
      <w:r>
        <w:rPr>
          <w:rFonts w:ascii="arial" w:eastAsia="arial" w:hAnsi="arial" w:cs="arial"/>
          <w:color w:val="000000"/>
          <w:sz w:val="20"/>
          <w:lang w:val="en-US" w:eastAsia="en-US" w:bidi="ar-SA"/>
        </w:rPr>
        <w:t xml:space="preserve"> at para. 73.</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evidence and submissions advanced on behalf of Mr. Ranauta personally would have been advanced in any case on Can-West's behalf. In </w:t>
      </w:r>
      <w:r>
        <w:rPr>
          <w:rFonts w:ascii="arial" w:eastAsia="arial" w:hAnsi="arial" w:cs="arial"/>
          <w:i/>
          <w:color w:val="000000"/>
          <w:sz w:val="20"/>
          <w:lang w:val="en-US" w:eastAsia="en-US" w:bidi="ar-SA"/>
        </w:rPr>
        <w:t>St. George Transportation Ltd. v. Sawicky and Sawicky</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2004 BCSC 1488</w:t>
        </w:r>
      </w:hyperlink>
      <w:r>
        <w:rPr>
          <w:rFonts w:ascii="arial" w:eastAsia="arial" w:hAnsi="arial" w:cs="arial"/>
          <w:color w:val="000000"/>
          <w:sz w:val="20"/>
          <w:lang w:val="en-US" w:eastAsia="en-US" w:bidi="ar-SA"/>
        </w:rPr>
        <w:t>, the court held at paras. 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Counsel for the plaintiff submits that no additional costs were incurred by the defendants as a result of Mrs. Sawicky being included in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Rule 57(9) provides that costs follow the event unless the Court orders otherwise. In this case, I do not find that Mrs. Sawicky is entitled to her costs. Both defendants were represented by the same counsel, who filed a joint statement of defence. The primary issue on the summary trial application was whether Mr. Sawicky was liable for the transportation of the family's chattels because he had signed the Bill of Lading. There were no separate documents or discoveries undertaken on behalf of Mrs. Sawicky. It is likely that she would have filed an affidavit setting out her knowledge of the relevant circumstances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above comments are equally applicable to the case at bar. Both Can-West and Mr. Ranauta were represented by the same counsel, who filed a joint response to counterclaim. There were no separate documents or discoveries on Mr. Ranauta's behalf. He would have provided the same evidence on Can-West's behalf, a company for which he was the sole director, shareholder, and officer, even if he was not named personally. The same legal issues would have arisen, and the same submissions would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also agree with the defendants that pursuant to </w:t>
      </w:r>
      <w:r>
        <w:rPr>
          <w:rFonts w:ascii="arial" w:eastAsia="arial" w:hAnsi="arial" w:cs="arial"/>
          <w:i/>
          <w:color w:val="000000"/>
          <w:sz w:val="20"/>
          <w:lang w:val="en-US" w:eastAsia="en-US" w:bidi="ar-SA"/>
        </w:rPr>
        <w:t>Stelmaschuk v. The College of Dental Surgeons of British Columbia</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2017 BCSC 806</w:t>
        </w:r>
      </w:hyperlink>
      <w:r>
        <w:rPr>
          <w:rFonts w:ascii="arial" w:eastAsia="arial" w:hAnsi="arial" w:cs="arial"/>
          <w:color w:val="000000"/>
          <w:sz w:val="20"/>
          <w:lang w:val="en-US" w:eastAsia="en-US" w:bidi="ar-SA"/>
        </w:rPr>
        <w:t>, there is no requirement to set out a claim for costs in the notice of application in order to be awarded costs. Accordingly, I dismiss Can-West's application for costs at Scale B and Mr. Ranauta's application for special costs or costs at Scale B. I grant costs to Mr. and Ms. Parmar for the trial and for the four applications plus the costs hearing, all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If the parties cannot agree on the reconciliation of the amounts to be paid from one to the other pursuant to these reasons, they are directed to appear before the Registrar for an inquiry and accounting as to what amounts are due from one party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CHOI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Casa Milanello Developments Ltd. v. D'Angelo, [2018] B.C.J. No. 6872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J.R. Dillon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29, 2018.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12, 2018.</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S074946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[2018] B.C.J. No. 6872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2018 BCSC 2210</w:t>
      </w:r>
    </w:p>
    <w:p>
      <w:pPr>
        <w:spacing w:before="120" w:line="260" w:lineRule="atLeast"/>
        <w:rPr>
          <w:lang w:val="en-US" w:eastAsia="en-US" w:bidi="ar-SA"/>
        </w:rPr>
      </w:pPr>
      <w:r>
        <w:rPr>
          <w:rFonts w:ascii="arial" w:eastAsia="arial" w:hAnsi="arial" w:cs="arial"/>
          <w:color w:val="000000"/>
          <w:sz w:val="20"/>
          <w:lang w:val="en-US" w:eastAsia="en-US" w:bidi="ar-SA"/>
        </w:rPr>
        <w:t>Between Casa Milanello Developments Ltd., Plaintiff, and Franco D'Angelo,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(27 paras.)</w:t>
      </w:r>
    </w:p>
    <w:p>
      <w:pPr>
        <w:jc w:val="both"/>
        <w:rPr>
          <w:lang w:val="en-US" w:eastAsia="en-US" w:bidi="ar-SA"/>
        </w:rPr>
      </w:pPr>
      <w:bookmarkStart w:id="141" w:name="Counsel_39"/>
      <w:bookmarkEnd w:id="14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4" style="position:absolute;z-index:2517053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A.G. Sandilands.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J.C. McKechnie.</w:t>
      </w:r>
      <w:r>
        <w:rPr>
          <w:lang w:val="en-US" w:eastAsia="en-US" w:bidi="ar-SA"/>
        </w:rPr>
        <w:cr/>
      </w:r>
    </w:p>
    <w:p>
      <w:pPr>
        <w:spacing w:after="240"/>
        <w:rPr>
          <w:lang w:val="en-US" w:eastAsia="en-US" w:bidi="ar-SA"/>
        </w:rPr>
      </w:pPr>
      <w:bookmarkStart w:id="142" w:name="Judgment_39"/>
      <w:bookmarkEnd w:id="142"/>
      <w:r>
        <w:pict>
          <v:line id="_x0000_s1165" style="position:absolute;z-index:25175654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43" w:name="J.R. DILLON J."/>
            <w:bookmarkEnd w:id="143"/>
            <w:r>
              <w:rPr>
                <w:rFonts w:ascii="arial" w:eastAsia="arial" w:hAnsi="arial" w:cs="arial"/>
                <w:b/>
                <w:color w:val="000000"/>
                <w:sz w:val="30"/>
                <w:lang w:val="en-US" w:eastAsia="en-US" w:bidi="ar-SA"/>
              </w:rPr>
              <w:t>J.R. DILLON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Franco D'Angelo ("D'Angelo"), has brought an application that the proceeding against the defendant be dismissed for want of prosecution pursuant to Rule 22-7(7)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plaintiff replied that there has not been inordinate delay, that any delay has been excusable, and that the defendant has not been prejudiced.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commenced this action against D'Angelo and other defendants on July 20, 2007. The statement of claim filed on September 18, 2007 alleged, first, that D'Angelo had made negligent misrepresentations about property located at 33816 South Fraser Way, Abbotsford, British Columbia (the "property"), which misrepresentations were relied upon by the plaintiff in the purchase of the property and, second, that D'Angelo was negligent in failing to obtain certain disclosures about the property related to environmental concerns, by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suffered loss and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background to the claim is that the defendant first became interested in purchasing the property in 2002. In about 2003, the defendant's real estate agent, Patricia Brown, gave D'Angelo copies of earlier engineering reports from 1993-1999 regarding possible contamination of the property. The 1999 report stated that "minor groundwater contamination still exists on the site". The defendant did not consider these reports to be significant and made several unsuccessful offers to purchase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September 2005, D'Angelo met with Gino Varnier ("Varnier") and Ezio Bortolussi ("Bortolussi") concerning purchase of the property. The three agreed to enter into a joint venture agreement to purchase and develop the property. As stated by Varnier, D'Angelo was to be a partner in the venture. D'Angelo was to enter into a purchase and sale agreement while a corporation was formed. D'Angelo "or a nominee" was named as the purchaser in a purchase and sale agreement for the property dated September 27, 2005. The closing date for the purchase was extended to December 29, 2005. In the meantime, the plaintiff company was incorporated on December 7, 2005 with D'Angelo, Varnier, and Bortolussi as directors. The plaintiff company completed the sale as D'Angelo's nominee on the original agreement for purchase and sale.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Varnier stated that D'Angelo had told him that the property was "clean" and had never advised that there were engineering reports. This alleged representation was made orally. Varnier stated that he became aware of contamination on the property "some weeks after the purchase closed" when he was advised by officials in the building department with the City of Abbotsford.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made unsuccessful offers to purchase adjacent properties in February 2006. None of the offers contained conditions or warranties related to contamination.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remained the registered owner of the property until February 2018 when it was sold. By September 2017, the plaintiff had settled claims against other original defendants including the original vendor, previous owners of the property and the real estate agents.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Statements of defence had been filed on behalf of all defendants by September 24, 2008, D'Angelo having filed on January 24, 2008. Discoveries were conducted: Vanier on November 30, 2010; D'Angelo on June 21, 2012; and Bortolussi on July 4,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first trial date was set on March 17, 2011 for a 10-day trial to be held starting September 10, 2012. This trial was adjourned by order of July 20, 2012 "on application of the parties". A second trial set for September 15, 2014 for 20 days was found to be "ready to proceed" at a trial management conference on May 29, 2014. At a second trial management conference of August 25, 2014, the defendant D'Angelo, acting in person, sought an adjournment of trial because the plaintiff had failed to produce documents. The trial management judge required the defendant to apply in chambers for the adjournment. D'Angelo's notice of application complained that the statement of claim alleged that the plaintiff had taken an "assignment" of the agreement of purchase and sale, but no such document had been produced; that the conveyancing solicitor's file had not been produced; that there were still outstanding requests from the discovery of Bortolussi; and that there had been late delivery of the plaintiff's expert remediation report such that D'Angelo could not obtain a reply report in time for trial. The adjournment was granted on September 5, 2014.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D'Angelo brought an application for summary trial on July 27, 2015, which application was dismissed because it was not suitable for summary disposition given credibility issues. The defendant was awarded costs in any event of the cause payable at the conclusion of the proceedings. It is noted that Madam Justice Fisher stated at para. 12 of her oral reasons for judgment that "this is an awfully old case and I can see that it would be good to find a resolution to it" and then referred to "how old" the case was at para. 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filed a notice of trial on October 30, 2014 for a 20-day trial to start on March 14, 2016. This trial was adjourned generally at a trial management conference on February 24, 2016 because of the failure of plaintiff's counsel to get a risk assessment report and other materials to the defendants in a timely way, notwithstanding their request for disclosure. The court expressed the need to expedite the process of going to trial by directing the parties to attend another trial management conference and ordered a new trial date to be "peremptory on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has done nothing since February 24, 2016 to obtain a new trial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settled this action as against all of the defendants except D'Angelo in September 2017. A term of the settlement was that the plaintiff obtain a certificate of compliance by January 31, 2018 to demonstrate that remediation had been completed, in which event the settlement amount would be paid in full. This was accomplished. Details of the remediation, including what occurred, when, and costs, have not been disclosed. No documents have been produced to date by the plaintiffs to establish an amount claimed for damages as against D'Angelo. Indeed, when asked for an amount during this application, the plaintiff could provide neither an amount or give any indication of what documents would be provided to establish a damage amount.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January 12, 2018, the plaintiff obtained an order to amend the statement of claim to delete the other defendants from the action. The allegations against D'Angelo remained the same as when first alleged in 2007. The plaintiff has not amended the pleadings to conform to Vanier's affidavit evidence that clarified that the plaintiff had never been assigned the agreement for purchase and sale. Also, Vanier's statement that D'Angelo told him that the property was "clean" is not alleged.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application to dismiss for want of prosecution was initially brought on March 13, 2018 for hearing on April 11, 2018. It was adjourned to June 5, 2018, then adjourned to September 14, 2018, and then adjourned to today's hearing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22-7(7) provides for dismissal of a proceeding for want of prosecution. It is a draconian measure to be used only when required in the interests of justice (</w:t>
      </w:r>
      <w:r>
        <w:rPr>
          <w:rFonts w:ascii="arial" w:eastAsia="arial" w:hAnsi="arial" w:cs="arial"/>
          <w:i/>
          <w:color w:val="000000"/>
          <w:sz w:val="20"/>
          <w:lang w:val="en-US" w:eastAsia="en-US" w:bidi="ar-SA"/>
        </w:rPr>
        <w:t>Gemex Developments Corp.v. Sekora</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2011 BCSC 318</w:t>
        </w:r>
      </w:hyperlink>
      <w:r>
        <w:rPr>
          <w:rFonts w:ascii="arial" w:eastAsia="arial" w:hAnsi="arial" w:cs="arial"/>
          <w:color w:val="000000"/>
          <w:sz w:val="20"/>
          <w:lang w:val="en-US" w:eastAsia="en-US" w:bidi="ar-SA"/>
        </w:rPr>
        <w:t xml:space="preserve"> at para.16).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pre-emptive objective of a trial is to address claims on their merits. If this objective is frustrated such that a just outcome is unlikely, then a claim might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criteria to be applied on this application is: first, whether there was inordinate delay; second, whether the delay is excusable in the circumstances; third, whether the delay has caused serious prejudice to the defendant; and fourth, whether, on balance, justice requires dismissal of the action (</w:t>
      </w:r>
      <w:r>
        <w:rPr>
          <w:rFonts w:ascii="arial" w:eastAsia="arial" w:hAnsi="arial" w:cs="arial"/>
          <w:i/>
          <w:color w:val="000000"/>
          <w:sz w:val="20"/>
          <w:lang w:val="en-US" w:eastAsia="en-US" w:bidi="ar-SA"/>
        </w:rPr>
        <w:t>Ed Bulley Ventures Ltd. v. Pantry Hospitality Corp.</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2014 BCCA 52</w:t>
        </w:r>
      </w:hyperlink>
      <w:r>
        <w:rPr>
          <w:rFonts w:ascii="arial" w:eastAsia="arial" w:hAnsi="arial" w:cs="arial"/>
          <w:color w:val="000000"/>
          <w:sz w:val="20"/>
          <w:lang w:val="en-US" w:eastAsia="en-US" w:bidi="ar-SA"/>
        </w:rPr>
        <w:t xml:space="preserve"> at para.24). The delay to be considered is the overall delay since commencement of the action (</w:t>
      </w:r>
      <w:r>
        <w:rPr>
          <w:rFonts w:ascii="arial" w:eastAsia="arial" w:hAnsi="arial" w:cs="arial"/>
          <w:i/>
          <w:color w:val="000000"/>
          <w:sz w:val="20"/>
          <w:lang w:val="en-US" w:eastAsia="en-US" w:bidi="ar-SA"/>
        </w:rPr>
        <w:t>Ed Bulley Ventures Ltd</w:t>
      </w:r>
      <w:r>
        <w:rPr>
          <w:rFonts w:ascii="arial" w:eastAsia="arial" w:hAnsi="arial" w:cs="arial"/>
          <w:color w:val="000000"/>
          <w:sz w:val="20"/>
          <w:lang w:val="en-US" w:eastAsia="en-US" w:bidi="ar-SA"/>
        </w:rPr>
        <w:t>. at para. 38). Once an inordinate and inexcusable delay is established, a rebuttable factual presumption of prejudice arises (</w:t>
      </w:r>
      <w:r>
        <w:rPr>
          <w:rFonts w:ascii="arial" w:eastAsia="arial" w:hAnsi="arial" w:cs="arial"/>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at paras. 35-36; </w:t>
      </w:r>
      <w:r>
        <w:rPr>
          <w:rFonts w:ascii="arial" w:eastAsia="arial" w:hAnsi="arial" w:cs="arial"/>
          <w:i/>
          <w:color w:val="000000"/>
          <w:sz w:val="20"/>
          <w:lang w:val="en-US" w:eastAsia="en-US" w:bidi="ar-SA"/>
        </w:rPr>
        <w:t>Ed Bulley Ventures Ltd</w:t>
      </w:r>
      <w:r>
        <w:rPr>
          <w:rFonts w:ascii="arial" w:eastAsia="arial" w:hAnsi="arial" w:cs="arial"/>
          <w:color w:val="000000"/>
          <w:sz w:val="20"/>
          <w:lang w:val="en-US" w:eastAsia="en-US" w:bidi="ar-SA"/>
        </w:rPr>
        <w:t>. at para.51). If a fair trial can still be had in the face of delay and prejudice, then the interests of justice may require that the litigation proceed. In this latter regard, the court may consider the merits of the case and whether there is a reasonable prospect of success (</w:t>
      </w:r>
      <w:r>
        <w:rPr>
          <w:rFonts w:ascii="arial" w:eastAsia="arial" w:hAnsi="arial" w:cs="arial"/>
          <w:i/>
          <w:color w:val="000000"/>
          <w:sz w:val="20"/>
          <w:lang w:val="en-US" w:eastAsia="en-US" w:bidi="ar-SA"/>
        </w:rPr>
        <w:t>Ed Bulley Ventures Ltd</w:t>
      </w:r>
      <w:r>
        <w:rPr>
          <w:rFonts w:ascii="arial" w:eastAsia="arial" w:hAnsi="arial" w:cs="arial"/>
          <w:color w:val="000000"/>
          <w:sz w:val="20"/>
          <w:lang w:val="en-US" w:eastAsia="en-US" w:bidi="ar-SA"/>
        </w:rPr>
        <w:t>. at para.62).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case has been outstanding for over 11 years, with the facts giving rise to this case occurring 13 years ago. The allegation against D'Angelo arises from an alleged oral representation that occurred in the course of dealings between three men as they decided whether to purchase the property. Throughout this time, the plaintiff has failed to amend the pleadings against D'Angelo to conform to the plaintiff's evidence as apparent from affidavit and discovery evidence. In argument before this Court, the plaintiff alleged breach of fiduciary duty as against D'Angelo, a cause of action never pleaded. There have been two adjournments of trial due to the plaintiff's failure to produce documents in a timely manner. After the last adjournment, the plaintiff has failed to set a new trial date for almost three years. The plaintiff has been judicially warned twice about the need to expedite proceedings, in the summary trial decision on July 27, 2015 and at the trial management conference of February 24, 2016. Once the claims were settled as against the other defendants over a year ago, the plaintiff has done nothing to pursue its claim against D'Angelo: particularly, it has not produced any documentation to support the claim for damages as against D'Angelo. The plaintiff indicated that a trial against D'Angelo would now take about four days. Such a trial date is readily obtained: yet, the plaintiff has done nothing to pursue a date, even in the face of this application. In candid comment before this Court, plaintiff's counsel indicated that the matter now is one of costs, with the plaintiff not wanting to have to reimburse the defendant for costs throughout.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delay here has been lengthy and exceeds a tolerable limit, especially given the twice urging by this Court to expedite proceedings. In these circumstances, this Court has no difficulty in concluding that there has been inordinate delay.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offered as an excuse for the delay that it was required to remediate the contamination at the property before it could assess damages. The plaintiff argued that, in law, it was unable to do so until legislation was changed in 2012. The specifics of the legislation were not presented. However, there was no reason given as to why the remediation itself was not undertaken in a timely manner. The plaintiff suggested that remediation occurred in 2017: but, the defendant said that no evidence has ever been provided as to whether remediation was ever undertaken. As it pertains to this defendant, liability is not a complex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second excuse was that it is "difficult to obtain trial dates for long trials in less than two years". There is no evidence that the plaintiff tried to obtain trial dates after February 2016. Further, the trial against this defendant requires only four days and can be readily obtained.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third excuse is that all adjournments were the result of applications by the defendants. As already described, the adjournments were granted because the plaintiff had failed to produce documents in time. The fault for two of the three adjournments lies at the feet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inordinate delay is inexcusable.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circumstance where delay is inordinate and inexcusable, a rebuttable presumption of prejudice arises. Here, it is not contested that the primary evidence against the defendant will be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through recollected memory of conversations that occurred 13 years ago. There is no supporting documentary evidence. From discovery of Bortolussi in 2012, it is apparent that he has no recollection of events. Varnier's evidence from affidavit material suggests that he has no recollection of when the alleged misrepresentation that the property was "clean" was made and also recollects that he understood from the statement that the defendant had enquired and the property was suitable for building a multi-unit residential development. There is no specific recollection that he understood D'Angelo to say that the property was free of contamination and there is no evidence that the property was not suitable for building a multi-unit residential development. Other affidavit evidence of Varnier confirms that his memory of events is not consistent internally or externally. This only serves to heighten concerns about the unreliability of the memory of witnesses 13 years after the conversation is alleged to have occurred. It is apparent here that the chance of finding out what really happened has been substantially reduced with the significant passage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There exists a substantial risk that a fair trial on the issues is no longer possible. The evidence here will be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from memory of an event 13 years ago that was not documented. One of the three persons present already has no memory of events. Credibility is in issue as determined in 2015 by the s. 9-7 summary trial judge. There have been long periods of inactivity on the part of the plaintiff. This cannot be remedied by giving the plaintiff another opportunity to remedy its default. The plaintiff has shown no inclination to proceed expeditiously either by producing documents to support the damages claim or by setting a date for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application to dismiss this action for want of prosecution against the defendant, D'Angelo, is granted. The defendant is granted costs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J.R. 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Chang v. Martin, [2004] B.C.J. No. 258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4,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12,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S024273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258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128 A.C.W.S. (3d) 1022</w:t>
      </w:r>
    </w:p>
    <w:p>
      <w:pPr>
        <w:spacing w:before="120" w:line="260" w:lineRule="atLeast"/>
        <w:rPr>
          <w:lang w:val="en-US" w:eastAsia="en-US" w:bidi="ar-SA"/>
        </w:rPr>
      </w:pPr>
      <w:r>
        <w:rPr>
          <w:rFonts w:ascii="arial" w:eastAsia="arial" w:hAnsi="arial" w:cs="arial"/>
          <w:color w:val="000000"/>
          <w:sz w:val="20"/>
          <w:lang w:val="en-US" w:eastAsia="en-US" w:bidi="ar-SA"/>
        </w:rPr>
        <w:t>Between Karen Chang, plaintiff, and James G. Martin,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(24 paras.)</w:t>
      </w:r>
    </w:p>
    <w:p>
      <w:pPr>
        <w:jc w:val="both"/>
        <w:rPr>
          <w:lang w:val="en-US" w:eastAsia="en-US" w:bidi="ar-SA"/>
        </w:rPr>
      </w:pPr>
      <w:bookmarkStart w:id="144" w:name="Counsel_40"/>
      <w:bookmarkEnd w:id="14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7" style="position:absolute;z-index:2517063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R.W. Mostar, for the plaintiff. No one appeared, for defendant.</w:t>
      </w:r>
      <w:r>
        <w:rPr>
          <w:lang w:val="en-US" w:eastAsia="en-US" w:bidi="ar-SA"/>
        </w:rPr>
        <w:cr/>
      </w:r>
    </w:p>
    <w:p>
      <w:pPr>
        <w:spacing w:after="240"/>
        <w:rPr>
          <w:lang w:val="en-US" w:eastAsia="en-US" w:bidi="ar-SA"/>
        </w:rPr>
      </w:pPr>
      <w:bookmarkStart w:id="145" w:name="Judgment_40"/>
      <w:bookmarkEnd w:id="145"/>
      <w:r>
        <w:pict>
          <v:line id="_x0000_s1168" style="position:absolute;z-index:25175756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46" w:name="RALPH J."/>
            <w:bookmarkEnd w:id="146"/>
            <w:r>
              <w:rPr>
                <w:rFonts w:ascii="arial" w:eastAsia="arial" w:hAnsi="arial" w:cs="arial"/>
                <w:b/>
                <w:color w:val="000000"/>
                <w:sz w:val="30"/>
                <w:lang w:val="en-US" w:eastAsia="en-US" w:bidi="ar-SA"/>
              </w:rPr>
              <w:t>RALPH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 trial of this action was held to assess the plaintiff's damages, the defendant having failed to file an appearance. The defendant is a solicitor and the plaintiff was his client in a family law action that began about 1989. The case is peculiar to say the least, in that there was an obvious loss to Ms. Chang caused by Mr. Martin's misrepresentation to her, yet there was no apparent gain to Mr. Martin.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Chang's former husband had an interest in a farm and Mr. Martin had advised Ms. Chang that she was entitled to an interest in it. In June 2001 Mr. Martin advised Ms. Chang that the property was to be sold and that she would receive funds in the amount of $245,000 plus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basis of assurances by Mr. Martin that the money would be forthcoming, Ms. Chang signed a contract on July 21, 2001, to purchase a townhouse, the closing date for which was August 28, 2001. On July 28, 2001, on Mr. Martin's further advice, Ms. Chang removed the "subject to" clauses from the purchase and sale contract thereby obligating her to complete the purchase.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about August 10 Mr. Martin provided a trust cheque to Ms. Chang in the amount of $245,000. Ms. Chang was advised by her bank that there were insufficient funds to cover it. Mr. Martin advised Ms. Chang that he would contact his bank. On about August 28, Mr. Martin delivered a trust cheque to Ms. Chang's conveyancing notary for $204,301 and a cheque to Ms. Chang for $40,698. Again there were insufficient funds to cover either cheque.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Still relying on assurances from Mr. Martin that the funds would be forthcoming, Ms. Chang negotiated an extension of the completion date for purchasing the townhouse at the cost of a further $4,000 price increase. When the funds were not produced on time, Ms. Chang arranged for her sister and brother-in-law to purchase the townhouse by temporarily mortgaging their own residence on the expectation that it would be only a short time before the funds came from Mr. Martin. Ms Chang and her children then occupied the townhouse.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fact is that the representations and assurances made to Ms. Chang by Mr. Martin were all false. No funds had been received by Mr. Martin with respect to the sale of the farm. Mr. Martin was disciplined by the Law Society for his misconduct and received a penalty which included a suspension from the practice of law for 18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Chang and her children continued to occupy the townhouse and made payments of approximately $800 per month to her sister and brother-in-law. Ms. Chang's sister and brother-in-law paid the additional amount required to meet each month's mortgage payment. The arrangement continued for about two years and then by agreement Ms. Chang's sister and brother-in-law sold the townhouse in the fall of 2003. The proceeds of the sale were approximately enough to reimburse Ms. Chang's sister and brother-in-law for the costs they had incurred in assisting Ms. Chang. The evidence is that they ended up in a break-even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September 2003 Ms. Chang and her children moved to rental accommodation. The rent is $1800 per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the purchase of the townhouse Ms. Chang and her children had resided in a co-operative housing complex for 12 years. Ms. Chang's rent was based on a percentage of her income and amounted to approximately $700 per month. She had waited for approximately two years to obtain that housing and testified that she would have a substantial wait if she seeks to find similar accommodation again. As a result she is renting accommodation at full market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Despite the fact that there was no identifiable gain for Mr. Martin in making the false statements which he made, I am satisfied that Mr. Martin knew his client, Ms Chang, would rely on the untrue statements. Her reliance was reasonable. As a result, she is entitled to damages for the losses she sustained as a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Waddams, The Law of Damages, Looseleaf ed. the author states at [paragraph] 5.460: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Where the defendant makes a statement knowing it to be false or makes a statement not caring whether it is true or false, the defendant commits a tort known as deceit or fraud and is liable to pay damages to the person who relies on the statement. Where, as is common, the statement induces the plaintiff to enter into a contract with the defendant, the question arises whether the contractual or the tortious measure of damages is appropriate. The English and Canadian cases have consistently held that the proper measure is the tortious measure, that is the amount of money required to put the plaintiff in the position that would have been occupied not if the statement had been true but if the statement had not been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has framed her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Waddams, supra, at [paragraph] 5.610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Since the decision of the House of Lords in 1963 in Hedley Byrne Ltd. v. Heller &amp; Partners Ltd., [1963] 2 All E.R. 575, it has been established that an action lies for negligent misrepresentation causing economic loss. It naturally follows from acceptance of out-of-pocket loss rather than the contractual measure as the basic measure of damages for fraud, that the same basic measure applies to negligent misrepresentation.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conclude that Ms. Chang is entitled to be put in the position she would have been in had the statements of Mr. Martin not been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Chang asserts that she would not have moved from her subsidized co-operative housing. Her rent there amounted to approximately $7,600 per year. For 2 years in the townhouse she paid rent of $9,600 per year representing an additional out-of pocket expense of approximately $4,000. I am satisfied that this is a loss attributable to Mr. Martin's misrepresentations and that he must compensate Ms Chang for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Rent in Ms. Chang's new accommodation is $1,800 per month. Her counsel said that the court should consider that a "reasonable rent" for a three-bedroom apartment is $1,400 per month. I accept this estimate. This amounts to $16,800 per year and $9,200 per year more than Ms. Chang's co-operative housing rent. Counsel for Ms. Chang has submitted that there is every prospect that she will never get back into the subsidized housing that she enjoyed prior to moving to the townhouse. It is Ms. Chang's position that her loss could be "projected conservatively from between five to 10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basis of Ms. Chang's evidence, it is reasonable to assume that Ms. Chang would face at least a two year waiting period before regaining accommodation in a subsidized co-operative housing complex. For each additional year such accommodation is not available to Ms. Chang, there is an extra rent expense of approximately $9,200. There are a number of contingencies that would affect the length of time Ms. Chang would have remained in the co-operative housing complex as well as the waiting time she might face in regaining such housing. Doing the best I can in assessing this loss, I have concluded that it is reasonable to consider that Ms. Chang has lost the benefits of subsidized housing for a period of three years and should be compensated for it. At a loss of $9,200 per year this loss amounts to $27,600.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Chang is employed by a school district and works for ten months each year. In most summers she seeks additional employment for the two remaining months. In anticipation of the settlement monies, Ms. Chang was told that she could safely take the summer off as the financial pressures that she had been under were soon to be eased significantly. She therefore did not work during the summer of 2001. She estimates her income from summer employment would have been approximately $5,000. I am satisfied that Ms. Chang would have earned this amount of additional income had Mr. Martin's statements not been made and that Mr. Martin must compensate Ms. Chang for this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Chang also borrowed $4,000 from a friend anticipating that she would be in a position to repay the loan. The monies were used to pay debts. The money has not been repaid and the lender has obtained a judgment against Ms. Chang for the debt. While Ms. Chang claims this amount as a loss resulting from Mr. Martin's representations, the debts to which the $4,000 was applied would presumably have continued absent the loan. For this reason, I am not satisfied that this is an amount for which Mr. Martin should be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Chang also asserts that, notwithstanding that her sister and brother-in-law did not "lose" money on the sale of the townhouse, the initial purchase price had to be supplemented owing to the delay occasioned by the first dishonoured cheque. The vendors had required an additional $4,000 to extend the completion date. In my view, even if one could conclude that this is a "loss," it is not a loss suffered by Ms. Chang for which Mr. Martin is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Chang incurred some additional expenses in moving twice and also lost the benefit of subsidized utilities costs in her co-operative housing. I assess these losses in the amount of $1000.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Ms. Chang also claims aggravated damages. In Hill v. Church of Scientology of Toronto, </w:t>
      </w:r>
      <w:hyperlink r:id="rId30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the Supreme Court of Canada noted at [paragraphs] 188-189: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Aggravated damages may be awarded in circumstances where the defendant's conduct has been particularly high-handed or oppressive, thereby increasing the plaintiff's humiliation and anxiety....</w:t>
      </w:r>
    </w:p>
    <w:p>
      <w:pPr>
        <w:spacing w:before="120" w:line="260" w:lineRule="atLeast"/>
        <w:ind w:left="720"/>
        <w:rPr>
          <w:lang w:val="en-US" w:eastAsia="en-US" w:bidi="ar-SA"/>
        </w:rPr>
      </w:pPr>
      <w:r>
        <w:rPr>
          <w:rFonts w:ascii="arial" w:eastAsia="arial" w:hAnsi="arial" w:cs="arial"/>
          <w:color w:val="000000"/>
          <w:sz w:val="20"/>
          <w:lang w:val="en-US" w:eastAsia="en-US" w:bidi="ar-SA"/>
        </w:rPr>
        <w:t>These damages take into account the additional harm caused to the plaintiff's feelings by the defendant's outrageous and malicious conduct. Like general or special damages they are compensatory in nature.... They represent the expression of natural indignation of right-thinking people arising from the malicious conduct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 submissions were made by counsel on the availability of aggravated damages in assessing damage to economic interests which is the type of loss suffered by Ms. Chang. I recognize that Ms. Chang suffered considerable anxiety and disruption in her life resulting from Mr. Martin's conduct. Even if aggravated damages extend to cases of pure economic loss, however, I am not satisfied that the evidence in this case is of the degree necessary to satisfy that test and I decline to award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Ms. Chang also sought punitive damages, counsel for Ms. Chang recognized that the penalty assessed against Mr. Martin in his disciplinary proceeding has a bearing on the need for punitive damages in this case. In my view this is not one of the exceptional cases where it is appropriate to award punitive damages and I decline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summary, I find that Ms. Chang is entitled to damages for the losses identified above, totaling $37,600. In addition she is entitled to her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RALPH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Chan v. Ling, [2006] B.C.J. No. 1864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17 - 21, 2006 and January 27,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14,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S033010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1864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1243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151 A.C.W.S. (3d) 860</w:t>
      </w:r>
    </w:p>
    <w:p>
      <w:pPr>
        <w:spacing w:before="120" w:line="260" w:lineRule="atLeast"/>
        <w:rPr>
          <w:lang w:val="en-US" w:eastAsia="en-US" w:bidi="ar-SA"/>
        </w:rPr>
      </w:pPr>
      <w:r>
        <w:rPr>
          <w:rFonts w:ascii="arial" w:eastAsia="arial" w:hAnsi="arial" w:cs="arial"/>
          <w:color w:val="000000"/>
          <w:sz w:val="20"/>
          <w:lang w:val="en-US" w:eastAsia="en-US" w:bidi="ar-SA"/>
        </w:rPr>
        <w:t>Between Arthur Chan, Plaintiff, and Au Bak Ling, Beautiworld Development Corporation, and Blauson Homes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(34 paras.)</w:t>
      </w:r>
    </w:p>
    <w:p>
      <w:pPr>
        <w:jc w:val="both"/>
        <w:rPr>
          <w:lang w:val="en-US" w:eastAsia="en-US" w:bidi="ar-SA"/>
        </w:rPr>
      </w:pPr>
      <w:bookmarkStart w:id="147" w:name="Counsel_41"/>
      <w:bookmarkEnd w:id="14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0" style="position:absolute;z-index:2517073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E. Liu, L. Walsh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R.J. Kaardal, M. Howcroft</w:t>
      </w:r>
      <w:r>
        <w:rPr>
          <w:lang w:val="en-US" w:eastAsia="en-US" w:bidi="ar-SA"/>
        </w:rPr>
        <w:cr/>
      </w:r>
    </w:p>
    <w:p>
      <w:pPr>
        <w:spacing w:after="240"/>
        <w:rPr>
          <w:lang w:val="en-US" w:eastAsia="en-US" w:bidi="ar-SA"/>
        </w:rPr>
      </w:pPr>
      <w:bookmarkStart w:id="148" w:name="Judgment_41"/>
      <w:bookmarkEnd w:id="148"/>
      <w:r>
        <w:pict>
          <v:line id="_x0000_s1171" style="position:absolute;z-index:2517585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49" w:name="DILLON J."/>
            <w:bookmarkEnd w:id="149"/>
            <w:r>
              <w:rPr>
                <w:rFonts w:ascii="arial" w:eastAsia="arial" w:hAnsi="arial" w:cs="arial"/>
                <w:b/>
                <w:color w:val="000000"/>
                <w:sz w:val="30"/>
                <w:lang w:val="en-US" w:eastAsia="en-US" w:bidi="ar-SA"/>
              </w:rPr>
              <w:t>DILLON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Arthur Chan ("Chan"), claims general and punitive damages against the defendants for breach of employment contract and for wrongful dismissal from his employment as the general representative of the defendant Au Bak Ling ("Au") and his companies in Canada, Beautiworld Development Corporation ("Beautiworld"), and Blauson Homes Inc. ("Blauson"). Chan also claims general and punitive damages for defamation from the termination letter issued and published from Au. The defendants respond that the plaintiff was dismissed for just cause including breach of duty, deception, dishonesty, insubordination and misconduct, and that the termination letter was true, did not result in loss of reputation, and was a privileged publication. The defendants also say that the plaintiff has failed to mitigate. The defendant counterclaimed for judgment for personal payment to Chan of unauthorized expenses.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following reasons, the plaintiff's claim is dismissed. The counterclaim is also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Chan was employed as a vice-president of PCI in the fall of 1993 when he was introduced to Au, a wealthy Hong Kong investor in PCI, who had purchased Pacific Towers, an apartment and retail building on Howe Street in Vancouver, British Columbia, from PCI and who had retained PCI to continue management of the building. Au had multiple business interests in Canada, including the development of a large acreage in Abbotsford, B.C. Chan proposed to Au that he should have someone in Canada to oversee the Canadian operations of Au's businesses. Chan knew that Au had multiple business interests in Canada and that Au spent the vast majority of his time away from Canada. He also knew that Au could be difficult to work for and did not suffer mistakes well. Chan was familiar with the management of Pacific Towers and knew that Au often did not pay accounts on time, preferring to negotiate a better deal after invoices had been rendered or providing limited funding for other reasons decided by Au.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Au agreed to hire Chan as vice-president, North American operations, through the Ling Kee Group of Companies of which Au was chairman. For purposes of this action, the named corporate defendants are two of Au's Canadian companies and no issue was taken with the identity of the defendants. Chan understood that Au had placed a great deal of trust in him to oversee his Canadian businesses. He understood that he would be directed by Au to projects and businesses as required and that Au remained in complete control to determine the course of business with Chan recommending and reporting frequently.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written terms of employment drafted by Chan described Chan's scope of employment to include overseeing the Ling Kee Group of Companies North American business operations including the Vancouver real estate properties, Abbotsford land development project, Toronto real estate properties, and the Bowmanville manufacturing project. Chan was to set up and grow the employer's opportunities in North America, set goals, strategy, and budgets for the businesses, organize resources to maximize profits for each operation, and screen and evaluate new business opportunities. Although Chan suggested in evidence that the scope of his duties was to be discussed, the scope of his employment was clear from Chan's own draft of the employment agreement and there was no notation for further discussion. Chan was hired to oversee all of Au's Canadian businesses and to handle any matters as directed by Au.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His salary was $75,000 per annum with bonus to be discussed and a monthly automobile allowance of $500. There was to be a performance review after six months and an annual review thereafter. Termination of employment was by 30 days written notice by either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terms of employment provided for two weeks holiday per year. Chan said that Au later agreed that there would be a one month bonus paid annually in lieu of a longer four week holiday that Chan had previously received at PCI. Although this was never put in writing and the employment agreement specified two weeks holiday, Chan claimed the extra month's salary in 1996 and it was paid.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Chan began on August 1, 1995. He became the Canadian director of Au's Canadian companies, also signing an undated resignation form at the same time. Chan appreciated that Au trusted him to oversee his businesses and reported to him frequently, at least two or three times per week or more if urgent issues arose. Chan reported to Au on almost all aspects of operations, from large to small details. Au ran a tight ship and personally authorized transactions and approved accounts. Au was direct, forceful and detailed in his dealings and did not mince words. Approval for most expenditure was given in advance by Au following receipt of Chan's recommendation. Chan knew from previous experience that Au was often late in payment of his accounts and this was one characteristic of the business that Chan had to manage. Payment of any expense over $2,000 had to be approved through a letter of approval following explanation of the expense by Chan that included the list of monthly payees. The letters of approval were directed through the bank where Au transmitted funds for payment. Au often did not comment specifically on Chan's reporting letters, leaving Chan to carry on as he thought in the best interest of his employer. However, the reporting letters included detailed accounts for each cheque written with explanation for amounts under $2,000 that were within Chan's signing authority without a letter of approval. Chan also provided bank statements, letters of approval, and spreadsheets. Reports included details of Chan's activities and work that was underway with explanation of any difficulty. Chan's salary was processed through a letter of approval, listing himself as the payee. His business expenses were specifically approved.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Chan's salary increased to $8,000 per month in February 1997, making his annual salary $103,500, including the bonus month in lieu of additional holiday. There never was a formal performance review. In April 1997, Chan changed the payee for his salary to his company, Agape Holdings Limited. Au wrote that this was all right for awhile but that an invoice from the company was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first year was spent focused on the Abbotsford development owned by Beautiworld, in turn wholly owned by Au. This was an 800 acre large residential and business community project involving 2,300 residential units. By 1997, Chan required an assistant to manage the Abbotsford development, now called "Auguston", and a chief operating officer. Au sent Chan to Bowmanville, Ontario, from June to October 1997 to take control of a manufacturing plant after the plant manager left abruptly. Chan said that his relationship with Au deteriorated thereafter as Au expressed dissatisfaction with the Bowmanville results, particularly with the costs of the Toronto lawyer. Au refused to pay the balance of the lawyer's account. Rather than leave the lawyer to pursue his own remedies and knowingly contrary to Au's direction, Chan paid the balance of the account personally, never informing Au. Chan said that he paid this to avoid a lot of argument and draining time. This was the start of Chan's unauthorized conduct. On another occasion, Chan had successfully negotiated another of Au's legal bills according to Au's instructions.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1998, Chan knew that Au's health had deteriorated to the extent that he could not come to Canada the few times per year as in the past; however, Au remained robust about his business. Au's displeasure with Chan was again expressed in a letter of July 1998 when Au complained about cost overruns on the Auguston project and spending on consultants and advisors "to make up for your deficiencies". Au also criticized Chan for spending without regard to financial viability and warned him that he had to make $5 for the company before he spent $1. Chan disregarded the letter as Au "venting steam" and continued hiring consultants as long as the invoices were paid by Au. At this time, Chan assisted the Auguston chief operating officer in the marketing centre, selling homes, and arranging for the grand opening. In December 1998, Chan became the director of marketing and sales for Auguston. His marketing designs won awards and his programme of pre-sales for family homes was a success. Chan also performed other tasks.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April 2000, Au terminated PCI as the manager of Pacific Towers and instructed Chan to "get the files". Chan thought that he could manage the building himself as well as carry on with his Auguston mandate. Au advised the chief operating officer of Auguston that Chan would be managing Pacific Towers and the officer discussed this with Chan, learning that Chan expected to take one or two days per week managing Pacific Towers. The sales staff at Auguston was adjusted accordingly. Chan secured and reviewed the Pacific Towers files at his home, and made suggestions to Au as to how to run this operation, including payment of past accounts. Chan assumed that Au planned to sell the building. He indicated by report to Au that he would prepare a detailed property management proposal. He never did. However, Chan took over management of the building, reporting regularly to Au on all aspects of the operation including rentals, maintenance, security, insurance, finances, tax audit, and payment to suppliers. Although Au did not provide a job description for Chan at Pacific Towers, Chan would have been familiar with management of the building because of his previous employment at PCI. Chan took over payment of the accounts according to specific approvals obtained by detailed description of the subject of the account and the amounts. He reviewed and managed the payroll. He dealt with problems of maintenance and managed the rentals. He kept track of operational expenses and knew that he was expected to prepare financial statements. He advised Au that he expected to "streamline" operations. He testified that he did his best to prepare financial statements and to run Pacific Towers in addition to his Auguston duties. Although Chan testified at trial that his work at Pacific towers was "voluntary", it is clear that both Chan and Au understood Chan to be responsible for the operation and financial reporting for the building and that this was within the scope of Chan's employment to oversee Au's Canadian operations generally as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April 2001, vandalism at Pacific Towers resulted in flooding damage to many suites. Chan was of the view that replacement of bedroom carpeting was needed in addition to insurance covered replacements and wrote to Au in July 2001 advising that replacement of bedroom carpeting would cost $400 per suite. Au did not respond or approve. Chan knew that his role was to recommend improvements but Au decided what amounts would be expended and which creditors would be paid. Nonetheless, Chan went ahead with replacement of bedroom carpeting and bathroom and kitchen vinyl. Chan had thought that the building would be sold soon and had confirmed through the real estate agent that the purchaser wanted the carpet and vinyl replaced. He did not obtain Au's approval, explaining in testimony that this was an oversight until the bill arrived. However, this is not correct as no invoice was rendered at this time and the fact of the matter is that Chan had decided that the extra renovation should be done regardless of Au's views. The sale of the building fell through and Chan must have realized that he had exceeded his authority.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Chan had sent expenditure requests through the same format described above, requiring letters of approval for expenditure over $2,000. Typically, Au did not approve all of the expenditures immediately and sent less than was requested per month. Chan became frustrated with having to decide which accounts to pay each month without full funding. He was also frustrated with having to fit in Pacific Towers matters with his ongoing Auguston work for no additional pay. He said that he began to work from home where he had brought the Pacific Towers account files.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additional cost for the carpeting and vinyl was $35,000, about $1,000 per unit. The contractor asked for partial payment without invoicing. Chan put forward an expense for approval of $15,000 in late October 2001 when 68 of 80 units had been completed. Au questioned the account and Chan provided an explanatory letter, apologizing for not mentioning before that he had also replaced the vinyl. Au did not approve the payment. Instead, he blasted Chan for redoing the vinyl without Au's knowledge or approval at a time when Au was selling the building. He again chastised Chan for spending money without approval. Chan testified that the contractor had threatened to lien the property; however, this is doubtful as invoices had not been presented, the work was not complete, and Chan did not tell the contractor that Chan had only requested the funding a few days before. Chan decided to pay the account himself and borrowed $10,000 from his mother in November 2001. He did not inform Au but expected that Au would eventually approve the account and the debt to his mother would be repaid. Chan thought that he could impress Au to pay by sending pictures of the improvements. However, he was so concerned that Au would not approve that he stopped installation in the remaining units. Chan specifically requested approval to complete the remaining units. Au never gave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Au maintained a system of banking and approvals that allowed him to keep control over expenditures from Hong Kong. The procedure for banking of Pacific Towers at the time was by separate accounts for rent revenues, security deposits, and expense disbursements. Au controlled finances for Pacific Towers through control of the rental revenue account which Chan was not authorized to touch and through approval of disbursements through approval of expenditures and payment by letters of authorization for expenditures over $2,000. The security deposit account was a trust account. Chan knew that his authorization was limited to signing cheques for the disbursement account and for the return of security deposits, both at amounts less than $2,000 unless authorized by letter of instruction. Chan had previously requested that his signing authority be increased to $5,000 but Au did not agree to the increase. For disbursements, Au authorized payments by letters of authorization directed to the banks and then Chan could sign the cheques. Chan acknowledged that it was up to Au to decide which accounts to pay, regardless of Chan's recommendation. Chan knew that he was not to deposit rent cheques into the disbursement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Chan transferred rent cheques into the disbursement account without Au's approval. Au questioned the deposits and Chan told him on July 23, 2002, that it was done as a last resort when funding did not arrive on time. Chan also told Au that he had transferred monies from the security deposits to cover overdrafts in the disbursement account, an unauthorized transfer of trust funds. Au told Chan that he had no authority to touch the rental account. Regardless, Chan deliberately deposited: $45,582 from commercial rentals into the disbursement account on August 13, 2002; $45,275 of rents into the disbursement account on September 6, 2002; and $41,750 of rents into the disbursement account on October 3, 2002. Chan decided that he would pay accounts that Au had not approved for payment, knowing that the deposit of rental cheques into the disbursement account was not authorized. Chan knew that this was a serious breach of Au's authority and confidence. I conclude that he transferred the monies at this time because he was concerned that the building was to be sold soon and he would not get his monies from his personal payment of the vinyl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Chan decided to repay himself for the $10,000 that he had personally paid on the account for the vinyl. He wrote two cheques to Agape Holdings Ltd. for $5,000 each on September 11 and October 4, 2002, from the disbursement account over which he had signing authority. These payments followed almost immediately from the unauthorized deposits of the rental cheques into the disbursement account. There was no invoice from Agape Holdings Ltd. for these payments. Chan also wrote a cheque for $30,624 to pay for carpeting. None of these payments were within Chan's signing authority and none of the payments were authorized by letter of authorization as was the established practice. Chan knew that he was acting outside his authority and he knew that Au had not approved payment of the vinyl account. He had deliberately deposited rent monies to repay himself this amount. He knew that this was contrary to the rules set up for the banking accounts of Pacific Towers. I conclude that he also knew that two cheques in separate months to Agape Holdings Ltd. rather than to himself would attract less attention.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Within a couple weeks of reimbursing himself, Chan left for a holiday of three weeks in October 2002. This was at a time when urgent business matters were pressing. Tax auditors were reviewing the Au family trust including Pacific Towers accounts. Chan had failed to produce proper financial statements for the years 2000 and 2001 despite repeated requests. The sale of Pacific Towers was closing in a few months. Chan did not inform Au that he was leaving, despite advice to do so from the chief operating officer, because he knew that the request would be turned down. The chief operating officer felt compelled to tell Au that Chan had left for vacation as Au expected to be informed if an employee was to be away for any time. Chan testified that he felt that he was entitled to the holiday based on time from previous years and that there was no policy requiring him to notify of when he was taking his vacation. However, Chan knew that Au would be very angry with his departure at such a crucial business time and he had always advised Au when he was leaving before. When he returned, Chan explained his "disappearance" by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e-mail to Au, saying that he was stressed and that he knew that he would be disciplined for leaving without telling Au. In the same e-mail, Chan also expressed that he knew that Au was "angry about unauthorized deposits and disbursements."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Au responded in certain terms, characterizing Chan's conduct as irresponsible, negligent, and incompetent. Au had previously expressed dissatisfaction with Chan's unauthorized spending, particularly with regards to the vinyl flooring, on a wasting asset that Au was selling. Au told Chan that he was particularly annoyed that Chan had disclosed to Revenue Canada auditors that Au was considering sale of Pacific Towers. Au also demanded that Chan immediately hand over the Pacific Towers accounts for 2000, 2001, and 2002 so that proper financial statements could be prepared. Au also demanded bank statements to show the movement of monies for rents and accounts payable from January to November 2002 so that he could discuss that matter with an advisor.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Au had requested financial statements for Pacific Towers before. Chan had known since November 1999 that proper financial statements were required to assess income feasibility for purposes of sale of the building. Au had requested income statements for buyers in 2001 but Chan did not produce them. He explained at trial that he was pre-occupied with management of limited funding and the aftermath of the April 2001 vandalism. Chan was evasive about the Pacific Towers 2000 accounts in June 2001 and admitted to Au that he had not finished them yet. Au had instructed Chan to give the accounts to the administrative assistant at Auguston if he did not finish them. Chan again acknowledged that he had not finished the 2000 accounts in July 2001 but reported that he was converting the accounting system into the same as he had implemented at Auguston and told Au that he was fulfilling the real estate agent's request for income and expense statements for the last 36 months. Chan did not, however, convert the 2001 financial information into the new format and did not pass the accounts to the administrative assistant as instructed. Au again requested the accounts in the spring of 2002 and instructed Chan to hand over the 2001 accounts to the administrative assistant immediately. Chan did not do so, explaining in testimony that the 2001 accounts were not in the Auguston systematic format. A few weeks later, Au again requested financial information for a prospective buyer. Although Chan did provide some information from 2000, he had not provided all of the information that Au wanted by June 7, 2002, despite repeated requests. Au again demanded that Chan hand over the accounts to the administrative assistant. At this point, Chan admitted in testimony that he could not do the accounts. In August 2002, Au demanded that Chan hand over the accounts for purposes of an appraisal. Chan still did not do so. He explained at trial that he did not do so because he was asked to do too many things and that this was the accountant's job. Au repeated the demand to hand over the accounts immediately to the administrative assistant in September 2002. Chan ignored this request.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Chan testified that when Au again requested financial statements in November 2002, he felt like he was "in a race with an obstacle course." He said that he did not consider it his responsibility as there was an accountant. He had never, however, told Au that this was how he felt. He had never told Au that he found it impossible to do the accounts and that he was having difficulty changing the format. By November, the administrative assistant and chief operating officer were also requesting that Chan turn over the accounts. By November 17, 2002, the matter was described by Au as urgent and by November 21, Au told Chan that his failure to provide the accounts was irresponsible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his delay in turning them over to the administrative assistant was causing "an extremely serious consequence." When Chan did hand over some of the financial information in late November 2002, he had forgotten the password to the disc. He ended up giving the administrative assistant boxes of banking and invoice documentation so that the 2001 statement could be prepared from scratch. However, by December 12, 2002, Chan still had not provided all of the financial information requested by Au in a usable manner, particularly the rent rolls. Au again demanded that Chan turn over the accounts. Chan eventually sent the rent roll summary on December 13 for the years 2000, 2001, and 2002, listing the total monthly rents received. This information had originally been requested for the tax audit. The administrative assistant was able to complete the financial statements and other information requested within one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November 16, 2002, Au had discovered that Chan had directed the Pacific Towers resident manager to deposit the commercial rental monies into the disbursement account to make expense payments without his prior knowledge and approval. Chan had also told the manager not to submit the monthly reports showing reconciliation of rental deposits. By December 2002, it had also become apparent that Chan had received mail that had been forwarded to him from the Au accountant directed to the Au family trust from Revenue Canada. Although Chan knew that this was important, he did not open the mail and he did not forward it to Au. He put the mail into a file and never did anything with it. Chan explained that he was only responsible for "operational" matters. However, he did the same with correspondence from Workers' Compensation directed to Pacific Towers, this time explaining that he did not understand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December 31, 2002, Au terminated Chan's employment by letter in these terms: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Your irresponsibility, incompetence, wilful neglect of your duties and betrayal of your fiduciary obligations have made it impossible for me to tolerate you any more and I have therefore decided to terminate your services with immediate effect .... As of today, you have also ceased to be a director of all my companies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Chan received the letter from the chief operating officer at Auguston who had taken it off the fax. Au sent a notice to others simply stating that Chan had left and had ceased to be a director or to act in any capacity for any of Au's companies. Chan received his regular pay for the month of December. Although Chan was actually owed 4.3 vacation days when he was terminated, he also had not paid back a cash advance that more than covered any amount owing for vacation. Au eventually paid for the vinyl account in full after the contractor filed a lien in January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Chan was unemployed until April 2005 when he obtained his real estate licence. In his search for employment, Chan described himself as having "... solid accounting experience from accounting manager to controller of various Fortune 500 companies ... and ... adept in setting up effective operational systems. I am also sharp and precise in presenting and monitoring accounting data for management control and planning ....". He sent out 20 application letters and had one interview in the 28 months that he was not employed.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Au did not testify at trial as he was too ill to travel from Hong Kong.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An employer has just cause to summarily dismiss an employee if he has been guilty of serious misconduct, habitual neglect of duty, incompetence, conduct incompatible with his duties or prejudicial to the employer's business, or wilful disobedience to the employer's orders in a matter of substance (</w:t>
      </w:r>
      <w:r>
        <w:rPr>
          <w:rFonts w:ascii="arial" w:eastAsia="arial" w:hAnsi="arial" w:cs="arial"/>
          <w:b/>
          <w:i/>
          <w:color w:val="000000"/>
          <w:sz w:val="20"/>
          <w:lang w:val="en-US" w:eastAsia="en-US" w:bidi="ar-SA"/>
        </w:rPr>
        <w:t>Port Arthur Shipbuilding Co. v. Arthurs</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(1967), 62 D.L.R. (2d) 342</w:t>
        </w:r>
      </w:hyperlink>
      <w:r>
        <w:rPr>
          <w:rFonts w:ascii="arial" w:eastAsia="arial" w:hAnsi="arial" w:cs="arial"/>
          <w:color w:val="000000"/>
          <w:sz w:val="20"/>
          <w:lang w:val="en-US" w:eastAsia="en-US" w:bidi="ar-SA"/>
        </w:rPr>
        <w:t xml:space="preserve"> at 348 (Ont. C.A.), rev'd on other grounds, </w:t>
      </w:r>
      <w:hyperlink r:id="rId823" w:history="1">
        <w:r>
          <w:rPr>
            <w:rFonts w:ascii="arial" w:eastAsia="arial" w:hAnsi="arial" w:cs="arial"/>
            <w:i/>
            <w:color w:val="0077CC"/>
            <w:sz w:val="20"/>
            <w:u w:val="single"/>
            <w:shd w:val="clear" w:color="auto" w:fill="FFFFFF"/>
            <w:lang w:val="en-US" w:eastAsia="en-US" w:bidi="ar-SA"/>
          </w:rPr>
          <w:t>[1969] S.C.R. 85</w:t>
        </w:r>
      </w:hyperlink>
      <w:r>
        <w:rPr>
          <w:rFonts w:ascii="arial" w:eastAsia="arial" w:hAnsi="arial" w:cs="arial"/>
          <w:color w:val="000000"/>
          <w:sz w:val="20"/>
          <w:lang w:val="en-US" w:eastAsia="en-US" w:bidi="ar-SA"/>
        </w:rPr>
        <w:t>). An employer has the right to set reasonable directions or procedures and to expect that employees will follow them (</w:t>
      </w:r>
      <w:r>
        <w:rPr>
          <w:rFonts w:ascii="arial" w:eastAsia="arial" w:hAnsi="arial" w:cs="arial"/>
          <w:b/>
          <w:i/>
          <w:color w:val="000000"/>
          <w:sz w:val="20"/>
          <w:lang w:val="en-US" w:eastAsia="en-US" w:bidi="ar-SA"/>
        </w:rPr>
        <w:t>Stein v. British Columbia (Housing Management Commission)</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(1992), 65 B.C.L.R. (2d) 181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Billows v. Canarc Forest Products Ltd.</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(2003), 27 C.C.E.L. (3d) 188</w:t>
        </w:r>
      </w:hyperlink>
      <w:r>
        <w:rPr>
          <w:rFonts w:ascii="arial" w:eastAsia="arial" w:hAnsi="arial" w:cs="arial"/>
          <w:color w:val="000000"/>
          <w:sz w:val="20"/>
          <w:lang w:val="en-US" w:eastAsia="en-US" w:bidi="ar-SA"/>
        </w:rPr>
        <w:t xml:space="preserve"> at 203 (B.C.S.C.)). Insubordination by failure to follow procedures can be cause for dismissal (</w:t>
      </w:r>
      <w:r>
        <w:rPr>
          <w:rFonts w:ascii="arial" w:eastAsia="arial" w:hAnsi="arial" w:cs="arial"/>
          <w:b/>
          <w:i/>
          <w:color w:val="000000"/>
          <w:sz w:val="20"/>
          <w:lang w:val="en-US" w:eastAsia="en-US" w:bidi="ar-SA"/>
        </w:rPr>
        <w:t>Candy v. C.H.E. Pharmacy Inc.</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(1997), 31 B.C.L.R. (3d) 12</w:t>
        </w:r>
      </w:hyperlink>
      <w:r>
        <w:rPr>
          <w:rFonts w:ascii="arial" w:eastAsia="arial" w:hAnsi="arial" w:cs="arial"/>
          <w:color w:val="000000"/>
          <w:sz w:val="20"/>
          <w:lang w:val="en-US" w:eastAsia="en-US" w:bidi="ar-SA"/>
        </w:rPr>
        <w:t xml:space="preserve"> at 16 (C.A.); </w:t>
      </w:r>
      <w:r>
        <w:rPr>
          <w:rFonts w:ascii="arial" w:eastAsia="arial" w:hAnsi="arial" w:cs="arial"/>
          <w:b/>
          <w:i/>
          <w:color w:val="000000"/>
          <w:sz w:val="20"/>
          <w:lang w:val="en-US" w:eastAsia="en-US" w:bidi="ar-SA"/>
        </w:rPr>
        <w:t>Aeichele v. Jim Pattison Industries Ltd.</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(1992), 44 C.C.E.L. 296</w:t>
        </w:r>
      </w:hyperlink>
      <w:r>
        <w:rPr>
          <w:rFonts w:ascii="arial" w:eastAsia="arial" w:hAnsi="arial" w:cs="arial"/>
          <w:color w:val="000000"/>
          <w:sz w:val="20"/>
          <w:lang w:val="en-US" w:eastAsia="en-US" w:bidi="ar-SA"/>
        </w:rPr>
        <w:t xml:space="preserve"> at 302 (B.C.S.C.) [</w:t>
      </w:r>
      <w:r>
        <w:rPr>
          <w:rFonts w:ascii="arial" w:eastAsia="arial" w:hAnsi="arial" w:cs="arial"/>
          <w:b/>
          <w:i/>
          <w:color w:val="000000"/>
          <w:sz w:val="20"/>
          <w:lang w:val="en-US" w:eastAsia="en-US" w:bidi="ar-SA"/>
        </w:rPr>
        <w:t>Aeichele</w:t>
      </w:r>
      <w:r>
        <w:rPr>
          <w:rFonts w:ascii="arial" w:eastAsia="arial" w:hAnsi="arial" w:cs="arial"/>
          <w:color w:val="000000"/>
          <w:sz w:val="20"/>
          <w:lang w:val="en-US" w:eastAsia="en-US" w:bidi="ar-SA"/>
        </w:rPr>
        <w:t>]). The diversion of company funds for personal purposes in a deceptive and devious manner may justify dismissal despite the fact that no monetary damage has resulted to the company as this conduct represents a complete breakdown of trust (</w:t>
      </w:r>
      <w:r>
        <w:rPr>
          <w:rFonts w:ascii="arial" w:eastAsia="arial" w:hAnsi="arial" w:cs="arial"/>
          <w:b/>
          <w:i/>
          <w:color w:val="000000"/>
          <w:sz w:val="20"/>
          <w:lang w:val="en-US" w:eastAsia="en-US" w:bidi="ar-SA"/>
        </w:rPr>
        <w:t>Christensen v. McDougall</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(2001), 14 C.C.E.L. (3d) 44</w:t>
        </w:r>
      </w:hyperlink>
      <w:r>
        <w:rPr>
          <w:rFonts w:ascii="arial" w:eastAsia="arial" w:hAnsi="arial" w:cs="arial"/>
          <w:color w:val="000000"/>
          <w:sz w:val="20"/>
          <w:lang w:val="en-US" w:eastAsia="en-US" w:bidi="ar-SA"/>
        </w:rPr>
        <w:t xml:space="preserve"> at para. 69 (Ont. Sup. Ct.)). An employee responsible for the financial operations of a company must be forthright about the availability of financial statements and submit reports as requested (</w:t>
      </w:r>
      <w:r>
        <w:rPr>
          <w:rFonts w:ascii="arial" w:eastAsia="arial" w:hAnsi="arial" w:cs="arial"/>
          <w:b/>
          <w:i/>
          <w:color w:val="000000"/>
          <w:sz w:val="20"/>
          <w:lang w:val="en-US" w:eastAsia="en-US" w:bidi="ar-SA"/>
        </w:rPr>
        <w:t>MacDonald v. Tamitik Status of Women Assn.</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[1998] B.C.J. No. 2709</w:t>
        </w:r>
      </w:hyperlink>
      <w:r>
        <w:rPr>
          <w:rFonts w:ascii="arial" w:eastAsia="arial" w:hAnsi="arial" w:cs="arial"/>
          <w:color w:val="000000"/>
          <w:sz w:val="20"/>
          <w:lang w:val="en-US" w:eastAsia="en-US" w:bidi="ar-SA"/>
        </w:rPr>
        <w:t xml:space="preserve"> at paras. 44-49 (S.C.)). The ordering of product without authorization in contravention of policy may also be ground for dismissal (</w:t>
      </w:r>
      <w:r>
        <w:rPr>
          <w:rFonts w:ascii="arial" w:eastAsia="arial" w:hAnsi="arial" w:cs="arial"/>
          <w:b/>
          <w:i/>
          <w:color w:val="000000"/>
          <w:sz w:val="20"/>
          <w:lang w:val="en-US" w:eastAsia="en-US" w:bidi="ar-SA"/>
        </w:rPr>
        <w:t>Mitran v. Guarantee RV Centre Inc.</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[1999] A.J. No. 403</w:t>
        </w:r>
      </w:hyperlink>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1999 ABQB 276</w:t>
        </w:r>
      </w:hyperlink>
      <w:r>
        <w:rPr>
          <w:rFonts w:ascii="arial" w:eastAsia="arial" w:hAnsi="arial" w:cs="arial"/>
          <w:color w:val="000000"/>
          <w:sz w:val="20"/>
          <w:lang w:val="en-US" w:eastAsia="en-US" w:bidi="ar-SA"/>
        </w:rPr>
        <w:t>). Finally, failure of an employee to attend at a crucial business time may constitute wilful disregard of specific orders or instructions (</w:t>
      </w:r>
      <w:r>
        <w:rPr>
          <w:rFonts w:ascii="arial" w:eastAsia="arial" w:hAnsi="arial" w:cs="arial"/>
          <w:b/>
          <w:i/>
          <w:color w:val="000000"/>
          <w:sz w:val="20"/>
          <w:lang w:val="en-US" w:eastAsia="en-US" w:bidi="ar-SA"/>
        </w:rPr>
        <w:t>Aeichele</w:t>
      </w:r>
      <w:r>
        <w:rPr>
          <w:rFonts w:ascii="arial" w:eastAsia="arial" w:hAnsi="arial" w:cs="arial"/>
          <w:color w:val="000000"/>
          <w:sz w:val="20"/>
          <w:lang w:val="en-US" w:eastAsia="en-US" w:bidi="ar-SA"/>
        </w:rPr>
        <w:t xml:space="preserve"> at paras. 23-27).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However, all misconduct must be assessed as to nature and degree within a contextual approach to determine whether it warrants dismissal. The principle from </w:t>
      </w:r>
      <w:r>
        <w:rPr>
          <w:rFonts w:ascii="arial" w:eastAsia="arial" w:hAnsi="arial" w:cs="arial"/>
          <w:b/>
          <w:i/>
          <w:color w:val="000000"/>
          <w:sz w:val="20"/>
          <w:lang w:val="en-US" w:eastAsia="en-US" w:bidi="ar-SA"/>
        </w:rPr>
        <w:t>McKinley v. BC Tel</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[2001] 2 S.C.R. 161</w:t>
        </w:r>
      </w:hyperlink>
      <w:r>
        <w:rPr>
          <w:rFonts w:ascii="arial" w:eastAsia="arial" w:hAnsi="arial" w:cs="arial"/>
          <w:color w:val="000000"/>
          <w:sz w:val="20"/>
          <w:lang w:val="en-US" w:eastAsia="en-US" w:bidi="ar-SA"/>
        </w:rPr>
        <w:t xml:space="preserve"> at para. 57 concerning dishonesty, that each case is to be considered within its own facts and circumstances and each dishonesty assessed as to nature and seriousness so to determine whether it is reconcilable with sustaining the employment relationship, applies equally to insubordination and other acts of misconduct. Conduct that causes an employer to lose trust in an employee in a responsible position may so undermine the relationship as to justify dismissal.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Chan was hired by Au in a position of trust to oversee all of Au's Canadian operations. Au established particular systems to ensure that he maintained control over the businesses including authorization of expenditures and approval of payment of creditors. Chan knew the limits of his authority, the procedures that were in place, and Au's regard for detail. Without regard to Au's failure to approve the vinyl expenditure beyond insurable replacements, Chan proceeded despite prior warning not to overspend. When Au specifically refused to fund the expenditure, Chan paid for it himself rather than let Au learn through a lien that Chan had authorized the expenditure. When Chan became concerned that he would not be reimbursed for the expense, he diverted monies from an account that he had been specifically told not to touch, placed the funds into an account over which he had some control, and then repaid himself beyond his authorized cheque signing limit in a manner that was not transparent. This constituted serious misconduct over several months. At the same time, Chan refused to prepare proper financial information over many months and refused on many occasions to provide the financial information to an assistant upon order. When the financial information was eventually provided, it was in such unusable form as to constitute incompetence for someone who described himself as sharp and precise in accounting. Chan had failed to forward important tax and other correspondence, had failed to advise that he was leaving for vacation at a crucial business time, and had instructed staff not to inform Au about certain dealings. In all of the circumstances, this misconduct warranted summary dismissal as it undermined completely the trust in the employment relationship that was so essential when Au was in Hong Kong and relied completely on Chan to report on and generally manage all business affairs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reject Chan's testimony that he never thought that his job was in jeopardy. He had diverted funds over which he had no authority into an account that he controlled in order to pay himself monies over his spending limit without specific authorization after the expenditure had been clearly not authorized. Au had been clearly upset with Chan's disclosure to Revenue Canada and his failure to provide the accounts of Pacific Towers for three years. He had taken vacation at a crucial business time and characterized his absence as a "disappearance". He had been warned by Au not to overspend and his conduct had been directly chastised. Chan had been warned from time to time that he was deficient or incompetent but similar incidents continued to occur. In these circumstances, having been told to comply with instructions many times and reminded of the limits of his authority on several occasions, Chan continued with his misconduct and ignored instructions. I conclude that he must have known when he went on vacation in October 2002 that he was incapable of performing the work and that his conduct was endangering his position. I also conclude that any specific warning would have had little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counterclaim for the amount expended on the vinyl in excess of authorization is dismissed as Au ultimately benefited from this expenditure.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respect to the alleged defamation, the defence of truth has been made out. In any event, the chief operating officer and the administrative assistant had legitimate business reasons to receive the information about Chan's termination as the chief operating officer was expected to assume responsibility for Chan's work and attend to matters such as changing bank accounts and directorships. The administrative assistant was responsible for the financial records. Qualified privilege applies to the termination letter that had limited publication (</w:t>
      </w:r>
      <w:r>
        <w:rPr>
          <w:rFonts w:ascii="arial" w:eastAsia="arial" w:hAnsi="arial" w:cs="arial"/>
          <w:b/>
          <w:i/>
          <w:color w:val="000000"/>
          <w:sz w:val="20"/>
          <w:lang w:val="en-US" w:eastAsia="en-US" w:bidi="ar-SA"/>
        </w:rPr>
        <w:t>Haight-Smith v. Neden</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(2002), 98 B.C.L.R. (3d) 260</w:t>
        </w:r>
      </w:hyperlink>
      <w:r>
        <w:rPr>
          <w:rFonts w:ascii="arial" w:eastAsia="arial" w:hAnsi="arial" w:cs="arial"/>
          <w:color w:val="000000"/>
          <w:sz w:val="20"/>
          <w:lang w:val="en-US" w:eastAsia="en-US" w:bidi="ar-SA"/>
        </w:rPr>
        <w:t xml:space="preserve"> at paras. 52-55 (C.A.); </w:t>
      </w:r>
      <w:r>
        <w:rPr>
          <w:rFonts w:ascii="arial" w:eastAsia="arial" w:hAnsi="arial" w:cs="arial"/>
          <w:b/>
          <w:i/>
          <w:color w:val="000000"/>
          <w:sz w:val="20"/>
          <w:lang w:val="en-US" w:eastAsia="en-US" w:bidi="ar-SA"/>
        </w:rPr>
        <w:t>Litster v. British Columbia Ferry Corp.</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(2003), 24 C.C.E.L. (3d) 95</w:t>
        </w:r>
      </w:hyperlink>
      <w:r>
        <w:rPr>
          <w:rFonts w:ascii="arial" w:eastAsia="arial" w:hAnsi="arial" w:cs="arial"/>
          <w:color w:val="000000"/>
          <w:sz w:val="20"/>
          <w:lang w:val="en-US" w:eastAsia="en-US" w:bidi="ar-SA"/>
        </w:rPr>
        <w:t xml:space="preserve"> at paras. 124-126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claim is dismissed with costs to the defendant at Scale 3. The counterclaim is dismissed without costs as the matter was totally tied into the main claim.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036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Chan v. Wong, [2004] B.C.J. No. 3028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 and 23,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S52837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3028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1535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C.P.C. (6th) 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567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3685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Sai Po Chan also known as Patty Chan, Plaintiff, and King Wong also known as Steve Wong,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jc w:val="both"/>
        <w:rPr>
          <w:rFonts w:ascii="arial" w:eastAsia="arial" w:hAnsi="arial" w:cs="arial"/>
          <w:sz w:val="20"/>
          <w:lang w:val="en-US" w:eastAsia="en-US" w:bidi="ar-SA"/>
        </w:rPr>
      </w:pPr>
      <w:bookmarkStart w:id="150" w:name="Counsel_42"/>
      <w:bookmarkEnd w:id="1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K.D. Darling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D.H. Pihl,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1" w:name="Judgment_42"/>
      <w:bookmarkEnd w:id="151"/>
      <w:r>
        <w:pict>
          <v:line id="_x0000_s1174" style="position:absolute;z-index:2517596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2" w:name="BARROW J."/>
            <w:bookmarkEnd w:id="152"/>
            <w:r>
              <w:rPr>
                <w:rFonts w:ascii="arial" w:eastAsia="arial" w:hAnsi="arial" w:cs="arial"/>
                <w:b/>
                <w:color w:val="000000"/>
                <w:sz w:val="30"/>
                <w:lang w:val="en-US" w:eastAsia="en-US" w:bidi="ar-SA"/>
              </w:rPr>
              <w:t>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Steve Wong, for a summary determination of an issue of fact arising out of a motor vehicle accident that occurred on January 6, 2001. There is also before me an application by the plaintiff pursuant to Rule 18A(8) of the  for an order that the defendant's application be dismissed. The trial of the matter is set for May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a passenger in the back seat of a vehicle driven by the defendant. The defendant lost control of the vehicle and it left the highway and rolled over. In the course of the accident, the roof of the vehicle was torn off; the plaintiff was ejected and suffered injuries. Liability for the accident remains in issue. The defendant is seeking a declaration that the plaintiff was not wearing a seat belt at the time of the collision. No declaration or finding is sought as to whether, and if so to what extent, a failure to wear a seat belt contributed to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two issues for resolution. The first is evidentiary in nature. The defendant seeks to rely on deposition evidence in support of its position. The plaintiff takes the position that such evidence is inadmissible on a summary trial. The second issue is whether it is appropriate to deal with the determination sought by the defendant under Rule 18A at all. The plaintiff is opposed to this issue being dealt with in isolation from the other issues that will remain outstanding, whereas the defendant takes the position that it is a discrete issue well suited to resolution in the summary trial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Use of Deposition Evidence in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deposition evidence to which objection is taken is from two of the three occupants of the vehicle - the defendant driver and Ms. Kaman Law, who was the front-seat passenger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Wong and Ms. Law are both residents of Hong Kong. The parties consented to an order that their evidence be taken by a videotaped deposition under Rule 38. The order expressly contemplates that the resulting deposition, together with any transcripts and videotape, would be tendered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18A(3) provides as follows in relation to evidence in the context of summary trials:</w:t>
      </w:r>
      <w:r>
        <w:rPr>
          <w:rFonts w:ascii="arial" w:eastAsia="arial" w:hAnsi="arial" w:cs="arial"/>
          <w:sz w:val="20"/>
          <w:lang w:val="en-US" w:eastAsia="en-US" w:bidi="ar-SA"/>
        </w:rPr>
        <w:cr/>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on an application under subrule (1), the applicant and each other party of record may adduce evidence by any or all of the following: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answer, or part of an answer, to interrogatories;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 of the evidence taken on an examination for discovery;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admission under Rule 31;</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statement setting out the opinion of an expert, if</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conforms with Rule 40A(5), or</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orders that the statement is admissible even though it does not conform with Rule 40A(5).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Deposition evidence is not on the list of specifically sanctioned forms of evidence. The plaintiff argues that its absence is significant, particularly given the history of the </w:t>
      </w:r>
      <w:r>
        <w:rPr>
          <w:rFonts w:ascii="arial" w:eastAsia="arial" w:hAnsi="arial" w:cs="arial"/>
          <w:b/>
          <w:i/>
          <w:color w:val="000000"/>
          <w:sz w:val="20"/>
          <w:lang w:val="en-US" w:eastAsia="en-US" w:bidi="ar-SA"/>
        </w:rPr>
        <w:t>Rule</w:t>
      </w:r>
      <w:r>
        <w:rPr>
          <w:rFonts w:ascii="arial" w:eastAsia="arial" w:hAnsi="arial" w:cs="arial"/>
          <w:color w:val="000000"/>
          <w:sz w:val="20"/>
          <w:lang w:val="en-US" w:eastAsia="en-US" w:bidi="ar-SA"/>
        </w:rPr>
        <w:t xml:space="preserve"> and the jurisprudence that interpreted earlier versions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Hunt</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T &amp; N, plc</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[1990] B.C.J. No. 1169</w:t>
        </w:r>
      </w:hyperlink>
      <w:r>
        <w:rPr>
          <w:rFonts w:ascii="arial" w:eastAsia="arial" w:hAnsi="arial" w:cs="arial"/>
          <w:color w:val="000000"/>
          <w:sz w:val="20"/>
          <w:lang w:val="en-US" w:eastAsia="en-US" w:bidi="ar-SA"/>
        </w:rPr>
        <w:t>, Master Kirkpatrick (as she then was) was faced with an application to allow a witness to be examined by way of deposition under Rule 38. In the context of that application, the issue of the admissibility of disposition evidence on summary trial applications arose. In 1990, Rule 18A(2) read, in part, that "on an application under this rule, the applicant and each other party of record may adduce evidence which shall be by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issue of the admissibility of depositions on summary trials, Master Kirkpatrick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recognize that there are significant differences between "trials" governed by rule 39 and applications under rule 18A. One such difference is that at the end of the process, the matter may be returned to the trial list. But the procedure is nevertheless akin to that of a trial ... The party who asserts the affirmative must prove it on a balance of probabilities. It seems to me just that a party having that burden be enabled to produce the evidence available to it on the rule 18A 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therefore concluded that, notwithstanding the strict reading of rules 18A and 38(2), deposition evidence should be available to applicants under rule 18A. In order that the evidence conforms to the requirement of rule 18(A)(2) that the evidence shall be by affidavit, it seems to me that the transcript of the deposition should be attached as an exhibit to the affidavit of a person who has personal knowledge of the deposition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Issues arose in other cases regarding the admissibility of various other kinds of evidence in proceedings taken under the former Rule 18A(2). Most notably the question of the admissibility of examination for discovery evidence proved troublesome for the reasons set out by Thackery J. (as he then was) in </w:t>
      </w:r>
      <w:r>
        <w:rPr>
          <w:rFonts w:ascii="arial" w:eastAsia="arial" w:hAnsi="arial" w:cs="arial"/>
          <w:b/>
          <w:i/>
          <w:color w:val="000000"/>
          <w:sz w:val="20"/>
          <w:lang w:val="en-US" w:eastAsia="en-US" w:bidi="ar-SA"/>
        </w:rPr>
        <w:t>Advanced Mobile Welding Co.</w:t>
      </w:r>
      <w:r>
        <w:rPr>
          <w:rFonts w:ascii="arial" w:eastAsia="arial" w:hAnsi="arial" w:cs="arial"/>
          <w:b/>
          <w:color w:val="000000"/>
          <w:sz w:val="20"/>
          <w:lang w:val="en-US" w:eastAsia="en-US" w:bidi="ar-SA"/>
        </w:rPr>
        <w:t xml:space="preserve"> v</w:t>
      </w:r>
      <w:r>
        <w:rPr>
          <w:rFonts w:ascii="arial" w:eastAsia="arial" w:hAnsi="arial" w:cs="arial"/>
          <w:b/>
          <w:i/>
          <w:color w:val="000000"/>
          <w:sz w:val="20"/>
          <w:lang w:val="en-US" w:eastAsia="en-US" w:bidi="ar-SA"/>
        </w:rPr>
        <w:t>. Quartz Ventures Ltd.</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(1991), 60 B.C.L.R. (2d) 235</w:t>
        </w:r>
      </w:hyperlink>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50 C. L. R. 29</w:t>
        </w:r>
      </w:hyperlink>
      <w:r>
        <w:rPr>
          <w:rFonts w:ascii="arial" w:eastAsia="arial" w:hAnsi="arial" w:cs="arial"/>
          <w:color w:val="000000"/>
          <w:sz w:val="20"/>
          <w:lang w:val="en-US" w:eastAsia="en-US" w:bidi="ar-SA"/>
        </w:rPr>
        <w:t xml:space="preserve"> (S.C.). By </w:t>
      </w:r>
      <w:r>
        <w:rPr>
          <w:rFonts w:ascii="arial" w:eastAsia="arial" w:hAnsi="arial" w:cs="arial"/>
          <w:b/>
          <w:i/>
          <w:color w:val="000000"/>
          <w:sz w:val="20"/>
          <w:lang w:val="en-US" w:eastAsia="en-US" w:bidi="ar-SA"/>
        </w:rPr>
        <w:t>B.C. Reg</w:t>
      </w:r>
      <w:r>
        <w:rPr>
          <w:rFonts w:ascii="arial" w:eastAsia="arial" w:hAnsi="arial" w:cs="arial"/>
          <w:color w:val="000000"/>
          <w:sz w:val="20"/>
          <w:lang w:val="en-US" w:eastAsia="en-US" w:bidi="ar-SA"/>
        </w:rPr>
        <w:t xml:space="preserve">. 95/96 s. 7, the former Rule 18A was repealed and replaced with the current version. The current version specifically addresses the concerns expressed in </w:t>
      </w:r>
      <w:r>
        <w:rPr>
          <w:rFonts w:ascii="arial" w:eastAsia="arial" w:hAnsi="arial" w:cs="arial"/>
          <w:b/>
          <w:i/>
          <w:color w:val="000000"/>
          <w:sz w:val="20"/>
          <w:lang w:val="en-US" w:eastAsia="en-US" w:bidi="ar-SA"/>
        </w:rPr>
        <w:t>Advanced Mobile Welding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argues that the fact that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were amended following the decision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but still do not include a reference to depositions, is a circumstance from which I should infer that the intent of the legislature was to render deposition evidence inadmissible on applications under Rule 18A. The plaintiff argues that further support for its position can be found in the fact that Rule 18A(4), which incorporates various parts of Rule 40, which in turn deals with evidence at trial, does not incorporate Rule 40(26) which governs the use of deposition evidence at trial. Failure to incorporate this subrule is said to be further evidence of a legislative intention not to permit deposition evidence on Rule 18A hearings.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Finally, the plaintiff argues that the depositions are closely related to the pre-trial examinations of witnesses provided for under Rule 28. In </w:t>
      </w:r>
      <w:r>
        <w:rPr>
          <w:rFonts w:ascii="arial" w:eastAsia="arial" w:hAnsi="arial" w:cs="arial"/>
          <w:b/>
          <w:i/>
          <w:color w:val="000000"/>
          <w:sz w:val="20"/>
          <w:lang w:val="en-US" w:eastAsia="en-US" w:bidi="ar-SA"/>
        </w:rPr>
        <w:t>Kuryliw</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Kuryliw</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(1994), 89 B.C.L.R. (2d) 52</w:t>
        </w:r>
      </w:hyperlink>
      <w:r>
        <w:rPr>
          <w:rFonts w:ascii="arial" w:eastAsia="arial" w:hAnsi="arial" w:cs="arial"/>
          <w:color w:val="000000"/>
          <w:sz w:val="20"/>
          <w:lang w:val="en-US" w:eastAsia="en-US" w:bidi="ar-SA"/>
        </w:rPr>
        <w:t xml:space="preserve">, 23 C.P.C. (3d) 89 (S.C.), the court held that such pre-trial examinations are not admissible on applications under Rule 18A. By analogy, the plaintiff argues, the same result should obtain in relation to deposition evidence. On a related point, the plaintiff argues that the decision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has been questioned in subsequent cases, notably, </w:t>
      </w:r>
      <w:r>
        <w:rPr>
          <w:rFonts w:ascii="arial" w:eastAsia="arial" w:hAnsi="arial" w:cs="arial"/>
          <w:b/>
          <w:i/>
          <w:color w:val="000000"/>
          <w:sz w:val="20"/>
          <w:lang w:val="en-US" w:eastAsia="en-US" w:bidi="ar-SA"/>
        </w:rPr>
        <w:t>Milsom</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Holien</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(2001), 40 E.T.R. (2d) 77</w:t>
        </w:r>
      </w:hyperlink>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2001 BCSC 868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my view, deposition evidence is admissible on applications under Rule 18A largely for the reasons expressed by Master Kirkpatrick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First, if it is put before the court in the fashion suggested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then it is an affidavit and thus complies with the literal requirements of the </w:t>
      </w:r>
      <w:r>
        <w:rPr>
          <w:rFonts w:ascii="arial" w:eastAsia="arial" w:hAnsi="arial" w:cs="arial"/>
          <w:b/>
          <w:i/>
          <w:color w:val="000000"/>
          <w:sz w:val="20"/>
          <w:lang w:val="en-US" w:eastAsia="en-US" w:bidi="ar-SA"/>
        </w:rPr>
        <w:t>Rule</w:t>
      </w:r>
      <w:r>
        <w:rPr>
          <w:rFonts w:ascii="arial" w:eastAsia="arial" w:hAnsi="arial" w:cs="arial"/>
          <w:color w:val="000000"/>
          <w:sz w:val="20"/>
          <w:lang w:val="en-US" w:eastAsia="en-US" w:bidi="ar-SA"/>
        </w:rPr>
        <w:t>. Second, there is no reason, in principle, for excluding it. It would be put before the court in precisely the same form on a full trial as on a summary trial. A court, in a full trial, would be in no better position to assess the evidence than is a judge sitting on an application under Rule 18A. Third, to exclude it would be to exclude from the reach of the summary trial procedure all cases in which, for one reason or another, deposition evidence has been taken and is necessary for a just resolution of the issue. Finally, if the admission of deposition evidence in any specific circumstance would render the process either unmanageable or otherwise unfair, the court has the discretion to address that either by ordering otherwise as provided in the opening phrase of Rule 18A(3) or through the more general discretion conferred by Rule 18A(11).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am not persuaded that the omission of deposition evidence from the list of admissible evidence in Rule 18A(3) is indicative of a legislative intention to exclude such evidence. To the contrary, the law as it stood when the amendments were made was to the effect that deposition evidence was admissible provided it was exhibited to an affidavit in the manner suggested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Nothing in the </w:t>
      </w:r>
      <w:r>
        <w:rPr>
          <w:rFonts w:ascii="arial" w:eastAsia="arial" w:hAnsi="arial" w:cs="arial"/>
          <w:b/>
          <w:i/>
          <w:color w:val="000000"/>
          <w:sz w:val="20"/>
          <w:lang w:val="en-US" w:eastAsia="en-US" w:bidi="ar-SA"/>
        </w:rPr>
        <w:t>Rule</w:t>
      </w:r>
      <w:r>
        <w:rPr>
          <w:rFonts w:ascii="arial" w:eastAsia="arial" w:hAnsi="arial" w:cs="arial"/>
          <w:color w:val="000000"/>
          <w:sz w:val="20"/>
          <w:lang w:val="en-US" w:eastAsia="en-US" w:bidi="ar-SA"/>
        </w:rPr>
        <w:t>, as amended, puts that procedure or that result in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pointed out above, the plaintiff argues that the failure to incorporate Rule 40(26), which deals with deposition evidence at trial, into Rule 18A is indicative of the legislature's intention to exclude deposition evidence from the summary trial process. I consider that Rule 40(26) was not incorporated because to do so was unnecessary. Rule 40(26)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deposition is given in evidence,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subrule (31) applies,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deposition shall be presented in full, unless otherwise agreed by the parties or ordered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40(31) is specifically incorporated into Rule 18A by subrule (4), and thus it is unnecessary to incorporate it again through the adoption of Rule 40(26). As to subrule 26(b), it sets as the default position the inclusion of the entire deposition but permits the court to order otherwise. Under Rule 18A, the court has the discretion to "otherwise order" when considering whether to admit deposition evidence. In effect, the discretion conferred by Rule 40(26)(b) on trial judges is reposed in judges presiding on applications under Rule 18A by the opening phrase of in 18A(3). Therefore, it does not follow, in my view, that the failure to incorporate Rule 40(26) into Rule 18A is indicative of a legislative intention to put deposition evidence beyond the reach of the court when hearing applications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Finally, I am not persuaded that the exclusion of Rule 28 examinations is helpful to the resolution of this issue. The purpose of an examination under Rule 28 is quite different than that under Rule 38. The distinction is described in the following terms by Fraser and Horn in </w:t>
      </w:r>
      <w:r>
        <w:rPr>
          <w:rFonts w:ascii="arial" w:eastAsia="arial" w:hAnsi="arial" w:cs="arial"/>
          <w:b/>
          <w:i/>
          <w:color w:val="000000"/>
          <w:sz w:val="20"/>
          <w:lang w:val="en-US" w:eastAsia="en-US" w:bidi="ar-SA"/>
        </w:rPr>
        <w:t>The Conduct of Civil Litigation in British Columbia</w:t>
      </w:r>
      <w:r>
        <w:rPr>
          <w:rFonts w:ascii="arial" w:eastAsia="arial" w:hAnsi="arial" w:cs="arial"/>
          <w:color w:val="000000"/>
          <w:sz w:val="20"/>
          <w:lang w:val="en-US" w:eastAsia="en-US" w:bidi="ar-SA"/>
        </w:rPr>
        <w:t>, (Vancouver: Butterworths, 1978) at p. 423: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deposition is the examination of a witness before trial, held (ordinarily) so that a record of that witness's evidence may be tendered at trial rather than having the witness attend in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entirely different from that provided by Rule 28 "Pre-trial Examination of Witness" which is designed to compel disclosure of information from uncooperative witnesses; in the latter, the transcript of the evidence is not ordinarily admissible at trial (Rule 40(30)).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admissibility of evidence under Rule 28 at a trial is circumscribed by operation of Rule 40(30). It is for that reason, according to Allan J., that it has been omitted from the list of forms of evidence in Rule 18A(3) (see </w:t>
      </w:r>
      <w:r>
        <w:rPr>
          <w:rFonts w:ascii="arial" w:eastAsia="arial" w:hAnsi="arial" w:cs="arial"/>
          <w:b/>
          <w:i/>
          <w:color w:val="000000"/>
          <w:sz w:val="20"/>
          <w:lang w:val="en-US" w:eastAsia="en-US" w:bidi="ar-SA"/>
        </w:rPr>
        <w:t>Western Delta Lands Partnership</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3557537 Canada Inc.</w:t>
      </w:r>
      <w:r>
        <w:rPr>
          <w:rFonts w:ascii="arial" w:eastAsia="arial" w:hAnsi="arial" w:cs="arial"/>
          <w:color w:val="000000"/>
          <w:sz w:val="20"/>
          <w:lang w:val="en-US" w:eastAsia="en-US" w:bidi="ar-SA"/>
        </w:rPr>
        <w:t xml:space="preserve"> (2000), 44 C. P.C. (4th) 382, </w:t>
      </w:r>
      <w:hyperlink r:id="rId844" w:history="1">
        <w:r>
          <w:rPr>
            <w:rFonts w:ascii="arial" w:eastAsia="arial" w:hAnsi="arial" w:cs="arial"/>
            <w:i/>
            <w:color w:val="0077CC"/>
            <w:sz w:val="20"/>
            <w:u w:val="single"/>
            <w:shd w:val="clear" w:color="auto" w:fill="FFFFFF"/>
            <w:lang w:val="en-US" w:eastAsia="en-US" w:bidi="ar-SA"/>
          </w:rPr>
          <w:t>2000 BCSC 54</w:t>
        </w:r>
      </w:hyperlink>
      <w:r>
        <w:rPr>
          <w:rFonts w:ascii="arial" w:eastAsia="arial" w:hAnsi="arial" w:cs="arial"/>
          <w:color w:val="000000"/>
          <w:sz w:val="20"/>
          <w:lang w:val="en-US" w:eastAsia="en-US" w:bidi="ar-SA"/>
        </w:rPr>
        <w:t>, at para. 46). There is no similar limitation on the admissibility of evidence taken under Rule 38. Indeed, the pre-condition to accessing the Rule 38 procedure is one of the circumstances that operates exceptionally to make Rule 28 evidence admissible (namely, Rule 40(30)(b)). For these reasons, the argument by analogy to Rule 28 is not of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also argues that the decision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has been questioned in </w:t>
      </w:r>
      <w:r>
        <w:rPr>
          <w:rFonts w:ascii="arial" w:eastAsia="arial" w:hAnsi="arial" w:cs="arial"/>
          <w:b/>
          <w:i/>
          <w:color w:val="000000"/>
          <w:sz w:val="20"/>
          <w:lang w:val="en-US" w:eastAsia="en-US" w:bidi="ar-SA"/>
        </w:rPr>
        <w:t>Milsom.</w:t>
      </w:r>
      <w:r>
        <w:rPr>
          <w:rFonts w:ascii="arial" w:eastAsia="arial" w:hAnsi="arial" w:cs="arial"/>
          <w:color w:val="000000"/>
          <w:sz w:val="20"/>
          <w:lang w:val="en-US" w:eastAsia="en-US" w:bidi="ar-SA"/>
        </w:rPr>
        <w:t xml:space="preserve"> In that case, witnesses had been examined under Rule 28. They then swore affidavits to which they exhibited the transcripts of their Rule 28 examinations. In proceeding in that fashion, they purported to rely on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Ross J. pointed out that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dealt with Rule 38 transcripts and not Rule 28 transcripts, and in light of </w:t>
      </w:r>
      <w:r>
        <w:rPr>
          <w:rFonts w:ascii="arial" w:eastAsia="arial" w:hAnsi="arial" w:cs="arial"/>
          <w:b/>
          <w:i/>
          <w:color w:val="000000"/>
          <w:sz w:val="20"/>
          <w:lang w:val="en-US" w:eastAsia="en-US" w:bidi="ar-SA"/>
        </w:rPr>
        <w:t>Kuryliw</w:t>
      </w:r>
      <w:r>
        <w:rPr>
          <w:rFonts w:ascii="arial" w:eastAsia="arial" w:hAnsi="arial" w:cs="arial"/>
          <w:color w:val="000000"/>
          <w:sz w:val="20"/>
          <w:lang w:val="en-US" w:eastAsia="en-US" w:bidi="ar-SA"/>
        </w:rPr>
        <w:t xml:space="preserve">, it was doubtful whether the procedure applied to the latter type of transcripts. I do not consider </w:t>
      </w:r>
      <w:r>
        <w:rPr>
          <w:rFonts w:ascii="arial" w:eastAsia="arial" w:hAnsi="arial" w:cs="arial"/>
          <w:b/>
          <w:i/>
          <w:color w:val="000000"/>
          <w:sz w:val="20"/>
          <w:lang w:val="en-US" w:eastAsia="en-US" w:bidi="ar-SA"/>
        </w:rPr>
        <w:t>Milsom</w:t>
      </w:r>
      <w:r>
        <w:rPr>
          <w:rFonts w:ascii="arial" w:eastAsia="arial" w:hAnsi="arial" w:cs="arial"/>
          <w:color w:val="000000"/>
          <w:sz w:val="20"/>
          <w:lang w:val="en-US" w:eastAsia="en-US" w:bidi="ar-SA"/>
        </w:rPr>
        <w:t xml:space="preserve">to be questioning or expressing disapproval of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rather, it merely recognizes that different considerations govern the admissibility of Rule 28 evidence. Those considerations are not overcome or addressed by simply exhibiting the transcripts to affidavits and adopting their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conclusion, I am satisfied that the deposition evidence sought to be relied on by the plaintiff is admissible in the context of this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Suitability for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her examination for discovery, the plaintiff said that she was asleep at the time of the accident and could not remember if she was wearing a seat belt. In his deposition, Mr. Wong said that the plaintiff was sitting behind him in the car. Prior to the accident, he noticed that she was asleep but sitting up in her seat and that the shoulder harness of her seat belt was hanging loose beside her - that is, it did not appear that she was wearing it. Mr. Wong gave a statement to an adjuster shortly after the accident. In it he said, when describing the events just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left Princeton, I was driving, Carmen [Law] was beside me, Patty [the plaintiff] [was] behind Carmen. All of us had our seat belts on which are lap and shoulder [belts].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Later in the same statement, he said that they stopped for gas in Princeton during which they all got out of the car. On getting back in, he saw that "Carmen and Patty had their belts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her deposition Ms. Law, who was in the right front passenger's seat, said that Ms. Chan was sitting up in the back seat but sleeping. She does not know if she was wearing a seat belt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By this application, the defendant is seeking a ruling on a single and narrowly defined issue. The ruling being sought would not, if made, dispose of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 defendant is not seeking a determination of the proportion or degree of responsibility that the plaintiff bears should the court conclude she was not wearing a seat belt. Moreover, the defendant is not seeking a ruling as to whether the plaintiff's failure to wear a seat belt, should that be the conclusion, was causally connected to the injuries she has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argues that there are several reasons why it is inappropriate to deal with the limited issue that the defendant seeks to have dealt with on a summary trial. First, to do so would not result in any significant saving of time at the trial; second, there is a risk that to deal with the seat belt issue now would "embarrass" the trial process; and third, there is a conflict on the evidence, specifically the evidence of the defendant, which renders the resolution of the matter unsuitable for this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argues that, given that its deposition evidence will be in precisely the same form at trial, whatever difficulties arise in terms of resolving potential inconsistencies in his evidence will be the same whether dealt with now or later. He also argues that the resolution of the limited question that he seeks resolved may go some distance towards promoting settlement of the entire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general considerations that govern whether a matter is suitable for resolution under Rule 18A are set out in </w:t>
      </w:r>
      <w:r>
        <w:rPr>
          <w:rFonts w:ascii="arial" w:eastAsia="arial" w:hAnsi="arial" w:cs="arial"/>
          <w:b/>
          <w:i/>
          <w:color w:val="000000"/>
          <w:sz w:val="20"/>
          <w:lang w:val="en-US" w:eastAsia="en-US" w:bidi="ar-SA"/>
        </w:rPr>
        <w:t>Inspiration Management Ltd.</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McDermid St. Lawrence Ltd.</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36 C.P.C. (2d) 199</w:t>
        </w:r>
      </w:hyperlink>
      <w:r>
        <w:rPr>
          <w:rFonts w:ascii="arial" w:eastAsia="arial" w:hAnsi="arial" w:cs="arial"/>
          <w:color w:val="000000"/>
          <w:sz w:val="20"/>
          <w:lang w:val="en-US" w:eastAsia="en-US" w:bidi="ar-SA"/>
        </w:rPr>
        <w:t xml:space="preserve"> (C.A.). There McEachern C.J.B.C.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Additional considerations arise when the application for summary judgment relates only to a discrete issue as opposed to the entire cause (see generally </w:t>
      </w:r>
      <w:r>
        <w:rPr>
          <w:rFonts w:ascii="arial" w:eastAsia="arial" w:hAnsi="arial" w:cs="arial"/>
          <w:b/>
          <w:i/>
          <w:color w:val="000000"/>
          <w:sz w:val="20"/>
          <w:lang w:val="en-US" w:eastAsia="en-US" w:bidi="ar-SA"/>
        </w:rPr>
        <w:t>Iacobucci</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WIC Radio Ltd.</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(1997), 37 C.C.E.L. (2d) 112</w:t>
        </w:r>
      </w:hyperlink>
      <w:r>
        <w:rPr>
          <w:rFonts w:ascii="arial" w:eastAsia="arial" w:hAnsi="arial" w:cs="arial"/>
          <w:color w:val="000000"/>
          <w:sz w:val="20"/>
          <w:lang w:val="en-US" w:eastAsia="en-US" w:bidi="ar-SA"/>
        </w:rPr>
        <w:t xml:space="preserve">). First, there is a need to ask whether disposing of the issue or issues will significantly shorten the trial of the remaining issues. Second, consideration must be given to whether the resolution of an issue or issues might encourage settlement of the matter generally. Third, regard must be had to the potential dangers that a ruling on a limited issue poses for the trial process. These dangers were expressed by Sigurdson J. in </w:t>
      </w:r>
      <w:r>
        <w:rPr>
          <w:rFonts w:ascii="arial" w:eastAsia="arial" w:hAnsi="arial" w:cs="arial"/>
          <w:b/>
          <w:i/>
          <w:color w:val="000000"/>
          <w:sz w:val="20"/>
          <w:lang w:val="en-US" w:eastAsia="en-US" w:bidi="ar-SA"/>
        </w:rPr>
        <w:t>Canada Wide Magazines Ltd.</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Columbian Publishers Ltd.</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(1994), 55 C.P.R. (3d) 142</w:t>
        </w:r>
      </w:hyperlink>
      <w:r>
        <w:rPr>
          <w:rFonts w:ascii="arial" w:eastAsia="arial" w:hAnsi="arial" w:cs="arial"/>
          <w:color w:val="000000"/>
          <w:sz w:val="20"/>
          <w:lang w:val="en-US" w:eastAsia="en-US" w:bidi="ar-SA"/>
        </w:rPr>
        <w:t xml:space="preserve"> (B.C.S.C.) at p. 153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of Appeal has said that particular care must be taken by a chambers judge hearing an application under Rule 18A for judgment on an issue, or an application for judgment when there are proceedings in the same action that are continuing. The chambers judge should ensure that any factual or legal conclusions reached on the summary trial application do not potentially lead to inconsistent conclusions of law or inconsistent findings of fact at trial, or unintentionally restrict the factual inquiry that counsel at trial may be entitled to make on matters not resolved on the summary trial application, or affect the rights of parties not before the court on the summary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factors set out in </w:t>
      </w:r>
      <w:r>
        <w:rPr>
          <w:rFonts w:ascii="arial" w:eastAsia="arial" w:hAnsi="arial" w:cs="arial"/>
          <w:b/>
          <w:i/>
          <w:color w:val="000000"/>
          <w:sz w:val="20"/>
          <w:lang w:val="en-US" w:eastAsia="en-US" w:bidi="ar-SA"/>
        </w:rPr>
        <w:t>Inspiration Management Ltd.</w:t>
      </w:r>
      <w:r>
        <w:rPr>
          <w:rFonts w:ascii="arial" w:eastAsia="arial" w:hAnsi="arial" w:cs="arial"/>
          <w:color w:val="000000"/>
          <w:sz w:val="20"/>
          <w:lang w:val="en-US" w:eastAsia="en-US" w:bidi="ar-SA"/>
        </w:rPr>
        <w:t xml:space="preserve"> do not, when applied to this case, lead to the conclusion that the matter is beyond the reach of the summary trial process. However, a consideration of the factors that relate to a summary trial of an issue do compel me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not satisfied that the trial of the remaining issues would be shortened, never mind significantly shortened, if the issues under consideration were resolved. Liability will remain in issue even if the seat belt question is resolved. The evidence of the civilians is central to that issue. To a degree, as I will address in more detail below, credibility of those civilians may be called into question. Because of that, the entirety of their disposition evidence will likely be put before the trial judge. In addition to the evidence of the civilians on the point, expert evidence has been marshalled. On my review of the material, much of that evidence may still be necessary on the trial because it may touch on the issue of causation of the plaintiff's injuries and the effect that failing to wear a seat belt may have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question of whether settlement will be fostered through the ruling sought is difficult to answer. The parties are not in agreement on the point. In any event, it is a consideration that is rendered academic given the potential that a ruling on this single issue has to embarrass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maintains that the speed of the defendant's motor vehicle will be an issue at trial on the question of liability generally. The estimates of speed as between the defendant and Ms. Law are not necessarily consistent. The trial judge may have to reach a conclusion on that issue. That conclusion may, in turn, require an assessment of the credibility of the two witnesses. In that context, he or she may be asked to consider the apparent inconsistency between the defendant's deposition evidence on the issue of the seat belt and his evidence on that point in his statement to the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appreciate that none of what I have just mentioned may come to pass. At this juncture, however, it remains at least a reasonable possibility. Given that possibility, I am not satisfied that a decision on the narrow issue I am being asked to decide can be made without creating an unacceptable risk to the subsequent trial process. In reaching that conclusion, I have considered that at best only a limited saving to the trial process would be realized if I were to proceed 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result, I dismiss the defendant's application and grant the plaintiff's. Costs of these applications are left to the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175" style="position:absolute;z-index:25180467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McLaren v. Rice, [2008] B.C.J. No. 2648</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 Hasegawa &amp; Co. v. Pepsi Bottling Group (Canada) Co., [2000] I.L.R. para. G-1350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Moffoot v. Royal Bank of Canada, [2014] B.C.J. No. 1928</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Morrison v. Siv Apooranan, [2007] B.C.J. No. 98</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Nazerali v. Mitchell, [2015] B.C.J. No. 2987</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Nyffenegger v. Chand, [2013] B.C.J. No. 639</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Owen-Jones v. Vasir, [2019] B.C.J. No. 2231</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Owners, Strata Plan NW 3341 v. Canlan Ice Sports Corp., 2001 BREG para. 50,302</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Palmer v. Blake, [2003] I.L.R. para. M-1686</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Paniccia v. Eckert, [2013] B.C.J. No. 181</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Pausch v. Vancouver Coastal Health Authority (c.o.b. UBC Hospital), [2014] B.C.J. No. 2654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Proprietary Industries Inc. v. Cibc World Markets Inc., [2002] I.L.R. para. G-1571</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Rossner v. Nystrom, [2019] B.C.J. No. 660</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McMath, [2013] B.C.J. No. 3086</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Park, [2018] B.C.J. No. 1225</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Savaia v. Stellinga, [2020] B.C.J. No. 192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Schlesiger v. Wright, [2014] B.C.J. No. 514</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Simpson v. Koenigsberg, [2018] B.C.J. No. 551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Bains, [2008] B.C.J. No. 1196</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Slater Vecchio LLP v. Arvanitis, [2019] B.C.J. No. 2630</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SmartCentres Inc. v. EBA Engineering Consultants Ltd., [2014] B.C.J. No. 2974</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Stalzer v. Nagai, [2014] B.C.J. No. 1929</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Steen McVeigh v. Boeriu, [2011] B.C.J. No. 554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Stein v. Waddell, [2020] B.C.J. No. 283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3851 v. Homer Street Developments Ltd., [2007] B.C.J. No. 539</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Tench v. Van Bugnum, [2019] B.C.J. No. 2075</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Tessier v. Vancouver (City), [2002] B.C.J. No. 3405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Tinaburri v. North Vancouver (District), [2014] B.C.J. No. 689</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Townsend v. Hull, [2001] I.L.R. para. M-1318</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Urquhart v. Marshall, [2016] B.C.J. No. 2932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Vedan (Guardian ad litem of) v. Stevens, [2010] B.C.J. No. 2186</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Walkom v. Law Society of British Columbia, [2018] B.C.J. No. 7246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Waller (Guardian Ad Litem of) v. Thody, [2006] B.C.J. No. 2079</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Wang v. Laura W. Zhao Personal Real Estate Corp., [2019] B.C.J. No. 1809</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Youyi Group Holdings (Canada) Ltd. v. Brentwood Lanes Canada Ltd., [2019] B.C.J. No. 836</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542641 B.C. Ltd. v. Wright Parry Land Surveying &amp; Engineering Ltd., [2004] B.C.J. No. 280</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Battrum v. British Columbia, [2009] B.C.J. No. 1865</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Baynham v. Terry, [2003] B.C.J. No. 616</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Berg v. Harbour City Diesel and Offroad Ltd., [2012] B.C.J. No. 970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Blackwater et al. v. Plint et al., [2001] I.L.R. para. G-1459</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Bouaziz v. Ouston, [2002] B.C.J. No. 2014</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Recreation and Parks Assn. v. Zakharia, [2015] B.C.J. No. 1965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Bucholz v. Bevan, [2017] B.C.J. No. 2652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Burke v. Watson &amp; Barnard (A Firm), [2015] B.C.J. No. 1042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Callan v. Cooke, [2020] B.C.J. No. 331</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Can-West Development Ltd. v. Parmar, [2020] B.C.J. No. 476</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Casa Milanello Developments Ltd. v. D'Angelo, [2018] B.C.J. No. 6872</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 v. Martin, [2004] B.C.J. No. 258</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 v. Ling, [2006] B.C.J. No. 1864</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 v. Wong, [2004] B.C.J. No. 3028</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1840"/>
        </w:tabs>
        <w:ind w:left="184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1840"/>
        </w:tabs>
        <w:ind w:left="184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iv)"/>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iv)"/>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v)"/>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5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5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6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6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6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6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6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6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6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6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6"/>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3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14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145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2"/>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3"/>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2"/>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3"/>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3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5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3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36EDDA9"/>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3CD4C8E"/>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60DA12E"/>
    <w:multiLevelType w:val="multilevel"/>
    <w:tmpl w:val="00000001"/>
    <w:lvl w:ilvl="0">
      <w:start w:val="1"/>
      <w:numFmt w:val="decimal"/>
      <w:lvlText w:val="8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72504E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B9504F1"/>
    <w:multiLevelType w:val="multilevel"/>
    <w:tmpl w:val="00000001"/>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F43BD49"/>
    <w:multiLevelType w:val="multilevel"/>
    <w:tmpl w:val="00000001"/>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142E28A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157825E3"/>
    <w:multiLevelType w:val="multilevel"/>
    <w:tmpl w:val="0000000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1857B767"/>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24B522B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278403AC"/>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2C77FB59"/>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2DB8842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2DFC7D78"/>
    <w:multiLevelType w:val="multilevel"/>
    <w:tmpl w:val="0000000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36FB94A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44A79D7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45E73C6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4771010F"/>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4A60859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4CAA8A29"/>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4F8E586D"/>
    <w:multiLevelType w:val="multilevel"/>
    <w:tmpl w:val="00000001"/>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51E25B83"/>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5208586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53058E4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534C87F0"/>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5C84FAF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5FA6770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6A1FF320"/>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701F2209"/>
    <w:multiLevelType w:val="multilevel"/>
    <w:tmpl w:val="00000001"/>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70AD2043"/>
    <w:multiLevelType w:val="multilevel"/>
    <w:tmpl w:val="00000001"/>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79B1BA3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7E257561"/>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177"/>
  </w:num>
  <w:num w:numId="66">
    <w:abstractNumId w:val="181"/>
  </w:num>
  <w:num w:numId="67">
    <w:abstractNumId w:val="160"/>
  </w:num>
  <w:num w:numId="68">
    <w:abstractNumId w:val="166"/>
  </w:num>
  <w:num w:numId="69">
    <w:abstractNumId w:val="159"/>
  </w:num>
  <w:num w:numId="70">
    <w:abstractNumId w:val="186"/>
  </w:num>
  <w:num w:numId="71">
    <w:abstractNumId w:val="183"/>
  </w:num>
  <w:num w:numId="72">
    <w:abstractNumId w:val="157"/>
  </w:num>
  <w:num w:numId="73">
    <w:abstractNumId w:val="164"/>
  </w:num>
  <w:num w:numId="74">
    <w:abstractNumId w:val="184"/>
  </w:num>
  <w:num w:numId="75">
    <w:abstractNumId w:val="169"/>
  </w:num>
  <w:num w:numId="76">
    <w:abstractNumId w:val="170"/>
  </w:num>
  <w:num w:numId="77">
    <w:abstractNumId w:val="175"/>
  </w:num>
  <w:num w:numId="78">
    <w:abstractNumId w:val="173"/>
  </w:num>
  <w:num w:numId="79">
    <w:abstractNumId w:val="168"/>
  </w:num>
  <w:num w:numId="80">
    <w:abstractNumId w:val="174"/>
  </w:num>
  <w:num w:numId="81">
    <w:abstractNumId w:val="176"/>
  </w:num>
  <w:num w:numId="82">
    <w:abstractNumId w:val="185"/>
  </w:num>
  <w:num w:numId="83">
    <w:abstractNumId w:val="167"/>
  </w:num>
  <w:num w:numId="84">
    <w:abstractNumId w:val="172"/>
  </w:num>
  <w:num w:numId="85">
    <w:abstractNumId w:val="178"/>
  </w:num>
  <w:num w:numId="86">
    <w:abstractNumId w:val="64"/>
  </w:num>
  <w:num w:numId="87">
    <w:abstractNumId w:val="65"/>
  </w:num>
  <w:num w:numId="88">
    <w:abstractNumId w:val="66"/>
  </w:num>
  <w:num w:numId="89">
    <w:abstractNumId w:val="67"/>
  </w:num>
  <w:num w:numId="90">
    <w:abstractNumId w:val="68"/>
  </w:num>
  <w:num w:numId="91">
    <w:abstractNumId w:val="69"/>
  </w:num>
  <w:num w:numId="92">
    <w:abstractNumId w:val="70"/>
  </w:num>
  <w:num w:numId="93">
    <w:abstractNumId w:val="71"/>
  </w:num>
  <w:num w:numId="94">
    <w:abstractNumId w:val="72"/>
  </w:num>
  <w:num w:numId="95">
    <w:abstractNumId w:val="73"/>
  </w:num>
  <w:num w:numId="96">
    <w:abstractNumId w:val="74"/>
  </w:num>
  <w:num w:numId="97">
    <w:abstractNumId w:val="75"/>
  </w:num>
  <w:num w:numId="98">
    <w:abstractNumId w:val="76"/>
  </w:num>
  <w:num w:numId="99">
    <w:abstractNumId w:val="77"/>
  </w:num>
  <w:num w:numId="100">
    <w:abstractNumId w:val="78"/>
  </w:num>
  <w:num w:numId="101">
    <w:abstractNumId w:val="79"/>
  </w:num>
  <w:num w:numId="102">
    <w:abstractNumId w:val="80"/>
  </w:num>
  <w:num w:numId="103">
    <w:abstractNumId w:val="81"/>
  </w:num>
  <w:num w:numId="104">
    <w:abstractNumId w:val="82"/>
  </w:num>
  <w:num w:numId="105">
    <w:abstractNumId w:val="83"/>
  </w:num>
  <w:num w:numId="106">
    <w:abstractNumId w:val="182"/>
  </w:num>
  <w:num w:numId="107">
    <w:abstractNumId w:val="84"/>
  </w:num>
  <w:num w:numId="108">
    <w:abstractNumId w:val="85"/>
  </w:num>
  <w:num w:numId="109">
    <w:abstractNumId w:val="86"/>
  </w:num>
  <w:num w:numId="110">
    <w:abstractNumId w:val="87"/>
  </w:num>
  <w:num w:numId="111">
    <w:abstractNumId w:val="88"/>
  </w:num>
  <w:num w:numId="112">
    <w:abstractNumId w:val="89"/>
  </w:num>
  <w:num w:numId="113">
    <w:abstractNumId w:val="90"/>
  </w:num>
  <w:num w:numId="114">
    <w:abstractNumId w:val="91"/>
  </w:num>
  <w:num w:numId="115">
    <w:abstractNumId w:val="92"/>
  </w:num>
  <w:num w:numId="116">
    <w:abstractNumId w:val="93"/>
  </w:num>
  <w:num w:numId="117">
    <w:abstractNumId w:val="94"/>
  </w:num>
  <w:num w:numId="118">
    <w:abstractNumId w:val="95"/>
  </w:num>
  <w:num w:numId="119">
    <w:abstractNumId w:val="96"/>
  </w:num>
  <w:num w:numId="120">
    <w:abstractNumId w:val="97"/>
  </w:num>
  <w:num w:numId="121">
    <w:abstractNumId w:val="98"/>
  </w:num>
  <w:num w:numId="122">
    <w:abstractNumId w:val="99"/>
  </w:num>
  <w:num w:numId="123">
    <w:abstractNumId w:val="100"/>
  </w:num>
  <w:num w:numId="124">
    <w:abstractNumId w:val="163"/>
  </w:num>
  <w:num w:numId="125">
    <w:abstractNumId w:val="179"/>
  </w:num>
  <w:num w:numId="126">
    <w:abstractNumId w:val="158"/>
  </w:num>
  <w:num w:numId="127">
    <w:abstractNumId w:val="188"/>
  </w:num>
  <w:num w:numId="128">
    <w:abstractNumId w:val="165"/>
  </w:num>
  <w:num w:numId="129">
    <w:abstractNumId w:val="101"/>
  </w:num>
  <w:num w:numId="130">
    <w:abstractNumId w:val="102"/>
  </w:num>
  <w:num w:numId="131">
    <w:abstractNumId w:val="103"/>
  </w:num>
  <w:num w:numId="132">
    <w:abstractNumId w:val="104"/>
  </w:num>
  <w:num w:numId="133">
    <w:abstractNumId w:val="105"/>
  </w:num>
  <w:num w:numId="134">
    <w:abstractNumId w:val="106"/>
  </w:num>
  <w:num w:numId="135">
    <w:abstractNumId w:val="107"/>
  </w:num>
  <w:num w:numId="136">
    <w:abstractNumId w:val="108"/>
  </w:num>
  <w:num w:numId="137">
    <w:abstractNumId w:val="109"/>
  </w:num>
  <w:num w:numId="138">
    <w:abstractNumId w:val="110"/>
  </w:num>
  <w:num w:numId="139">
    <w:abstractNumId w:val="111"/>
  </w:num>
  <w:num w:numId="140">
    <w:abstractNumId w:val="112"/>
  </w:num>
  <w:num w:numId="141">
    <w:abstractNumId w:val="113"/>
  </w:num>
  <w:num w:numId="142">
    <w:abstractNumId w:val="114"/>
  </w:num>
  <w:num w:numId="143">
    <w:abstractNumId w:val="115"/>
  </w:num>
  <w:num w:numId="144">
    <w:abstractNumId w:val="116"/>
  </w:num>
  <w:num w:numId="145">
    <w:abstractNumId w:val="117"/>
  </w:num>
  <w:num w:numId="146">
    <w:abstractNumId w:val="118"/>
  </w:num>
  <w:num w:numId="147">
    <w:abstractNumId w:val="119"/>
  </w:num>
  <w:num w:numId="148">
    <w:abstractNumId w:val="120"/>
  </w:num>
  <w:num w:numId="149">
    <w:abstractNumId w:val="121"/>
  </w:num>
  <w:num w:numId="150">
    <w:abstractNumId w:val="122"/>
  </w:num>
  <w:num w:numId="151">
    <w:abstractNumId w:val="123"/>
  </w:num>
  <w:num w:numId="152">
    <w:abstractNumId w:val="124"/>
  </w:num>
  <w:num w:numId="153">
    <w:abstractNumId w:val="125"/>
  </w:num>
  <w:num w:numId="154">
    <w:abstractNumId w:val="126"/>
  </w:num>
  <w:num w:numId="155">
    <w:abstractNumId w:val="127"/>
  </w:num>
  <w:num w:numId="156">
    <w:abstractNumId w:val="128"/>
  </w:num>
  <w:num w:numId="157">
    <w:abstractNumId w:val="129"/>
  </w:num>
  <w:num w:numId="158">
    <w:abstractNumId w:val="130"/>
  </w:num>
  <w:num w:numId="159">
    <w:abstractNumId w:val="131"/>
  </w:num>
  <w:num w:numId="160">
    <w:abstractNumId w:val="132"/>
  </w:num>
  <w:num w:numId="161">
    <w:abstractNumId w:val="133"/>
  </w:num>
  <w:num w:numId="162">
    <w:abstractNumId w:val="134"/>
  </w:num>
  <w:num w:numId="163">
    <w:abstractNumId w:val="135"/>
  </w:num>
  <w:num w:numId="164">
    <w:abstractNumId w:val="136"/>
  </w:num>
  <w:num w:numId="165">
    <w:abstractNumId w:val="137"/>
  </w:num>
  <w:num w:numId="166">
    <w:abstractNumId w:val="138"/>
  </w:num>
  <w:num w:numId="167">
    <w:abstractNumId w:val="139"/>
  </w:num>
  <w:num w:numId="168">
    <w:abstractNumId w:val="140"/>
  </w:num>
  <w:num w:numId="169">
    <w:abstractNumId w:val="141"/>
  </w:num>
  <w:num w:numId="170">
    <w:abstractNumId w:val="142"/>
  </w:num>
  <w:num w:numId="171">
    <w:abstractNumId w:val="143"/>
  </w:num>
  <w:num w:numId="172">
    <w:abstractNumId w:val="144"/>
  </w:num>
  <w:num w:numId="173">
    <w:abstractNumId w:val="145"/>
  </w:num>
  <w:num w:numId="174">
    <w:abstractNumId w:val="146"/>
  </w:num>
  <w:num w:numId="175">
    <w:abstractNumId w:val="147"/>
  </w:num>
  <w:num w:numId="176">
    <w:abstractNumId w:val="148"/>
  </w:num>
  <w:num w:numId="177">
    <w:abstractNumId w:val="149"/>
  </w:num>
  <w:num w:numId="178">
    <w:abstractNumId w:val="150"/>
  </w:num>
  <w:num w:numId="179">
    <w:abstractNumId w:val="151"/>
  </w:num>
  <w:num w:numId="180">
    <w:abstractNumId w:val="152"/>
  </w:num>
  <w:num w:numId="181">
    <w:abstractNumId w:val="153"/>
  </w:num>
  <w:num w:numId="182">
    <w:abstractNumId w:val="154"/>
  </w:num>
  <w:num w:numId="183">
    <w:abstractNumId w:val="155"/>
  </w:num>
  <w:num w:numId="184">
    <w:abstractNumId w:val="156"/>
  </w:num>
  <w:num w:numId="185">
    <w:abstractNumId w:val="161"/>
  </w:num>
  <w:num w:numId="186">
    <w:abstractNumId w:val="187"/>
  </w:num>
  <w:num w:numId="187">
    <w:abstractNumId w:val="171"/>
  </w:num>
  <w:num w:numId="188">
    <w:abstractNumId w:val="180"/>
  </w:num>
  <w:num w:numId="189">
    <w:abstractNumId w:val="16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H1-JCRC-B12V-00000-00&amp;context=" TargetMode="External" /><Relationship Id="rId100" Type="http://schemas.openxmlformats.org/officeDocument/2006/relationships/footer" Target="footer23.xml" /><Relationship Id="rId101" Type="http://schemas.openxmlformats.org/officeDocument/2006/relationships/header" Target="header24.xml" /><Relationship Id="rId102" Type="http://schemas.openxmlformats.org/officeDocument/2006/relationships/footer" Target="footer24.xml" /><Relationship Id="rId103" Type="http://schemas.openxmlformats.org/officeDocument/2006/relationships/hyperlink" Target="https://advance.lexis.com/api/document?collection=cases-ca&amp;id=urn:contentItem:5K6X-JJV1-JSJC-X0JV-00000-00&amp;context=" TargetMode="External" /><Relationship Id="rId104" Type="http://schemas.openxmlformats.org/officeDocument/2006/relationships/hyperlink" Target="https://advance.lexis.com/api/document?collection=cases-ca&amp;id=urn:contentItem:5F8T-N3T1-JJSF-2339-00000-00&amp;context=" TargetMode="External" /><Relationship Id="rId105" Type="http://schemas.openxmlformats.org/officeDocument/2006/relationships/header" Target="header25.xml" /><Relationship Id="rId106" Type="http://schemas.openxmlformats.org/officeDocument/2006/relationships/header" Target="header26.xml" /><Relationship Id="rId107" Type="http://schemas.openxmlformats.org/officeDocument/2006/relationships/footer" Target="footer25.xml" /><Relationship Id="rId108" Type="http://schemas.openxmlformats.org/officeDocument/2006/relationships/footer" Target="footer26.xml" /><Relationship Id="rId109" Type="http://schemas.openxmlformats.org/officeDocument/2006/relationships/header" Target="header27.xml" /><Relationship Id="rId11" Type="http://schemas.openxmlformats.org/officeDocument/2006/relationships/hyperlink" Target="https://advance.lexis.com/api/document?collection=cases-ca&amp;id=urn:contentItem:5F7T-S7K1-JSJC-X16C-00000-00&amp;context=" TargetMode="External" /><Relationship Id="rId110" Type="http://schemas.openxmlformats.org/officeDocument/2006/relationships/footer" Target="footer27.xml" /><Relationship Id="rId111" Type="http://schemas.openxmlformats.org/officeDocument/2006/relationships/hyperlink" Target="https://advance.lexis.com/api/document?collection=cases-ca&amp;id=urn:contentItem:5K6Y-81T1-JYYX-61JM-00000-00&amp;context=" TargetMode="External" /><Relationship Id="rId112" Type="http://schemas.openxmlformats.org/officeDocument/2006/relationships/header" Target="header28.xml" /><Relationship Id="rId113" Type="http://schemas.openxmlformats.org/officeDocument/2006/relationships/header" Target="header29.xml" /><Relationship Id="rId114" Type="http://schemas.openxmlformats.org/officeDocument/2006/relationships/footer" Target="footer28.xml" /><Relationship Id="rId115" Type="http://schemas.openxmlformats.org/officeDocument/2006/relationships/footer" Target="footer29.xml" /><Relationship Id="rId116" Type="http://schemas.openxmlformats.org/officeDocument/2006/relationships/header" Target="header30.xml" /><Relationship Id="rId117" Type="http://schemas.openxmlformats.org/officeDocument/2006/relationships/footer" Target="footer30.xml" /><Relationship Id="rId118" Type="http://schemas.openxmlformats.org/officeDocument/2006/relationships/hyperlink" Target="https://advance.lexis.com/api/document?collection=cases-ca&amp;id=urn:contentItem:5F7T-S7N1-JGHR-M383-00000-00&amp;context=" TargetMode="External" /><Relationship Id="rId119" Type="http://schemas.openxmlformats.org/officeDocument/2006/relationships/hyperlink" Target="https://advance.lexis.com/api/document?collection=cases-ca&amp;id=urn:contentItem:5F7T-S7N1-JWR6-S253-00000-00&amp;context=" TargetMode="External" /><Relationship Id="rId12" Type="http://schemas.openxmlformats.org/officeDocument/2006/relationships/hyperlink" Target="https://advance.lexis.com/api/document?collection=cases-ca&amp;id=urn:contentItem:5F7T-S751-JBM1-M2CY-00000-00&amp;context=" TargetMode="External" /><Relationship Id="rId120" Type="http://schemas.openxmlformats.org/officeDocument/2006/relationships/hyperlink" Target="https://advance.lexis.com/api/document?collection=cases-ca&amp;id=urn:contentItem:5F7T-S721-F956-S1DP-00000-00&amp;context=" TargetMode="External" /><Relationship Id="rId121" Type="http://schemas.openxmlformats.org/officeDocument/2006/relationships/hyperlink" Target="https://advance.lexis.com/api/document?collection=cases-ca&amp;id=urn:contentItem:5F7T-S751-JX3N-B0V9-00000-00&amp;context=" TargetMode="External" /><Relationship Id="rId122" Type="http://schemas.openxmlformats.org/officeDocument/2006/relationships/header" Target="header31.xml" /><Relationship Id="rId123" Type="http://schemas.openxmlformats.org/officeDocument/2006/relationships/header" Target="header32.xml" /><Relationship Id="rId124" Type="http://schemas.openxmlformats.org/officeDocument/2006/relationships/footer" Target="footer31.xml" /><Relationship Id="rId125" Type="http://schemas.openxmlformats.org/officeDocument/2006/relationships/footer" Target="footer32.xml" /><Relationship Id="rId126" Type="http://schemas.openxmlformats.org/officeDocument/2006/relationships/header" Target="header33.xml" /><Relationship Id="rId127" Type="http://schemas.openxmlformats.org/officeDocument/2006/relationships/footer" Target="footer33.xml" /><Relationship Id="rId128" Type="http://schemas.openxmlformats.org/officeDocument/2006/relationships/hyperlink" Target="https://advance.lexis.com/api/document?collection=cases-ca&amp;id=urn:contentItem:5GCC-XVB1-JGHR-M4GV-00000-00&amp;context=" TargetMode="External" /><Relationship Id="rId129" Type="http://schemas.openxmlformats.org/officeDocument/2006/relationships/hyperlink" Target="https://advance.lexis.com/api/document?collection=cases-ca&amp;id=urn:contentItem:5F7T-S7N1-JC5P-G1Y4-00000-00&amp;context=" TargetMode="External" /><Relationship Id="rId13" Type="http://schemas.openxmlformats.org/officeDocument/2006/relationships/header" Target="header4.xml" /><Relationship Id="rId130" Type="http://schemas.openxmlformats.org/officeDocument/2006/relationships/hyperlink" Target="https://advance.lexis.com/api/document?collection=cases-ca&amp;id=urn:contentItem:5F7T-S7C1-JCJ5-20MC-00000-00&amp;context=" TargetMode="External" /><Relationship Id="rId131" Type="http://schemas.openxmlformats.org/officeDocument/2006/relationships/hyperlink" Target="https://advance.lexis.com/api/document?collection=cases-ca&amp;id=urn:contentItem:5F7T-S7B1-F7ND-G53X-00000-00&amp;context=" TargetMode="External" /><Relationship Id="rId132" Type="http://schemas.openxmlformats.org/officeDocument/2006/relationships/hyperlink" Target="https://advance.lexis.com/api/document?collection=cases-ca&amp;id=urn:contentItem:5F7T-S7N1-JWR6-S2G9-00000-00&amp;context=" TargetMode="External" /><Relationship Id="rId133" Type="http://schemas.openxmlformats.org/officeDocument/2006/relationships/hyperlink" Target="https://advance.lexis.com/api/document?collection=cases-ca&amp;id=urn:contentItem:5XR8-3VT1-FFFC-B46D-00000-00&amp;context=" TargetMode="External" /><Relationship Id="rId134" Type="http://schemas.openxmlformats.org/officeDocument/2006/relationships/hyperlink" Target="https://advance.lexis.com/api/document?collection=cases-ca&amp;id=urn:contentItem:5F8T-N3V1-JF75-M3D0-00000-00&amp;context=" TargetMode="External" /><Relationship Id="rId135" Type="http://schemas.openxmlformats.org/officeDocument/2006/relationships/hyperlink" Target="https://advance.lexis.com/api/document?collection=cases-ca&amp;id=urn:contentItem:5F8T-N3V1-FC1F-M461-00000-00&amp;context=" TargetMode="External" /><Relationship Id="rId136" Type="http://schemas.openxmlformats.org/officeDocument/2006/relationships/header" Target="header34.xml" /><Relationship Id="rId137" Type="http://schemas.openxmlformats.org/officeDocument/2006/relationships/header" Target="header35.xml" /><Relationship Id="rId138" Type="http://schemas.openxmlformats.org/officeDocument/2006/relationships/footer" Target="footer34.xml" /><Relationship Id="rId139" Type="http://schemas.openxmlformats.org/officeDocument/2006/relationships/footer" Target="footer35.xml" /><Relationship Id="rId14" Type="http://schemas.openxmlformats.org/officeDocument/2006/relationships/header" Target="header5.xml" /><Relationship Id="rId140" Type="http://schemas.openxmlformats.org/officeDocument/2006/relationships/header" Target="header36.xml" /><Relationship Id="rId141" Type="http://schemas.openxmlformats.org/officeDocument/2006/relationships/footer" Target="footer36.xml" /><Relationship Id="rId142" Type="http://schemas.openxmlformats.org/officeDocument/2006/relationships/hyperlink" Target="https://advance.lexis.com/api/document?collection=cases-ca&amp;id=urn:contentItem:5K6Y-81T1-F361-M3F8-00000-00&amp;context=" TargetMode="External" /><Relationship Id="rId143" Type="http://schemas.openxmlformats.org/officeDocument/2006/relationships/header" Target="header37.xml" /><Relationship Id="rId144" Type="http://schemas.openxmlformats.org/officeDocument/2006/relationships/header" Target="header38.xml" /><Relationship Id="rId145" Type="http://schemas.openxmlformats.org/officeDocument/2006/relationships/footer" Target="footer37.xml" /><Relationship Id="rId146" Type="http://schemas.openxmlformats.org/officeDocument/2006/relationships/footer" Target="footer38.xml" /><Relationship Id="rId147" Type="http://schemas.openxmlformats.org/officeDocument/2006/relationships/header" Target="header39.xml" /><Relationship Id="rId148" Type="http://schemas.openxmlformats.org/officeDocument/2006/relationships/footer" Target="footer39.xml" /><Relationship Id="rId149" Type="http://schemas.openxmlformats.org/officeDocument/2006/relationships/hyperlink" Target="https://advance.lexis.com/api/document?collection=cases-ca&amp;id=urn:contentItem:5VYB-X071-JJD0-G0RR-00000-00&amp;context=" TargetMode="External" /><Relationship Id="rId15" Type="http://schemas.openxmlformats.org/officeDocument/2006/relationships/footer" Target="footer4.xml" /><Relationship Id="rId150" Type="http://schemas.openxmlformats.org/officeDocument/2006/relationships/hyperlink" Target="https://advance.lexis.com/api/document?collection=cases-ca&amp;id=urn:contentItem:5F7T-S7N1-JGHR-M3D9-00000-00&amp;context=" TargetMode="External" /><Relationship Id="rId151" Type="http://schemas.openxmlformats.org/officeDocument/2006/relationships/hyperlink" Target="https://advance.lexis.com/api/document?collection=cases-ca&amp;id=urn:contentItem:5F8P-SBV1-DXWW-2288-00000-00&amp;context=" TargetMode="External" /><Relationship Id="rId152" Type="http://schemas.openxmlformats.org/officeDocument/2006/relationships/hyperlink" Target="https://advance.lexis.com/api/document?collection=cases-ca&amp;id=urn:contentItem:5F7T-S7B1-FH4C-X3CN-00000-00&amp;context=" TargetMode="External" /><Relationship Id="rId153" Type="http://schemas.openxmlformats.org/officeDocument/2006/relationships/hyperlink" Target="https://advance.lexis.com/api/document?collection=cases-ca&amp;id=urn:contentItem:5JGN-CPP1-JWR6-S268-00000-00&amp;context=" TargetMode="External" /><Relationship Id="rId154" Type="http://schemas.openxmlformats.org/officeDocument/2006/relationships/hyperlink" Target="https://advance.lexis.com/api/document?collection=cases-ca&amp;id=urn:contentItem:5JJ5-6771-JTGH-B4C3-00000-00&amp;context=" TargetMode="External" /><Relationship Id="rId155" Type="http://schemas.openxmlformats.org/officeDocument/2006/relationships/hyperlink" Target="https://advance.lexis.com/api/document?collection=cases-ca&amp;id=urn:contentItem:5F7T-S7F1-JBT7-X2MF-00000-00&amp;context=" TargetMode="External" /><Relationship Id="rId156" Type="http://schemas.openxmlformats.org/officeDocument/2006/relationships/hyperlink" Target="https://advance.lexis.com/api/document?collection=cases-ca&amp;id=urn:contentItem:5MYB-P6K1-JTNR-M005-00000-00&amp;context=" TargetMode="External" /><Relationship Id="rId157" Type="http://schemas.openxmlformats.org/officeDocument/2006/relationships/hyperlink" Target="https://advance.lexis.com/api/document?collection=cases-ca&amp;id=urn:contentItem:5F7T-S7H1-JFSV-G2TK-00000-00&amp;context=" TargetMode="External" /><Relationship Id="rId158" Type="http://schemas.openxmlformats.org/officeDocument/2006/relationships/hyperlink" Target="https://advance.lexis.com/api/document?collection=cases-ca&amp;id=urn:contentItem:5F8P-SBT1-JWBS-650T-00000-00&amp;context=" TargetMode="External" /><Relationship Id="rId159" Type="http://schemas.openxmlformats.org/officeDocument/2006/relationships/hyperlink" Target="https://advance.lexis.com/api/document?collection=cases-ca&amp;id=urn:contentItem:5F8P-SCJ1-F900-G381-00000-00&amp;context=" TargetMode="External" /><Relationship Id="rId16" Type="http://schemas.openxmlformats.org/officeDocument/2006/relationships/footer" Target="footer5.xml" /><Relationship Id="rId160" Type="http://schemas.openxmlformats.org/officeDocument/2006/relationships/hyperlink" Target="https://advance.lexis.com/api/document?collection=cases-ca&amp;id=urn:contentItem:5F81-VJX1-F5T5-M427-00000-00&amp;context=" TargetMode="External" /><Relationship Id="rId161" Type="http://schemas.openxmlformats.org/officeDocument/2006/relationships/hyperlink" Target="https://advance.lexis.com/api/document?collection=cases-ca&amp;id=urn:contentItem:5F7T-S7K1-DY33-B1MF-00000-00&amp;context=" TargetMode="External" /><Relationship Id="rId162" Type="http://schemas.openxmlformats.org/officeDocument/2006/relationships/hyperlink" Target="https://advance.lexis.com/api/document?collection=cases-ca&amp;id=urn:contentItem:5F7T-S7C1-F4NT-X3XT-00000-00&amp;context=" TargetMode="External" /><Relationship Id="rId163" Type="http://schemas.openxmlformats.org/officeDocument/2006/relationships/hyperlink" Target="https://advance.lexis.com/api/document?collection=cases-ca&amp;id=urn:contentItem:5F7T-S7N1-JGHR-M2Y9-00000-00&amp;context=" TargetMode="External" /><Relationship Id="rId164" Type="http://schemas.openxmlformats.org/officeDocument/2006/relationships/hyperlink" Target="https://advance.lexis.com/api/document?collection=cases-ca&amp;id=urn:contentItem:5F7T-S7M1-DYMS-623T-00000-00&amp;context=" TargetMode="External" /><Relationship Id="rId165" Type="http://schemas.openxmlformats.org/officeDocument/2006/relationships/hyperlink" Target="https://advance.lexis.com/api/document?collection=cases-ca&amp;id=urn:contentItem:5F7T-S7M1-JNCK-22HM-00000-00&amp;context=" TargetMode="External" /><Relationship Id="rId166" Type="http://schemas.openxmlformats.org/officeDocument/2006/relationships/hyperlink" Target="https://advance.lexis.com/api/document?collection=cases-ca&amp;id=urn:contentItem:5G68-9741-FCYK-21KX-00000-00&amp;context=" TargetMode="External" /><Relationship Id="rId167" Type="http://schemas.openxmlformats.org/officeDocument/2006/relationships/hyperlink" Target="https://iclr.co.uk/pubrefLookup/redirectTo?ref=1964+P.+181" TargetMode="External" /><Relationship Id="rId168" Type="http://schemas.openxmlformats.org/officeDocument/2006/relationships/image" Target="media/image1.png" /><Relationship Id="rId169" Type="http://schemas.openxmlformats.org/officeDocument/2006/relationships/header" Target="header40.xml" /><Relationship Id="rId17" Type="http://schemas.openxmlformats.org/officeDocument/2006/relationships/header" Target="header6.xml" /><Relationship Id="rId170" Type="http://schemas.openxmlformats.org/officeDocument/2006/relationships/header" Target="header41.xml" /><Relationship Id="rId171" Type="http://schemas.openxmlformats.org/officeDocument/2006/relationships/footer" Target="footer40.xml" /><Relationship Id="rId172" Type="http://schemas.openxmlformats.org/officeDocument/2006/relationships/footer" Target="footer41.xml" /><Relationship Id="rId173" Type="http://schemas.openxmlformats.org/officeDocument/2006/relationships/header" Target="header42.xml" /><Relationship Id="rId174" Type="http://schemas.openxmlformats.org/officeDocument/2006/relationships/footer" Target="footer42.xml" /><Relationship Id="rId175" Type="http://schemas.openxmlformats.org/officeDocument/2006/relationships/hyperlink" Target="https://advance.lexis.com/api/document?collection=cases-ca&amp;id=urn:contentItem:5G53-RJN1-FBFS-S4V6-00000-00&amp;context=" TargetMode="External" /><Relationship Id="rId176" Type="http://schemas.openxmlformats.org/officeDocument/2006/relationships/hyperlink" Target="https://advance.lexis.com/api/document?collection=legislation-ca&amp;id=urn:contentItem:5VYK-W9V1-JS0R-23WX-00000-00&amp;context=" TargetMode="External" /><Relationship Id="rId177" Type="http://schemas.openxmlformats.org/officeDocument/2006/relationships/hyperlink" Target="https://advance.lexis.com/api/document?collection=cases-ca&amp;id=urn:contentItem:5F7T-S7K1-JX3N-B2V4-00000-00&amp;context=" TargetMode="External" /><Relationship Id="rId178" Type="http://schemas.openxmlformats.org/officeDocument/2006/relationships/hyperlink" Target="https://advance.lexis.com/api/document?collection=cases-ca&amp;id=urn:contentItem:5F8T-N3V1-JF75-M390-00000-00&amp;context=" TargetMode="External" /><Relationship Id="rId179" Type="http://schemas.openxmlformats.org/officeDocument/2006/relationships/hyperlink" Target="https://advance.lexis.com/api/document?collection=cases-ca&amp;id=urn:contentItem:5F7T-S781-F7G6-63MV-00000-00&amp;context=" TargetMode="External" /><Relationship Id="rId18" Type="http://schemas.openxmlformats.org/officeDocument/2006/relationships/footer" Target="footer6.xml" /><Relationship Id="rId180" Type="http://schemas.openxmlformats.org/officeDocument/2006/relationships/hyperlink" Target="https://advance.lexis.com/api/document?collection=cases-ca&amp;id=urn:contentItem:5F8T-N3V1-JF75-M391-00000-00&amp;context=" TargetMode="External" /><Relationship Id="rId181" Type="http://schemas.openxmlformats.org/officeDocument/2006/relationships/hyperlink" Target="https://advance.lexis.com/api/document?collection=cases-ca&amp;id=urn:contentItem:5F8T-N3V1-JF75-M392-00000-00&amp;context=" TargetMode="External" /><Relationship Id="rId182" Type="http://schemas.openxmlformats.org/officeDocument/2006/relationships/hyperlink" Target="https://advance.lexis.com/api/document?collection=cases-ca&amp;id=urn:contentItem:5F8T-N3V1-FC1F-M4CD-00000-00&amp;context=" TargetMode="External" /><Relationship Id="rId183" Type="http://schemas.openxmlformats.org/officeDocument/2006/relationships/hyperlink" Target="https://advance.lexis.com/api/document?collection=cases-ca&amp;id=urn:contentItem:5F8P-T8Y1-F873-B39M-00000-00&amp;context=" TargetMode="External" /><Relationship Id="rId184" Type="http://schemas.openxmlformats.org/officeDocument/2006/relationships/hyperlink" Target="https://advance.lexis.com/api/document?collection=cases-ca&amp;id=urn:contentItem:5F8P-SCV1-JBM1-M1SG-00000-00&amp;context=" TargetMode="External" /><Relationship Id="rId185" Type="http://schemas.openxmlformats.org/officeDocument/2006/relationships/header" Target="header43.xml" /><Relationship Id="rId186" Type="http://schemas.openxmlformats.org/officeDocument/2006/relationships/header" Target="header44.xml" /><Relationship Id="rId187" Type="http://schemas.openxmlformats.org/officeDocument/2006/relationships/footer" Target="footer43.xml" /><Relationship Id="rId188" Type="http://schemas.openxmlformats.org/officeDocument/2006/relationships/footer" Target="footer44.xml" /><Relationship Id="rId189" Type="http://schemas.openxmlformats.org/officeDocument/2006/relationships/header" Target="header45.xml" /><Relationship Id="rId19" Type="http://schemas.openxmlformats.org/officeDocument/2006/relationships/hyperlink" Target="https://advance.lexis.com/api/document?collection=cases-ca&amp;id=urn:contentItem:5K6Y-81T1-F7VM-S3JX-00000-00&amp;context=" TargetMode="External" /><Relationship Id="rId190" Type="http://schemas.openxmlformats.org/officeDocument/2006/relationships/footer" Target="footer45.xml" /><Relationship Id="rId191" Type="http://schemas.openxmlformats.org/officeDocument/2006/relationships/hyperlink" Target="https://advance.lexis.com/api/document?collection=cases-ca&amp;id=urn:contentItem:5SR9-JCX1-DXPM-S0NK-00000-00&amp;context=" TargetMode="External" /><Relationship Id="rId192" Type="http://schemas.openxmlformats.org/officeDocument/2006/relationships/hyperlink" Target="https://advance.lexis.com/api/document?collection=cases-ca&amp;id=urn:contentItem:5F8T-N3V1-FC1F-M45K-00000-00&amp;context=" TargetMode="External" /><Relationship Id="rId193" Type="http://schemas.openxmlformats.org/officeDocument/2006/relationships/hyperlink" Target="https://advance.lexis.com/api/document?collection=cases-ca&amp;id=urn:contentItem:5F8T-N3V1-JTGH-B19X-00000-00&amp;context=" TargetMode="External" /><Relationship Id="rId194" Type="http://schemas.openxmlformats.org/officeDocument/2006/relationships/hyperlink" Target="https://advance.lexis.com/api/document?collection=cases-ca&amp;id=urn:contentItem:5F7T-S7K1-JWXF-215Y-00000-00&amp;context=" TargetMode="External" /><Relationship Id="rId195" Type="http://schemas.openxmlformats.org/officeDocument/2006/relationships/hyperlink" Target="https://advance.lexis.com/api/document?collection=cases-ca&amp;id=urn:contentItem:5F7T-S7P1-JCRC-B20C-00000-00&amp;context=" TargetMode="External" /><Relationship Id="rId196" Type="http://schemas.openxmlformats.org/officeDocument/2006/relationships/hyperlink" Target="https://advance.lexis.com/api/document?collection=cases-ca&amp;id=urn:contentItem:5S06-BNC1-JFSV-G1RG-00000-00&amp;context=" TargetMode="External" /><Relationship Id="rId197" Type="http://schemas.openxmlformats.org/officeDocument/2006/relationships/hyperlink" Target="https://advance.lexis.com/api/document?collection=cases-ca&amp;id=urn:contentItem:5HBG-0YF1-F4W2-630R-00000-00&amp;context=" TargetMode="External" /><Relationship Id="rId198" Type="http://schemas.openxmlformats.org/officeDocument/2006/relationships/hyperlink" Target="https://advance.lexis.com/api/document?collection=cases-ca&amp;id=urn:contentItem:5RJG-2PN1-FJDY-X35J-00000-00&amp;context=" TargetMode="External" /><Relationship Id="rId199" Type="http://schemas.openxmlformats.org/officeDocument/2006/relationships/hyperlink" Target="https://advance.lexis.com/api/document?collection=cases-ca&amp;id=urn:contentItem:5F8T-N3V1-JTGH-B147-00000-00&amp;context=" TargetMode="Externa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yperlink" Target="https://advance.lexis.com/api/document?collection=cases-ca&amp;id=urn:contentItem:5GJG-DJW1-JP4G-62HJ-00000-00&amp;context=" TargetMode="External" /><Relationship Id="rId201" Type="http://schemas.openxmlformats.org/officeDocument/2006/relationships/hyperlink" Target="https://advance.lexis.com/api/document?collection=cases-ca&amp;id=urn:contentItem:5F8T-N3T1-JJSF-23H0-00000-00&amp;context=" TargetMode="External" /><Relationship Id="rId202" Type="http://schemas.openxmlformats.org/officeDocument/2006/relationships/hyperlink" Target="https://advance.lexis.com/api/document?collection=cases-ca&amp;id=urn:contentItem:5F8T-N3V1-JTGH-B102-00000-00&amp;context=" TargetMode="External" /><Relationship Id="rId203" Type="http://schemas.openxmlformats.org/officeDocument/2006/relationships/hyperlink" Target="https://advance.lexis.com/api/document?collection=cases-ca&amp;id=urn:contentItem:5F8T-N3V1-FC1F-M4F4-00000-00&amp;context=" TargetMode="External" /><Relationship Id="rId204" Type="http://schemas.openxmlformats.org/officeDocument/2006/relationships/hyperlink" Target="https://advance.lexis.com/api/document?collection=cases-ca&amp;id=urn:contentItem:5F8T-N3T1-JJSF-238F-00000-00&amp;context=" TargetMode="External" /><Relationship Id="rId205" Type="http://schemas.openxmlformats.org/officeDocument/2006/relationships/hyperlink" Target="https://advance.lexis.com/api/document?collection=cases-ca&amp;id=urn:contentItem:5F81-VJX1-JJYN-B4X4-00000-00&amp;context=" TargetMode="External" /><Relationship Id="rId206" Type="http://schemas.openxmlformats.org/officeDocument/2006/relationships/hyperlink" Target="https://advance.lexis.com/api/document?collection=cases-ca&amp;id=urn:contentItem:5RG4-SKP1-JXG3-X07Y-00000-00&amp;context=" TargetMode="External" /><Relationship Id="rId207" Type="http://schemas.openxmlformats.org/officeDocument/2006/relationships/hyperlink" Target="https://advance.lexis.com/api/document?collection=cases-ca&amp;id=urn:contentItem:5F8T-N3V1-FH4C-X24S-00000-00&amp;context=" TargetMode="External" /><Relationship Id="rId208" Type="http://schemas.openxmlformats.org/officeDocument/2006/relationships/hyperlink" Target="https://advance.lexis.com/api/document?collection=cases-ca&amp;id=urn:contentItem:5F8P-SFN1-F2TK-2416-00000-00&amp;context=" TargetMode="External" /><Relationship Id="rId209" Type="http://schemas.openxmlformats.org/officeDocument/2006/relationships/hyperlink" Target="https://advance.lexis.com/api/document?collection=legislation-ca&amp;id=urn:contentItem:5VYK-W9W1-FBFS-S4XY-00000-00&amp;context=" TargetMode="External" /><Relationship Id="rId21" Type="http://schemas.openxmlformats.org/officeDocument/2006/relationships/header" Target="header8.xml" /><Relationship Id="rId210" Type="http://schemas.openxmlformats.org/officeDocument/2006/relationships/hyperlink" Target="https://advance.lexis.com/api/document?collection=legislation-ca&amp;id=urn:contentItem:5W3Y-TSX1-FFTT-X2KW-00000-00&amp;context=" TargetMode="External" /><Relationship Id="rId211" Type="http://schemas.openxmlformats.org/officeDocument/2006/relationships/hyperlink" Target="https://advance.lexis.com/api/document?collection=cases-ca&amp;id=urn:contentItem:5F7T-S7G1-JWR6-S20W-00000-00&amp;context=" TargetMode="External" /><Relationship Id="rId212" Type="http://schemas.openxmlformats.org/officeDocument/2006/relationships/hyperlink" Target="https://advance.lexis.com/api/document?collection=cases-ca&amp;id=urn:contentItem:5F8T-N3V1-JTGH-B1H2-00000-00&amp;context=" TargetMode="External" /><Relationship Id="rId213" Type="http://schemas.openxmlformats.org/officeDocument/2006/relationships/hyperlink" Target="https://advance.lexis.com/api/document?collection=cases-ca&amp;id=urn:contentItem:5F8T-N3V1-JTGH-B1C5-00000-00&amp;context=" TargetMode="External" /><Relationship Id="rId214" Type="http://schemas.openxmlformats.org/officeDocument/2006/relationships/hyperlink" Target="https://advance.lexis.com/api/document?collection=cases-ca&amp;id=urn:contentItem:5GJG-DJW1-JP4G-62HM-00000-00&amp;context=" TargetMode="External" /><Relationship Id="rId215" Type="http://schemas.openxmlformats.org/officeDocument/2006/relationships/hyperlink" Target="https://advance.lexis.com/api/document?collection=cases-ca&amp;id=urn:contentItem:5N59-FCC1-F1P7-B3S4-00000-00&amp;context=" TargetMode="External" /><Relationship Id="rId216" Type="http://schemas.openxmlformats.org/officeDocument/2006/relationships/hyperlink" Target="https://advance.lexis.com/api/document?collection=cases-ca&amp;id=urn:contentItem:5F81-VJX1-FCK4-G1MD-00000-00&amp;context=" TargetMode="External" /><Relationship Id="rId217" Type="http://schemas.openxmlformats.org/officeDocument/2006/relationships/hyperlink" Target="https://advance.lexis.com/api/document?collection=cases-ca&amp;id=urn:contentItem:5F8T-N3V1-JTGH-B149-00000-00&amp;context=" TargetMode="External" /><Relationship Id="rId218" Type="http://schemas.openxmlformats.org/officeDocument/2006/relationships/hyperlink" Target="https://advance.lexis.com/api/document?collection=cases-ca&amp;id=urn:contentItem:5GC2-Y351-JKHB-60GB-00000-00&amp;context=" TargetMode="External" /><Relationship Id="rId219" Type="http://schemas.openxmlformats.org/officeDocument/2006/relationships/hyperlink" Target="https://advance.lexis.com/api/document?collection=cases-ca&amp;id=urn:contentItem:5MFG-HB81-F361-M3JH-00000-00&amp;context=" TargetMode="External" /><Relationship Id="rId22" Type="http://schemas.openxmlformats.org/officeDocument/2006/relationships/footer" Target="footer7.xml" /><Relationship Id="rId220" Type="http://schemas.openxmlformats.org/officeDocument/2006/relationships/hyperlink" Target="https://advance.lexis.com/api/document?collection=cases-ca&amp;id=urn:contentItem:5F8T-N3V1-FC1F-M4B6-00000-00&amp;context=" TargetMode="External" /><Relationship Id="rId221" Type="http://schemas.openxmlformats.org/officeDocument/2006/relationships/hyperlink" Target="https://advance.lexis.com/api/document?collection=cases-ca&amp;id=urn:contentItem:5F16-9391-F5KY-B1SJ-00000-00&amp;context=" TargetMode="External" /><Relationship Id="rId222" Type="http://schemas.openxmlformats.org/officeDocument/2006/relationships/hyperlink" Target="https://advance.lexis.com/api/document?collection=cases-ca&amp;id=urn:contentItem:5F8T-N3V1-FH4C-X1XN-00000-00&amp;context=" TargetMode="External" /><Relationship Id="rId223" Type="http://schemas.openxmlformats.org/officeDocument/2006/relationships/hyperlink" Target="https://advance.lexis.com/api/document?collection=cases-ca&amp;id=urn:contentItem:5F8T-N3V1-JF75-M396-00000-00&amp;context=" TargetMode="External" /><Relationship Id="rId224" Type="http://schemas.openxmlformats.org/officeDocument/2006/relationships/hyperlink" Target="https://advance.lexis.com/api/document?collection=cases-ca&amp;id=urn:contentItem:5F8T-N3V1-JTGH-B1FW-00000-00&amp;context=" TargetMode="External" /><Relationship Id="rId225" Type="http://schemas.openxmlformats.org/officeDocument/2006/relationships/hyperlink" Target="https://advance.lexis.com/api/document?collection=cases-ca&amp;id=urn:contentItem:5F7T-S7K1-JSJC-X0VG-00000-00&amp;context=" TargetMode="External" /><Relationship Id="rId226" Type="http://schemas.openxmlformats.org/officeDocument/2006/relationships/hyperlink" Target="https://advance.lexis.com/api/document?collection=cases-ca&amp;id=urn:contentItem:5F8P-SDN1-F65M-6454-00000-00&amp;context=" TargetMode="External" /><Relationship Id="rId227" Type="http://schemas.openxmlformats.org/officeDocument/2006/relationships/hyperlink" Target="https://advance.lexis.com/api/document?collection=cases-ca&amp;id=urn:contentItem:5F7T-S7P1-JP4G-61MD-00000-00&amp;context=" TargetMode="External" /><Relationship Id="rId228" Type="http://schemas.openxmlformats.org/officeDocument/2006/relationships/hyperlink" Target="https://advance.lexis.com/api/document?collection=cases-ca&amp;id=urn:contentItem:5KHM-YVY1-FJTD-G28X-00000-00&amp;context=" TargetMode="External" /><Relationship Id="rId229" Type="http://schemas.openxmlformats.org/officeDocument/2006/relationships/hyperlink" Target="https://advance.lexis.com/api/document?collection=cases-ca&amp;id=urn:contentItem:5NP8-3TH1-JSJC-X2F5-00000-00&amp;context=" TargetMode="External" /><Relationship Id="rId23" Type="http://schemas.openxmlformats.org/officeDocument/2006/relationships/footer" Target="footer8.xml" /><Relationship Id="rId230" Type="http://schemas.openxmlformats.org/officeDocument/2006/relationships/hyperlink" Target="https://advance.lexis.com/api/document?collection=cases-ca&amp;id=urn:contentItem:5F8T-N3T1-JJSF-236X-00000-00&amp;context=" TargetMode="External" /><Relationship Id="rId231" Type="http://schemas.openxmlformats.org/officeDocument/2006/relationships/hyperlink" Target="https://advance.lexis.com/api/document?collection=cases-ca&amp;id=urn:contentItem:5F8T-N3V1-JF75-M3R9-00000-00&amp;context=" TargetMode="External" /><Relationship Id="rId232" Type="http://schemas.openxmlformats.org/officeDocument/2006/relationships/hyperlink" Target="https://advance.lexis.com/api/document?collection=cases-ca&amp;id=urn:contentItem:5F8T-N3V1-JTGH-B1CF-00000-00&amp;context=" TargetMode="External" /><Relationship Id="rId233" Type="http://schemas.openxmlformats.org/officeDocument/2006/relationships/hyperlink" Target="https://advance.lexis.com/api/document?collection=cases-ca&amp;id=urn:contentItem:5F7T-S7P1-JNJT-B2F8-00000-00&amp;context=" TargetMode="External" /><Relationship Id="rId234" Type="http://schemas.openxmlformats.org/officeDocument/2006/relationships/hyperlink" Target="https://advance.lexis.com/api/document?collection=cases-ca&amp;id=urn:contentItem:5F7T-S7C1-FGRY-B0BC-00000-00&amp;context=" TargetMode="External" /><Relationship Id="rId235" Type="http://schemas.openxmlformats.org/officeDocument/2006/relationships/hyperlink" Target="https://advance.lexis.com/api/document?collection=cases-ca&amp;id=urn:contentItem:5F7T-S7P1-JSJC-X197-00000-00&amp;context=" TargetMode="External" /><Relationship Id="rId236" Type="http://schemas.openxmlformats.org/officeDocument/2006/relationships/hyperlink" Target="https://advance.lexis.com/api/document?collection=cases-ca&amp;id=urn:contentItem:5G45-SXS1-DXWW-2397-00000-00&amp;context=" TargetMode="External" /><Relationship Id="rId237" Type="http://schemas.openxmlformats.org/officeDocument/2006/relationships/hyperlink" Target="https://advance.lexis.com/api/document?collection=cases-ca&amp;id=urn:contentItem:5F8P-SF01-FCSB-S3M3-00000-00&amp;context=" TargetMode="External" /><Relationship Id="rId238" Type="http://schemas.openxmlformats.org/officeDocument/2006/relationships/hyperlink" Target="https://advance.lexis.com/api/document?collection=cases-ca&amp;id=urn:contentItem:5F8T-N3V1-JTGH-B1H5-00000-00&amp;context=" TargetMode="External" /><Relationship Id="rId239" Type="http://schemas.openxmlformats.org/officeDocument/2006/relationships/header" Target="header46.xml" /><Relationship Id="rId24" Type="http://schemas.openxmlformats.org/officeDocument/2006/relationships/header" Target="header9.xml" /><Relationship Id="rId240" Type="http://schemas.openxmlformats.org/officeDocument/2006/relationships/header" Target="header47.xml" /><Relationship Id="rId241" Type="http://schemas.openxmlformats.org/officeDocument/2006/relationships/footer" Target="footer46.xml" /><Relationship Id="rId242" Type="http://schemas.openxmlformats.org/officeDocument/2006/relationships/footer" Target="footer47.xml" /><Relationship Id="rId243" Type="http://schemas.openxmlformats.org/officeDocument/2006/relationships/header" Target="header48.xml" /><Relationship Id="rId244" Type="http://schemas.openxmlformats.org/officeDocument/2006/relationships/footer" Target="footer48.xml" /><Relationship Id="rId245" Type="http://schemas.openxmlformats.org/officeDocument/2006/relationships/hyperlink" Target="https://advance.lexis.com/api/document?collection=cases-ca&amp;id=urn:contentItem:5Y7J-DRJ1-JJYN-B2SH-00000-00&amp;context=" TargetMode="External" /><Relationship Id="rId246" Type="http://schemas.openxmlformats.org/officeDocument/2006/relationships/hyperlink" Target="https://advance.lexis.com/api/document?collection=cases-ca&amp;id=urn:contentItem:5F7T-S7G1-JBT7-X40C-00000-00&amp;context=" TargetMode="External" /><Relationship Id="rId247" Type="http://schemas.openxmlformats.org/officeDocument/2006/relationships/hyperlink" Target="https://advance.lexis.com/api/document?collection=cases-ca&amp;id=urn:contentItem:5F7T-S7N1-F06F-24KX-00000-00&amp;context=" TargetMode="External" /><Relationship Id="rId248" Type="http://schemas.openxmlformats.org/officeDocument/2006/relationships/hyperlink" Target="https://advance.lexis.com/api/document?collection=cases-ca&amp;id=urn:contentItem:5F7T-S701-FJDY-X2F8-00000-00&amp;context=" TargetMode="External" /><Relationship Id="rId249" Type="http://schemas.openxmlformats.org/officeDocument/2006/relationships/hyperlink" Target="https://advance.lexis.com/api/document?collection=cases-ca&amp;id=urn:contentItem:5F7T-S6Y1-DY33-B059-00000-00&amp;context=" TargetMode="External" /><Relationship Id="rId25" Type="http://schemas.openxmlformats.org/officeDocument/2006/relationships/footer" Target="footer9.xml" /><Relationship Id="rId250" Type="http://schemas.openxmlformats.org/officeDocument/2006/relationships/hyperlink" Target="https://advance.lexis.com/api/document?collection=cases-ca&amp;id=urn:contentItem:5F7T-S721-FG12-61P4-00000-00&amp;context=" TargetMode="External" /><Relationship Id="rId251" Type="http://schemas.openxmlformats.org/officeDocument/2006/relationships/header" Target="header49.xml" /><Relationship Id="rId252" Type="http://schemas.openxmlformats.org/officeDocument/2006/relationships/header" Target="header50.xml" /><Relationship Id="rId253" Type="http://schemas.openxmlformats.org/officeDocument/2006/relationships/footer" Target="footer49.xml" /><Relationship Id="rId254" Type="http://schemas.openxmlformats.org/officeDocument/2006/relationships/footer" Target="footer50.xml" /><Relationship Id="rId255" Type="http://schemas.openxmlformats.org/officeDocument/2006/relationships/header" Target="header51.xml" /><Relationship Id="rId256" Type="http://schemas.openxmlformats.org/officeDocument/2006/relationships/footer" Target="footer51.xml" /><Relationship Id="rId257" Type="http://schemas.openxmlformats.org/officeDocument/2006/relationships/hyperlink" Target="https://advance.lexis.com/api/document?collection=cases-ca&amp;id=urn:contentItem:5F7T-S7P1-JP4G-61WT-00000-00&amp;context=" TargetMode="External" /><Relationship Id="rId258" Type="http://schemas.openxmlformats.org/officeDocument/2006/relationships/hyperlink" Target="https://advance.lexis.com/api/document?collection=cases-ca&amp;id=urn:contentItem:5F7T-S6T1-F361-M02B-00000-00&amp;context=" TargetMode="External" /><Relationship Id="rId259" Type="http://schemas.openxmlformats.org/officeDocument/2006/relationships/header" Target="header52.xml" /><Relationship Id="rId26" Type="http://schemas.openxmlformats.org/officeDocument/2006/relationships/hyperlink" Target="https://advance.lexis.com/api/document?collection=cases-ca&amp;id=urn:contentItem:5F7T-S7P1-JBDT-B1BR-00000-00&amp;context=" TargetMode="External" /><Relationship Id="rId260" Type="http://schemas.openxmlformats.org/officeDocument/2006/relationships/header" Target="header53.xml" /><Relationship Id="rId261" Type="http://schemas.openxmlformats.org/officeDocument/2006/relationships/footer" Target="footer52.xml" /><Relationship Id="rId262" Type="http://schemas.openxmlformats.org/officeDocument/2006/relationships/footer" Target="footer53.xml" /><Relationship Id="rId263" Type="http://schemas.openxmlformats.org/officeDocument/2006/relationships/header" Target="header54.xml" /><Relationship Id="rId264" Type="http://schemas.openxmlformats.org/officeDocument/2006/relationships/footer" Target="footer54.xml" /><Relationship Id="rId265" Type="http://schemas.openxmlformats.org/officeDocument/2006/relationships/hyperlink" Target="https://advance.lexis.com/api/document?collection=cases-ca&amp;id=urn:contentItem:5S1P-9H61-FGJR-24TV-00000-00&amp;context=" TargetMode="External" /><Relationship Id="rId266" Type="http://schemas.openxmlformats.org/officeDocument/2006/relationships/hyperlink" Target="https://advance.lexis.com/api/document?collection=cases-ca&amp;id=urn:contentItem:5F16-9351-F2MB-S0GW-00000-00&amp;context=" TargetMode="External" /><Relationship Id="rId267" Type="http://schemas.openxmlformats.org/officeDocument/2006/relationships/hyperlink" Target="https://advance.lexis.com/api/document?collection=legislation-ca&amp;id=urn:contentItem:5F3B-B7W1-JTGH-B01X-00000-00&amp;context=" TargetMode="External" /><Relationship Id="rId268" Type="http://schemas.openxmlformats.org/officeDocument/2006/relationships/hyperlink" Target="https://advance.lexis.com/api/document?collection=cases-ca&amp;id=urn:contentItem:5F8P-JMY1-F8D9-M192-00000-00&amp;context=" TargetMode="External" /><Relationship Id="rId269" Type="http://schemas.openxmlformats.org/officeDocument/2006/relationships/hyperlink" Target="https://advance.lexis.com/api/document?collection=cases-ca&amp;id=urn:contentItem:5F7T-S7J1-JNS1-M202-00000-00&amp;context=" TargetMode="External" /><Relationship Id="rId27" Type="http://schemas.openxmlformats.org/officeDocument/2006/relationships/hyperlink" Target="https://advance.lexis.com/api/document?collection=cases-ca&amp;id=urn:contentItem:5F7T-S7K1-DY33-B1VH-00000-00&amp;context=" TargetMode="External" /><Relationship Id="rId270" Type="http://schemas.openxmlformats.org/officeDocument/2006/relationships/header" Target="header55.xml" /><Relationship Id="rId271" Type="http://schemas.openxmlformats.org/officeDocument/2006/relationships/header" Target="header56.xml" /><Relationship Id="rId272" Type="http://schemas.openxmlformats.org/officeDocument/2006/relationships/footer" Target="footer55.xml" /><Relationship Id="rId273" Type="http://schemas.openxmlformats.org/officeDocument/2006/relationships/footer" Target="footer56.xml" /><Relationship Id="rId274" Type="http://schemas.openxmlformats.org/officeDocument/2006/relationships/header" Target="header57.xml" /><Relationship Id="rId275" Type="http://schemas.openxmlformats.org/officeDocument/2006/relationships/footer" Target="footer57.xml" /><Relationship Id="rId276" Type="http://schemas.openxmlformats.org/officeDocument/2006/relationships/hyperlink" Target="https://advance.lexis.com/api/document?collection=cases-ca&amp;id=urn:contentItem:5F7T-S7H1-JFSV-G334-00000-00&amp;context=" TargetMode="External" /><Relationship Id="rId277" Type="http://schemas.openxmlformats.org/officeDocument/2006/relationships/hyperlink" Target="https://advance.lexis.com/api/document?collection=cases-ca&amp;id=urn:contentItem:5F7T-S741-FJM6-61BF-00000-00&amp;context=" TargetMode="External" /><Relationship Id="rId278" Type="http://schemas.openxmlformats.org/officeDocument/2006/relationships/hyperlink" Target="https://advance.lexis.com/api/document?collection=cases-ca&amp;id=urn:contentItem:5F7T-S761-FFMK-M0YH-00000-00&amp;context=" TargetMode="External" /><Relationship Id="rId279" Type="http://schemas.openxmlformats.org/officeDocument/2006/relationships/hyperlink" Target="https://advance.lexis.com/api/document?collection=cases-ca&amp;id=urn:contentItem:5F7T-S751-JP4G-6155-00000-00&amp;context=" TargetMode="External" /><Relationship Id="rId28" Type="http://schemas.openxmlformats.org/officeDocument/2006/relationships/hyperlink" Target="https://advance.lexis.com/api/document?collection=cases-ca&amp;id=urn:contentItem:5F81-WC31-F5KY-B4VP-00000-00&amp;context=" TargetMode="External" /><Relationship Id="rId280" Type="http://schemas.openxmlformats.org/officeDocument/2006/relationships/hyperlink" Target="https://advance.lexis.com/api/document?collection=cases-ca&amp;id=urn:contentItem:5F7T-S751-JBM1-M2MF-00000-00&amp;context=" TargetMode="External" /><Relationship Id="rId281" Type="http://schemas.openxmlformats.org/officeDocument/2006/relationships/hyperlink" Target="https://advance.lexis.com/api/document?collection=cases-ca&amp;id=urn:contentItem:5F7T-S7C1-FCSB-S20R-00000-00&amp;context=" TargetMode="External" /><Relationship Id="rId282" Type="http://schemas.openxmlformats.org/officeDocument/2006/relationships/hyperlink" Target="https://advance.lexis.com/api/document?collection=cases-ca&amp;id=urn:contentItem:5F8T-N3V1-JF75-M3KJ-00000-00&amp;context=" TargetMode="External" /><Relationship Id="rId283" Type="http://schemas.openxmlformats.org/officeDocument/2006/relationships/hyperlink" Target="https://advance.lexis.com/api/document?collection=cases-ca&amp;id=urn:contentItem:5F8T-N3V1-JTGH-B166-00000-00&amp;context=" TargetMode="External" /><Relationship Id="rId284" Type="http://schemas.openxmlformats.org/officeDocument/2006/relationships/hyperlink" Target="https://advance.lexis.com/api/document?collection=cases-ca&amp;id=urn:contentItem:5F7T-S7F1-FFFC-B1RJ-00000-00&amp;context=" TargetMode="External" /><Relationship Id="rId285" Type="http://schemas.openxmlformats.org/officeDocument/2006/relationships/hyperlink" Target="https://advance.lexis.com/api/document?collection=cases-ca&amp;id=urn:contentItem:5F8T-N3V1-FC1F-M42N-00000-00&amp;context=" TargetMode="External" /><Relationship Id="rId286" Type="http://schemas.openxmlformats.org/officeDocument/2006/relationships/hyperlink" Target="https://advance.lexis.com/api/document?collection=cases-ca&amp;id=urn:contentItem:5F8P-SDN1-F1H1-21B2-00000-00&amp;context=" TargetMode="External" /><Relationship Id="rId287" Type="http://schemas.openxmlformats.org/officeDocument/2006/relationships/hyperlink" Target="https://advance.lexis.com/api/document?collection=cases-ca&amp;id=urn:contentItem:5F8T-N3V1-JFKM-607N-00000-00&amp;context=" TargetMode="External" /><Relationship Id="rId288" Type="http://schemas.openxmlformats.org/officeDocument/2006/relationships/hyperlink" Target="https://advance.lexis.com/api/document?collection=cases-ca&amp;id=urn:contentItem:5F8T-N3T1-JJSF-23P9-00000-00&amp;context=" TargetMode="External" /><Relationship Id="rId289" Type="http://schemas.openxmlformats.org/officeDocument/2006/relationships/hyperlink" Target="https://advance.lexis.com/api/document?collection=cases-ca&amp;id=urn:contentItem:5F7T-S7C1-JXG3-X04T-00000-00&amp;context=" TargetMode="External" /><Relationship Id="rId29" Type="http://schemas.openxmlformats.org/officeDocument/2006/relationships/hyperlink" Target="https://advance.lexis.com/api/document?collection=cases-ca&amp;id=urn:contentItem:5F8T-N3S1-JBDT-B0CD-00000-00&amp;context=" TargetMode="External" /><Relationship Id="rId290" Type="http://schemas.openxmlformats.org/officeDocument/2006/relationships/hyperlink" Target="https://advance.lexis.com/api/document?collection=cases-ca&amp;id=urn:contentItem:5F7T-S771-JWBS-61DP-00000-00&amp;context=" TargetMode="External" /><Relationship Id="rId291" Type="http://schemas.openxmlformats.org/officeDocument/2006/relationships/hyperlink" Target="https://advance.lexis.com/api/document?collection=cases-ca&amp;id=urn:contentItem:5F8T-N3V1-JTGH-B0YB-00000-00&amp;context=" TargetMode="External" /><Relationship Id="rId292" Type="http://schemas.openxmlformats.org/officeDocument/2006/relationships/hyperlink" Target="https://advance.lexis.com/api/document?collection=cases-ca&amp;id=urn:contentItem:5F8P-SDT1-JCJ5-24WC-00000-00&amp;context=" TargetMode="External" /><Relationship Id="rId293" Type="http://schemas.openxmlformats.org/officeDocument/2006/relationships/hyperlink" Target="https://advance.lexis.com/api/document?collection=cases-ca&amp;id=urn:contentItem:5F7T-S751-JBM1-M2CD-00000-00&amp;context=" TargetMode="External" /><Relationship Id="rId294" Type="http://schemas.openxmlformats.org/officeDocument/2006/relationships/hyperlink" Target="https://advance.lexis.com/api/document?collection=cases-ca&amp;id=urn:contentItem:5F7T-S711-JNS1-M192-00000-00&amp;context=" TargetMode="External" /><Relationship Id="rId295" Type="http://schemas.openxmlformats.org/officeDocument/2006/relationships/hyperlink" Target="https://advance.lexis.com/api/document?collection=cases-ca&amp;id=urn:contentItem:5F7T-S741-F57G-S1VM-00000-00&amp;context=" TargetMode="External" /><Relationship Id="rId296" Type="http://schemas.openxmlformats.org/officeDocument/2006/relationships/hyperlink" Target="https://advance.lexis.com/api/document?collection=cases-ca&amp;id=urn:contentItem:5F7T-S7D1-FFFC-B193-00000-00&amp;context=" TargetMode="External" /><Relationship Id="rId297" Type="http://schemas.openxmlformats.org/officeDocument/2006/relationships/hyperlink" Target="https://advance.lexis.com/api/document?collection=cases-ca&amp;id=urn:contentItem:5F8T-N3V1-JTGH-B18F-00000-00&amp;context=" TargetMode="External" /><Relationship Id="rId298" Type="http://schemas.openxmlformats.org/officeDocument/2006/relationships/hyperlink" Target="https://advance.lexis.com/api/document?collection=cases-ca&amp;id=urn:contentItem:5F7T-S7G1-F5KY-B1S6-00000-00&amp;context=" TargetMode="External" /><Relationship Id="rId299" Type="http://schemas.openxmlformats.org/officeDocument/2006/relationships/hyperlink" Target="https://advance.lexis.com/api/document?collection=cases-ca&amp;id=urn:contentItem:5F7T-S7B1-FH4C-X3C8-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T-N3V1-FC1F-M48G-00000-00&amp;context=" TargetMode="External" /><Relationship Id="rId300" Type="http://schemas.openxmlformats.org/officeDocument/2006/relationships/hyperlink" Target="https://advance.lexis.com/api/document?collection=cases-ca&amp;id=urn:contentItem:5F7T-S7D1-DY89-M494-00000-00&amp;context=" TargetMode="External" /><Relationship Id="rId301" Type="http://schemas.openxmlformats.org/officeDocument/2006/relationships/hyperlink" Target="https://advance.lexis.com/api/document?collection=cases-ca&amp;id=urn:contentItem:5F7T-S781-F06F-23N7-00000-00&amp;context=" TargetMode="External" /><Relationship Id="rId302" Type="http://schemas.openxmlformats.org/officeDocument/2006/relationships/hyperlink" Target="https://advance.lexis.com/api/document?collection=cases-ca&amp;id=urn:contentItem:5F7T-S7C1-JSRM-60W1-00000-00&amp;context=" TargetMode="External" /><Relationship Id="rId303" Type="http://schemas.openxmlformats.org/officeDocument/2006/relationships/hyperlink" Target="https://advance.lexis.com/api/document?collection=cases-ca&amp;id=urn:contentItem:5F8T-N3V1-JTGH-B153-00000-00&amp;context=" TargetMode="External" /><Relationship Id="rId304" Type="http://schemas.openxmlformats.org/officeDocument/2006/relationships/hyperlink" Target="https://advance.lexis.com/api/document?collection=cases-ca&amp;id=urn:contentItem:5F7T-S7H1-K054-G2FJ-00000-00&amp;context=" TargetMode="External" /><Relationship Id="rId305" Type="http://schemas.openxmlformats.org/officeDocument/2006/relationships/hyperlink" Target="https://advance.lexis.com/api/document?collection=cases-ca&amp;id=urn:contentItem:5F81-VJX1-FFTT-X1GR-00000-00&amp;context=" TargetMode="External" /><Relationship Id="rId306" Type="http://schemas.openxmlformats.org/officeDocument/2006/relationships/hyperlink" Target="https://advance.lexis.com/api/document?collection=cases-ca&amp;id=urn:contentItem:5F81-VJX1-JP9P-G4MV-00000-00&amp;context=" TargetMode="External" /><Relationship Id="rId307" Type="http://schemas.openxmlformats.org/officeDocument/2006/relationships/hyperlink" Target="https://advance.lexis.com/api/document?collection=cases-ca&amp;id=urn:contentItem:5F7T-S7G1-F5KY-B1KJ-00000-00&amp;context=" TargetMode="External" /><Relationship Id="rId308" Type="http://schemas.openxmlformats.org/officeDocument/2006/relationships/hyperlink" Target="https://advance.lexis.com/api/document?collection=cases-ca&amp;id=urn:contentItem:5F8T-N3V1-JF75-M3K1-00000-00&amp;context=" TargetMode="External" /><Relationship Id="rId309" Type="http://schemas.openxmlformats.org/officeDocument/2006/relationships/hyperlink" Target="https://advance.lexis.com/api/document?collection=cases-ca&amp;id=urn:contentItem:5F7T-S7C1-JCJ5-2077-00000-00&amp;context=" TargetMode="External" /><Relationship Id="rId31" Type="http://schemas.openxmlformats.org/officeDocument/2006/relationships/hyperlink" Target="https://advance.lexis.com/api/document?collection=cases-ca&amp;id=urn:contentItem:5F8T-N3V1-JTGH-B0YP-00000-00&amp;context=" TargetMode="External" /><Relationship Id="rId310" Type="http://schemas.openxmlformats.org/officeDocument/2006/relationships/hyperlink" Target="https://advance.lexis.com/api/document?collection=cases-ca&amp;id=urn:contentItem:5F8T-N3V1-FC1F-M4BS-00000-00&amp;context=" TargetMode="External" /><Relationship Id="rId311" Type="http://schemas.openxmlformats.org/officeDocument/2006/relationships/hyperlink" Target="https://advance.lexis.com/api/document?collection=cases-ca&amp;id=urn:contentItem:5F7T-S7C1-F4NT-X3XM-00000-00&amp;context=" TargetMode="External" /><Relationship Id="rId312" Type="http://schemas.openxmlformats.org/officeDocument/2006/relationships/hyperlink" Target="https://advance.lexis.com/api/document?collection=cases-ca&amp;id=urn:contentItem:5F7T-S781-FH4C-X2R3-00000-00&amp;context=" TargetMode="External" /><Relationship Id="rId313" Type="http://schemas.openxmlformats.org/officeDocument/2006/relationships/hyperlink" Target="https://advance.lexis.com/api/document?collection=cases-ca&amp;id=urn:contentItem:5F7T-XPY1-F7G6-64SK-00000-00&amp;context=" TargetMode="External" /><Relationship Id="rId314" Type="http://schemas.openxmlformats.org/officeDocument/2006/relationships/header" Target="header58.xml" /><Relationship Id="rId315" Type="http://schemas.openxmlformats.org/officeDocument/2006/relationships/header" Target="header59.xml" /><Relationship Id="rId316" Type="http://schemas.openxmlformats.org/officeDocument/2006/relationships/footer" Target="footer58.xml" /><Relationship Id="rId317" Type="http://schemas.openxmlformats.org/officeDocument/2006/relationships/footer" Target="footer59.xml" /><Relationship Id="rId318" Type="http://schemas.openxmlformats.org/officeDocument/2006/relationships/header" Target="header60.xml" /><Relationship Id="rId319" Type="http://schemas.openxmlformats.org/officeDocument/2006/relationships/footer" Target="footer60.xml" /><Relationship Id="rId32" Type="http://schemas.openxmlformats.org/officeDocument/2006/relationships/hyperlink" Target="https://advance.lexis.com/api/document?collection=cases-ca&amp;id=urn:contentItem:5F7T-S7D1-JG02-S320-00000-00&amp;context=" TargetMode="External" /><Relationship Id="rId320" Type="http://schemas.openxmlformats.org/officeDocument/2006/relationships/hyperlink" Target="https://advance.lexis.com/api/document?collection=cases-ca&amp;id=urn:contentItem:5YGT-CP71-JB7K-22X6-00000-00&amp;context=" TargetMode="External" /><Relationship Id="rId321" Type="http://schemas.openxmlformats.org/officeDocument/2006/relationships/hyperlink" Target="https://advance.lexis.com/api/document?collection=cases-ca&amp;id=urn:contentItem:5KMV-YFM1-FJDY-X3S6-00000-00&amp;context=" TargetMode="External" /><Relationship Id="rId322" Type="http://schemas.openxmlformats.org/officeDocument/2006/relationships/hyperlink" Target="https://advance.lexis.com/api/document?collection=cases-ca&amp;id=urn:contentItem:5MTP-GH21-JX8W-M4T3-00000-00&amp;context=" TargetMode="External" /><Relationship Id="rId323" Type="http://schemas.openxmlformats.org/officeDocument/2006/relationships/hyperlink" Target="https://advance.lexis.com/api/document?collection=cases-ca&amp;id=urn:contentItem:5WSC-T661-F528-G256-00000-00&amp;context=" TargetMode="External" /><Relationship Id="rId324" Type="http://schemas.openxmlformats.org/officeDocument/2006/relationships/hyperlink" Target="https://advance.lexis.com/api/document?collection=cases-ca&amp;id=urn:contentItem:5WMJ-98H1-DY89-M0R4-00000-00&amp;context=" TargetMode="External" /><Relationship Id="rId325" Type="http://schemas.openxmlformats.org/officeDocument/2006/relationships/hyperlink" Target="https://advance.lexis.com/api/document?collection=cases-ca&amp;id=urn:contentItem:5VJP-HPW1-F57G-S307-00000-00&amp;context=" TargetMode="External" /><Relationship Id="rId326" Type="http://schemas.openxmlformats.org/officeDocument/2006/relationships/hyperlink" Target="https://advance.lexis.com/api/document?collection=cases-ca&amp;id=urn:contentItem:5GCC-XVC1-JSRM-60WV-00000-00&amp;context=" TargetMode="External" /><Relationship Id="rId327" Type="http://schemas.openxmlformats.org/officeDocument/2006/relationships/hyperlink" Target="https://advance.lexis.com/api/document?collection=cases-ca&amp;id=urn:contentItem:5F7T-S7D1-JG02-S2P3-00000-00&amp;context=" TargetMode="External" /><Relationship Id="rId328" Type="http://schemas.openxmlformats.org/officeDocument/2006/relationships/header" Target="header61.xml" /><Relationship Id="rId329" Type="http://schemas.openxmlformats.org/officeDocument/2006/relationships/header" Target="header62.xml" /><Relationship Id="rId33" Type="http://schemas.openxmlformats.org/officeDocument/2006/relationships/hyperlink" Target="https://advance.lexis.com/api/document?collection=cases-ca&amp;id=urn:contentItem:5F7V-3DG1-JJK6-S3K7-00000-00&amp;context=" TargetMode="External" /><Relationship Id="rId330" Type="http://schemas.openxmlformats.org/officeDocument/2006/relationships/footer" Target="footer61.xml" /><Relationship Id="rId331" Type="http://schemas.openxmlformats.org/officeDocument/2006/relationships/footer" Target="footer62.xml" /><Relationship Id="rId332" Type="http://schemas.openxmlformats.org/officeDocument/2006/relationships/header" Target="header63.xml" /><Relationship Id="rId333" Type="http://schemas.openxmlformats.org/officeDocument/2006/relationships/footer" Target="footer63.xml" /><Relationship Id="rId334" Type="http://schemas.openxmlformats.org/officeDocument/2006/relationships/hyperlink" Target="https://advance.lexis.com/api/document?collection=cases-ca&amp;id=urn:contentItem:5GCC-XVB1-FK0M-S4V6-00000-00&amp;context=" TargetMode="External" /><Relationship Id="rId335" Type="http://schemas.openxmlformats.org/officeDocument/2006/relationships/hyperlink" Target="https://advance.lexis.com/api/document?collection=cases-ca&amp;id=urn:contentItem:5F8T-N3V1-FH4C-X252-00000-00&amp;context=" TargetMode="External" /><Relationship Id="rId336" Type="http://schemas.openxmlformats.org/officeDocument/2006/relationships/hyperlink" Target="https://advance.lexis.com/api/document?collection=cases-ca&amp;id=urn:contentItem:5F7T-S6Y1-FJDY-X23K-00000-00&amp;context=" TargetMode="External" /><Relationship Id="rId337" Type="http://schemas.openxmlformats.org/officeDocument/2006/relationships/hyperlink" Target="https://advance.lexis.com/api/document?collection=cases-ca&amp;id=urn:contentItem:5F7T-S7D1-FFFC-B1DT-00000-00&amp;context=" TargetMode="External" /><Relationship Id="rId338" Type="http://schemas.openxmlformats.org/officeDocument/2006/relationships/hyperlink" Target="https://advance.lexis.com/api/document?collection=cases-ca&amp;id=urn:contentItem:5F7T-S7P1-JP4G-61SG-00000-00&amp;context=" TargetMode="External" /><Relationship Id="rId339" Type="http://schemas.openxmlformats.org/officeDocument/2006/relationships/hyperlink" Target="https://advance.lexis.com/api/document?collection=cases-ca&amp;id=urn:contentItem:5F7T-S7C1-JSRM-60TS-00000-00&amp;context=" TargetMode="External" /><Relationship Id="rId34" Type="http://schemas.openxmlformats.org/officeDocument/2006/relationships/hyperlink" Target="https://advance.lexis.com/api/document?collection=cases-ca&amp;id=urn:contentItem:5F7V-3DG1-JJK6-S3YV-00000-00&amp;context=" TargetMode="External" /><Relationship Id="rId340" Type="http://schemas.openxmlformats.org/officeDocument/2006/relationships/hyperlink" Target="https://advance.lexis.com/api/document?collection=cases-ca&amp;id=urn:contentItem:5F7T-S761-JGHR-M2F7-00000-00&amp;context=" TargetMode="External" /><Relationship Id="rId341" Type="http://schemas.openxmlformats.org/officeDocument/2006/relationships/header" Target="header64.xml" /><Relationship Id="rId342" Type="http://schemas.openxmlformats.org/officeDocument/2006/relationships/header" Target="header65.xml" /><Relationship Id="rId343" Type="http://schemas.openxmlformats.org/officeDocument/2006/relationships/footer" Target="footer64.xml" /><Relationship Id="rId344" Type="http://schemas.openxmlformats.org/officeDocument/2006/relationships/footer" Target="footer65.xml" /><Relationship Id="rId345" Type="http://schemas.openxmlformats.org/officeDocument/2006/relationships/header" Target="header66.xml" /><Relationship Id="rId346" Type="http://schemas.openxmlformats.org/officeDocument/2006/relationships/footer" Target="footer66.xml" /><Relationship Id="rId347" Type="http://schemas.openxmlformats.org/officeDocument/2006/relationships/hyperlink" Target="https://advance.lexis.com/api/document?collection=cases-ca&amp;id=urn:contentItem:5F7T-S7P1-JBDT-B1BS-00000-00&amp;context=" TargetMode="External" /><Relationship Id="rId348" Type="http://schemas.openxmlformats.org/officeDocument/2006/relationships/hyperlink" Target="https://advance.lexis.com/api/document?collection=cases-ca&amp;id=urn:contentItem:5F8T-N3T1-JGHR-M251-00000-00&amp;context=" TargetMode="External" /><Relationship Id="rId349" Type="http://schemas.openxmlformats.org/officeDocument/2006/relationships/hyperlink" Target="https://advance.lexis.com/api/document?collection=cases-ca&amp;id=urn:contentItem:5F8T-N3T1-JFKM-6548-00000-00&amp;context=" TargetMode="External" /><Relationship Id="rId35" Type="http://schemas.openxmlformats.org/officeDocument/2006/relationships/hyperlink" Target="https://advance.lexis.com/api/document?collection=cases-ca&amp;id=urn:contentItem:5F8T-N3S1-JT99-24N1-00000-00&amp;context=" TargetMode="External" /><Relationship Id="rId350" Type="http://schemas.openxmlformats.org/officeDocument/2006/relationships/hyperlink" Target="https://advance.lexis.com/api/document?collection=cases-ca&amp;id=urn:contentItem:5F8T-N3V1-JTGH-B1BV-00000-00&amp;context=" TargetMode="External" /><Relationship Id="rId351" Type="http://schemas.openxmlformats.org/officeDocument/2006/relationships/hyperlink" Target="https://advance.lexis.com/api/document?collection=cases-ca&amp;id=urn:contentItem:5F81-VJY1-FBN1-234R-00000-00&amp;context=" TargetMode="External" /><Relationship Id="rId352" Type="http://schemas.openxmlformats.org/officeDocument/2006/relationships/hyperlink" Target="https://advance.lexis.com/api/document?collection=cases-ca&amp;id=urn:contentItem:5F81-VJY1-FBN1-2343-00000-00&amp;context=" TargetMode="External" /><Relationship Id="rId353" Type="http://schemas.openxmlformats.org/officeDocument/2006/relationships/hyperlink" Target="https://advance.lexis.com/api/document?collection=cases-ca&amp;id=urn:contentItem:5F8P-SDN1-F65M-646W-00000-00&amp;context=" TargetMode="External" /><Relationship Id="rId354" Type="http://schemas.openxmlformats.org/officeDocument/2006/relationships/hyperlink" Target="https://advance.lexis.com/api/document?collection=cases-ca&amp;id=urn:contentItem:5F7T-S7G1-JWR6-S21H-00000-00&amp;context=" TargetMode="External" /><Relationship Id="rId355" Type="http://schemas.openxmlformats.org/officeDocument/2006/relationships/hyperlink" Target="https://advance.lexis.com/api/document?collection=cases-ca&amp;id=urn:contentItem:5F7T-S7H1-F4GK-M3FY-00000-00&amp;context=" TargetMode="External" /><Relationship Id="rId356" Type="http://schemas.openxmlformats.org/officeDocument/2006/relationships/hyperlink" Target="https://advance.lexis.com/api/document?collection=cases-ca&amp;id=urn:contentItem:5F7T-S7K1-JKHB-62YV-00000-00&amp;context=" TargetMode="External" /><Relationship Id="rId357" Type="http://schemas.openxmlformats.org/officeDocument/2006/relationships/hyperlink" Target="https://advance.lexis.com/api/document?collection=cases-ca&amp;id=urn:contentItem:5F7T-S7P1-JBDT-B145-00000-00&amp;context=" TargetMode="External" /><Relationship Id="rId358" Type="http://schemas.openxmlformats.org/officeDocument/2006/relationships/hyperlink" Target="https://advance.lexis.com/api/document?collection=cases-ca&amp;id=urn:contentItem:5F7T-S7C1-FCSB-S2KC-00000-00&amp;context=" TargetMode="External" /><Relationship Id="rId359" Type="http://schemas.openxmlformats.org/officeDocument/2006/relationships/hyperlink" Target="https://advance.lexis.com/api/document?collection=cases-ca&amp;id=urn:contentItem:5F7T-S7M1-DYMS-629X-00000-00&amp;context=" TargetMode="External" /><Relationship Id="rId36" Type="http://schemas.openxmlformats.org/officeDocument/2006/relationships/hyperlink" Target="https://advance.lexis.com/api/document?collection=cases-ca&amp;id=urn:contentItem:5F7T-S7F1-DXWW-23FX-00000-00&amp;context=" TargetMode="External" /><Relationship Id="rId360" Type="http://schemas.openxmlformats.org/officeDocument/2006/relationships/header" Target="header67.xml" /><Relationship Id="rId361" Type="http://schemas.openxmlformats.org/officeDocument/2006/relationships/header" Target="header68.xml" /><Relationship Id="rId362" Type="http://schemas.openxmlformats.org/officeDocument/2006/relationships/footer" Target="footer67.xml" /><Relationship Id="rId363" Type="http://schemas.openxmlformats.org/officeDocument/2006/relationships/footer" Target="footer68.xml" /><Relationship Id="rId364" Type="http://schemas.openxmlformats.org/officeDocument/2006/relationships/header" Target="header69.xml" /><Relationship Id="rId365" Type="http://schemas.openxmlformats.org/officeDocument/2006/relationships/footer" Target="footer69.xml" /><Relationship Id="rId366" Type="http://schemas.openxmlformats.org/officeDocument/2006/relationships/hyperlink" Target="https://advance.lexis.com/api/document?collection=cases-ca&amp;id=urn:contentItem:5F7T-S7K1-DY33-B1N9-00000-00&amp;context=" TargetMode="External" /><Relationship Id="rId367" Type="http://schemas.openxmlformats.org/officeDocument/2006/relationships/hyperlink" Target="https://advance.lexis.com/api/document?collection=cases-ca&amp;id=urn:contentItem:5F7T-S7J1-DXWW-251Y-00000-00&amp;context=" TargetMode="External" /><Relationship Id="rId368" Type="http://schemas.openxmlformats.org/officeDocument/2006/relationships/hyperlink" Target="https://advance.lexis.com/api/document?collection=cases-ca&amp;id=urn:contentItem:5F7T-S741-F7VM-S2N8-00000-00&amp;context=" TargetMode="External" /><Relationship Id="rId369" Type="http://schemas.openxmlformats.org/officeDocument/2006/relationships/hyperlink" Target="https://advance.lexis.com/api/document?collection=cases-ca&amp;id=urn:contentItem:5F7T-S711-FJDY-X352-00000-00&amp;context=" TargetMode="External" /><Relationship Id="rId37" Type="http://schemas.openxmlformats.org/officeDocument/2006/relationships/hyperlink" Target="https://advance.lexis.com/api/document?collection=cases-ca&amp;id=urn:contentItem:5F7H-KW71-JFDC-X04P-00000-00&amp;context=" TargetMode="External" /><Relationship Id="rId370" Type="http://schemas.openxmlformats.org/officeDocument/2006/relationships/hyperlink" Target="https://advance.lexis.com/api/document?collection=cases-ca&amp;id=urn:contentItem:5F7T-S721-F06F-23K9-00000-00&amp;context=" TargetMode="External" /><Relationship Id="rId371" Type="http://schemas.openxmlformats.org/officeDocument/2006/relationships/hyperlink" Target="https://advance.lexis.com/api/document?collection=cases-ca&amp;id=urn:contentItem:5F7T-S761-FFMK-M18V-00000-00&amp;context=" TargetMode="External" /><Relationship Id="rId372" Type="http://schemas.openxmlformats.org/officeDocument/2006/relationships/hyperlink" Target="https://advance.lexis.com/api/document?collection=cases-ca&amp;id=urn:contentItem:5F7T-S7D1-JN6B-S13R-00000-00&amp;context=" TargetMode="External" /><Relationship Id="rId373" Type="http://schemas.openxmlformats.org/officeDocument/2006/relationships/hyperlink" Target="https://advance.lexis.com/api/document?collection=cases-ca&amp;id=urn:contentItem:5F7T-S781-JC5P-G1HV-00000-00&amp;context=" TargetMode="External" /><Relationship Id="rId374" Type="http://schemas.openxmlformats.org/officeDocument/2006/relationships/hyperlink" Target="https://advance.lexis.com/api/document?collection=cases-ca&amp;id=urn:contentItem:5F7T-S771-F81W-22SN-00000-00&amp;context=" TargetMode="External" /><Relationship Id="rId375" Type="http://schemas.openxmlformats.org/officeDocument/2006/relationships/hyperlink" Target="https://advance.lexis.com/api/document?collection=cases-ca&amp;id=urn:contentItem:5F8T-N3V1-JTGH-B1GX-00000-00&amp;context=" TargetMode="External" /><Relationship Id="rId376" Type="http://schemas.openxmlformats.org/officeDocument/2006/relationships/hyperlink" Target="https://advance.lexis.com/api/document?collection=cases-ca&amp;id=urn:contentItem:5F7T-S7H1-FCSB-S3VF-00000-00&amp;context=" TargetMode="External" /><Relationship Id="rId377" Type="http://schemas.openxmlformats.org/officeDocument/2006/relationships/hyperlink" Target="https://advance.lexis.com/api/document?collection=cases-ca&amp;id=urn:contentItem:5F81-VJX1-JJYN-B4VK-00000-00&amp;context=" TargetMode="External" /><Relationship Id="rId378" Type="http://schemas.openxmlformats.org/officeDocument/2006/relationships/hyperlink" Target="https://advance.lexis.com/api/document?collection=cases-ca&amp;id=urn:contentItem:5F81-VJX1-JKPJ-G1J6-00000-00&amp;context=" TargetMode="External" /><Relationship Id="rId379" Type="http://schemas.openxmlformats.org/officeDocument/2006/relationships/hyperlink" Target="https://advance.lexis.com/api/document?collection=cases-ca&amp;id=urn:contentItem:5F8T-N3V1-JTGH-B1CP-00000-00&amp;context=" TargetMode="External" /><Relationship Id="rId38" Type="http://schemas.openxmlformats.org/officeDocument/2006/relationships/hyperlink" Target="https://advance.lexis.com/api/document?collection=cases-ca&amp;id=urn:contentItem:5F7T-S7M1-JPP5-22SW-00000-00&amp;context=" TargetMode="External" /><Relationship Id="rId380" Type="http://schemas.openxmlformats.org/officeDocument/2006/relationships/hyperlink" Target="https://advance.lexis.com/api/document?collection=cases-ca&amp;id=urn:contentItem:5F8T-N3P1-F956-S16C-00000-00&amp;context=" TargetMode="External" /><Relationship Id="rId381" Type="http://schemas.openxmlformats.org/officeDocument/2006/relationships/hyperlink" Target="https://advance.lexis.com/api/document?collection=cases-ca&amp;id=urn:contentItem:5F8T-N3T1-JT99-200H-00000-00&amp;context=" TargetMode="External" /><Relationship Id="rId382" Type="http://schemas.openxmlformats.org/officeDocument/2006/relationships/hyperlink" Target="https://advance.lexis.com/api/document?collection=cases-ca&amp;id=urn:contentItem:5F8T-N3V1-JF75-M3K6-00000-00&amp;context=" TargetMode="External" /><Relationship Id="rId383" Type="http://schemas.openxmlformats.org/officeDocument/2006/relationships/hyperlink" Target="https://advance.lexis.com/api/document?collection=cases-ca&amp;id=urn:contentItem:5F7T-S7J1-JGBH-B2FV-00000-00&amp;context=" TargetMode="External" /><Relationship Id="rId384" Type="http://schemas.openxmlformats.org/officeDocument/2006/relationships/hyperlink" Target="https://advance.lexis.com/api/document?collection=cases-ca&amp;id=urn:contentItem:5F7T-S7G1-JPP5-21XC-00000-00&amp;context=" TargetMode="External" /><Relationship Id="rId385" Type="http://schemas.openxmlformats.org/officeDocument/2006/relationships/hyperlink" Target="https://advance.lexis.com/api/document?collection=cases-ca&amp;id=urn:contentItem:5F7T-S741-F57G-S1KJ-00000-00&amp;context=" TargetMode="External" /><Relationship Id="rId386" Type="http://schemas.openxmlformats.org/officeDocument/2006/relationships/hyperlink" Target="https://advance.lexis.com/api/document?collection=cases-ca&amp;id=urn:contentItem:5F7T-S771-JN14-G2C9-00000-00&amp;context=" TargetMode="External" /><Relationship Id="rId387" Type="http://schemas.openxmlformats.org/officeDocument/2006/relationships/hyperlink" Target="https://advance.lexis.com/api/document?collection=cases-ca&amp;id=urn:contentItem:5F7T-XPW1-JW5H-X2J2-00000-00&amp;context=" TargetMode="External" /><Relationship Id="rId388" Type="http://schemas.openxmlformats.org/officeDocument/2006/relationships/hyperlink" Target="https://advance.lexis.com/api/document?collection=cases-ca&amp;id=urn:contentItem:5F81-VJX1-JKPJ-G1VM-00000-00&amp;context=" TargetMode="External" /><Relationship Id="rId389" Type="http://schemas.openxmlformats.org/officeDocument/2006/relationships/hyperlink" Target="https://advance.lexis.com/api/document?collection=cases-ca&amp;id=urn:contentItem:5F8T-N3S1-JBDT-B032-00000-00&amp;context=" TargetMode="External" /><Relationship Id="rId39" Type="http://schemas.openxmlformats.org/officeDocument/2006/relationships/hyperlink" Target="https://advance.lexis.com/api/document?collection=cases-ca&amp;id=urn:contentItem:5F7T-S6T1-K054-G14D-00000-00&amp;context=" TargetMode="External" /><Relationship Id="rId390" Type="http://schemas.openxmlformats.org/officeDocument/2006/relationships/hyperlink" Target="https://advance.lexis.com/api/document?collection=cases-ca&amp;id=urn:contentItem:5F7T-S7H1-JCRC-B170-00000-00&amp;context=" TargetMode="External" /><Relationship Id="rId391" Type="http://schemas.openxmlformats.org/officeDocument/2006/relationships/hyperlink" Target="https://advance.lexis.com/api/document?collection=cases-ca&amp;id=urn:contentItem:5F8T-N3S1-JT99-255N-00000-00&amp;context=" TargetMode="External" /><Relationship Id="rId392" Type="http://schemas.openxmlformats.org/officeDocument/2006/relationships/hyperlink" Target="https://advance.lexis.com/api/document?collection=cases-ca&amp;id=urn:contentItem:5F7T-S7K1-JKHB-62VR-00000-00&amp;context=" TargetMode="External" /><Relationship Id="rId393" Type="http://schemas.openxmlformats.org/officeDocument/2006/relationships/header" Target="header70.xml" /><Relationship Id="rId394" Type="http://schemas.openxmlformats.org/officeDocument/2006/relationships/header" Target="header71.xml" /><Relationship Id="rId395" Type="http://schemas.openxmlformats.org/officeDocument/2006/relationships/footer" Target="footer70.xml" /><Relationship Id="rId396" Type="http://schemas.openxmlformats.org/officeDocument/2006/relationships/footer" Target="footer71.xml" /><Relationship Id="rId397" Type="http://schemas.openxmlformats.org/officeDocument/2006/relationships/header" Target="header72.xml" /><Relationship Id="rId398" Type="http://schemas.openxmlformats.org/officeDocument/2006/relationships/footer" Target="footer72.xml" /><Relationship Id="rId399" Type="http://schemas.openxmlformats.org/officeDocument/2006/relationships/hyperlink" Target="https://advance.lexis.com/api/document?collection=cases-ca&amp;id=urn:contentItem:5YB9-XST1-JWR6-S00M-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legislation-ca&amp;id=urn:contentItem:5VYK-WB51-K054-G4Y8-00000-00&amp;context=" TargetMode="External" /><Relationship Id="rId400" Type="http://schemas.openxmlformats.org/officeDocument/2006/relationships/hyperlink" Target="https://advance.lexis.com/api/document?collection=cases-ca&amp;id=urn:contentItem:5Y27-0SP1-F06F-246K-00000-00&amp;context=" TargetMode="External" /><Relationship Id="rId401" Type="http://schemas.openxmlformats.org/officeDocument/2006/relationships/hyperlink" Target="https://advance.lexis.com/api/document?collection=cases-ca&amp;id=urn:contentItem:5X94-76V1-JT99-24TW-00000-00&amp;context=" TargetMode="External" /><Relationship Id="rId402" Type="http://schemas.openxmlformats.org/officeDocument/2006/relationships/hyperlink" Target="https://advance.lexis.com/api/document?collection=cases-ca&amp;id=urn:contentItem:5VP9-VVF1-F8SS-64YM-00000-00&amp;context=" TargetMode="External" /><Relationship Id="rId403" Type="http://schemas.openxmlformats.org/officeDocument/2006/relationships/hyperlink" Target="https://advance.lexis.com/api/document?collection=cases-ca&amp;id=urn:contentItem:5WFN-4441-JS5Y-B40M-00000-00&amp;context=" TargetMode="External" /><Relationship Id="rId404" Type="http://schemas.openxmlformats.org/officeDocument/2006/relationships/hyperlink" Target="https://advance.lexis.com/api/document?collection=cases-ca&amp;id=urn:contentItem:5WFN-4441-JS5Y-B40R-00000-00&amp;context=" TargetMode="External" /><Relationship Id="rId405" Type="http://schemas.openxmlformats.org/officeDocument/2006/relationships/hyperlink" Target="https://advance.lexis.com/api/document?collection=cases-ca&amp;id=urn:contentItem:5F7T-S7N1-JJ1H-X2XK-00000-00&amp;context=" TargetMode="External" /><Relationship Id="rId406" Type="http://schemas.openxmlformats.org/officeDocument/2006/relationships/hyperlink" Target="https://advance.lexis.com/api/document?collection=cases-ca&amp;id=urn:contentItem:5PJ3-ST61-JGBH-B1HM-00000-00&amp;context=" TargetMode="External" /><Relationship Id="rId407" Type="http://schemas.openxmlformats.org/officeDocument/2006/relationships/hyperlink" Target="https://advance.lexis.com/api/document?collection=cases-ca&amp;id=urn:contentItem:5F7T-S7F1-JFKM-61VX-00000-00&amp;context=" TargetMode="External" /><Relationship Id="rId408" Type="http://schemas.openxmlformats.org/officeDocument/2006/relationships/hyperlink" Target="https://advance.lexis.com/api/document?collection=cases-ca&amp;id=urn:contentItem:5F7T-S7N1-JW09-M0YW-00000-00&amp;context=" TargetMode="External" /><Relationship Id="rId409" Type="http://schemas.openxmlformats.org/officeDocument/2006/relationships/hyperlink" Target="https://advance.lexis.com/api/document?collection=cases-ca&amp;id=urn:contentItem:5MJ7-NBJ1-F1WF-M27C-00000-00&amp;context=" TargetMode="External" /><Relationship Id="rId41" Type="http://schemas.openxmlformats.org/officeDocument/2006/relationships/hyperlink" Target="https://advance.lexis.com/api/document?collection=cases-ca&amp;id=urn:contentItem:5F7T-S7D1-FFFC-B15N-00000-00&amp;context=" TargetMode="External" /><Relationship Id="rId410" Type="http://schemas.openxmlformats.org/officeDocument/2006/relationships/hyperlink" Target="https://advance.lexis.com/api/document?collection=cases-ca&amp;id=urn:contentItem:5F7T-S7F1-JBT7-X2R8-00000-00&amp;context=" TargetMode="External" /><Relationship Id="rId411" Type="http://schemas.openxmlformats.org/officeDocument/2006/relationships/hyperlink" Target="https://advance.lexis.com/api/document?collection=cases-ca&amp;id=urn:contentItem:5F8T-N3V1-FH4C-X234-00000-00&amp;context=" TargetMode="External" /><Relationship Id="rId412" Type="http://schemas.openxmlformats.org/officeDocument/2006/relationships/hyperlink" Target="https://advance.lexis.com/api/document?collection=cases-ca&amp;id=urn:contentItem:5F8T-N3V1-FC1F-M49F-00000-00&amp;context=" TargetMode="External" /><Relationship Id="rId413" Type="http://schemas.openxmlformats.org/officeDocument/2006/relationships/header" Target="header73.xml" /><Relationship Id="rId414" Type="http://schemas.openxmlformats.org/officeDocument/2006/relationships/header" Target="header74.xml" /><Relationship Id="rId415" Type="http://schemas.openxmlformats.org/officeDocument/2006/relationships/footer" Target="footer73.xml" /><Relationship Id="rId416" Type="http://schemas.openxmlformats.org/officeDocument/2006/relationships/footer" Target="footer74.xml" /><Relationship Id="rId417" Type="http://schemas.openxmlformats.org/officeDocument/2006/relationships/header" Target="header75.xml" /><Relationship Id="rId418" Type="http://schemas.openxmlformats.org/officeDocument/2006/relationships/footer" Target="footer75.xml" /><Relationship Id="rId419" Type="http://schemas.openxmlformats.org/officeDocument/2006/relationships/hyperlink" Target="https://advance.lexis.com/api/document?collection=cases-ca&amp;id=urn:contentItem:5F7T-S7F1-F7VM-S492-00000-00&amp;context=" TargetMode="External" /><Relationship Id="rId42" Type="http://schemas.openxmlformats.org/officeDocument/2006/relationships/hyperlink" Target="https://advance.lexis.com/api/document?collection=cases-ca&amp;id=urn:contentItem:5F7T-S771-JSJC-X0MK-00000-00&amp;context=" TargetMode="External" /><Relationship Id="rId420" Type="http://schemas.openxmlformats.org/officeDocument/2006/relationships/hyperlink" Target="https://advance.lexis.com/api/document?collection=cases-ca&amp;id=urn:contentItem:5F7T-S7D1-JXG3-X0X4-00000-00&amp;context=" TargetMode="External" /><Relationship Id="rId421" Type="http://schemas.openxmlformats.org/officeDocument/2006/relationships/hyperlink" Target="https://advance.lexis.com/api/document?collection=cases-ca&amp;id=urn:contentItem:5F8T-N3V1-JFKM-609G-00000-00&amp;context=" TargetMode="External" /><Relationship Id="rId422" Type="http://schemas.openxmlformats.org/officeDocument/2006/relationships/hyperlink" Target="https://advance.lexis.com/api/document?collection=cases-ca&amp;id=urn:contentItem:5F7T-S781-JC5P-G1TY-00000-00&amp;context=" TargetMode="External" /><Relationship Id="rId423" Type="http://schemas.openxmlformats.org/officeDocument/2006/relationships/header" Target="header76.xml" /><Relationship Id="rId424" Type="http://schemas.openxmlformats.org/officeDocument/2006/relationships/header" Target="header77.xml" /><Relationship Id="rId425" Type="http://schemas.openxmlformats.org/officeDocument/2006/relationships/footer" Target="footer76.xml" /><Relationship Id="rId426" Type="http://schemas.openxmlformats.org/officeDocument/2006/relationships/footer" Target="footer77.xml" /><Relationship Id="rId427" Type="http://schemas.openxmlformats.org/officeDocument/2006/relationships/header" Target="header78.xml" /><Relationship Id="rId428" Type="http://schemas.openxmlformats.org/officeDocument/2006/relationships/footer" Target="footer78.xml" /><Relationship Id="rId429" Type="http://schemas.openxmlformats.org/officeDocument/2006/relationships/hyperlink" Target="https://advance.lexis.com/api/document?collection=cases-ca&amp;id=urn:contentItem:5XFK-7HB1-JBM1-M11R-00000-00&amp;context=" TargetMode="External" /><Relationship Id="rId43" Type="http://schemas.openxmlformats.org/officeDocument/2006/relationships/header" Target="header10.xml" /><Relationship Id="rId430" Type="http://schemas.openxmlformats.org/officeDocument/2006/relationships/hyperlink" Target="https://advance.lexis.com/api/document?collection=cases-ca&amp;id=urn:contentItem:5F8T-N3V1-JF75-M3S6-00000-00&amp;context=" TargetMode="External" /><Relationship Id="rId431" Type="http://schemas.openxmlformats.org/officeDocument/2006/relationships/hyperlink" Target="https://advance.lexis.com/api/document?collection=cases-ca&amp;id=urn:contentItem:5F8T-N3V1-FH4C-X20M-00000-00&amp;context=" TargetMode="External" /><Relationship Id="rId432" Type="http://schemas.openxmlformats.org/officeDocument/2006/relationships/hyperlink" Target="https://advance.lexis.com/api/document?collection=cases-ca&amp;id=urn:contentItem:5F7T-S7D1-FBFS-S1M7-00000-00&amp;context=" TargetMode="External" /><Relationship Id="rId433" Type="http://schemas.openxmlformats.org/officeDocument/2006/relationships/hyperlink" Target="https://advance.lexis.com/api/document?collection=cases-ca&amp;id=urn:contentItem:5F8T-N3T1-JJSF-234V-00000-00&amp;context=" TargetMode="External" /><Relationship Id="rId434" Type="http://schemas.openxmlformats.org/officeDocument/2006/relationships/hyperlink" Target="https://advance.lexis.com/api/document?collection=cases-ca&amp;id=urn:contentItem:5F7T-S7K1-F1H1-22C1-00000-00&amp;context=" TargetMode="External" /><Relationship Id="rId435" Type="http://schemas.openxmlformats.org/officeDocument/2006/relationships/hyperlink" Target="https://advance.lexis.com/api/document?collection=cases-ca&amp;id=urn:contentItem:5R32-47Y1-F2TK-220V-00000-00&amp;context=" TargetMode="External" /><Relationship Id="rId436" Type="http://schemas.openxmlformats.org/officeDocument/2006/relationships/hyperlink" Target="https://advance.lexis.com/api/document?collection=cases-ca&amp;id=urn:contentItem:5PB4-HVX1-F57G-S322-00000-00&amp;context=" TargetMode="External" /><Relationship Id="rId437" Type="http://schemas.openxmlformats.org/officeDocument/2006/relationships/hyperlink" Target="https://advance.lexis.com/api/document?collection=cases-ca&amp;id=urn:contentItem:5SR9-JCX1-DXPM-S0NR-00000-00&amp;context=" TargetMode="External" /><Relationship Id="rId438" Type="http://schemas.openxmlformats.org/officeDocument/2006/relationships/hyperlink" Target="https://advance.lexis.com/api/document?collection=cases-ca&amp;id=urn:contentItem:5MTP-GH21-JX8W-M4TB-00000-00&amp;context=" TargetMode="External" /><Relationship Id="rId439" Type="http://schemas.openxmlformats.org/officeDocument/2006/relationships/hyperlink" Target="https://advance.lexis.com/api/document?collection=cases-ca&amp;id=urn:contentItem:5F7T-S7N1-JGHR-M37J-00000-00&amp;context=" TargetMode="External" /><Relationship Id="rId44" Type="http://schemas.openxmlformats.org/officeDocument/2006/relationships/header" Target="header11.xml" /><Relationship Id="rId440" Type="http://schemas.openxmlformats.org/officeDocument/2006/relationships/hyperlink" Target="https://advance.lexis.com/api/document?collection=cases-ca&amp;id=urn:contentItem:5SF0-P1T1-JS5Y-B1S5-00000-00&amp;context=" TargetMode="External" /><Relationship Id="rId441" Type="http://schemas.openxmlformats.org/officeDocument/2006/relationships/hyperlink" Target="https://advance.lexis.com/api/document?collection=cases-ca&amp;id=urn:contentItem:5F7T-S7K1-JKHB-62PC-00000-00&amp;context=" TargetMode="External" /><Relationship Id="rId442" Type="http://schemas.openxmlformats.org/officeDocument/2006/relationships/hyperlink" Target="https://advance.lexis.com/api/document?collection=cases-ca&amp;id=urn:contentItem:5F7T-S7K1-DY33-B1KT-00000-00&amp;context=" TargetMode="External" /><Relationship Id="rId443" Type="http://schemas.openxmlformats.org/officeDocument/2006/relationships/hyperlink" Target="https://advance.lexis.com/api/document?collection=cases-ca&amp;id=urn:contentItem:5F7T-S7F1-F7VM-S475-00000-00&amp;context=" TargetMode="External" /><Relationship Id="rId444" Type="http://schemas.openxmlformats.org/officeDocument/2006/relationships/hyperlink" Target="https://advance.lexis.com/api/document?collection=cases-ca&amp;id=urn:contentItem:5F7T-S7P1-JSJC-X1MC-00000-00&amp;context=" TargetMode="External" /><Relationship Id="rId445" Type="http://schemas.openxmlformats.org/officeDocument/2006/relationships/hyperlink" Target="https://advance.lexis.com/api/document?collection=cases-ca&amp;id=urn:contentItem:5F7T-S7P1-JP4G-620F-00000-00&amp;context=" TargetMode="External" /><Relationship Id="rId446" Type="http://schemas.openxmlformats.org/officeDocument/2006/relationships/hyperlink" Target="https://advance.lexis.com/api/document?collection=cases-ca&amp;id=urn:contentItem:5F7T-S7K1-JSJC-X168-00000-00&amp;context=" TargetMode="External" /><Relationship Id="rId447" Type="http://schemas.openxmlformats.org/officeDocument/2006/relationships/hyperlink" Target="https://advance.lexis.com/api/document?collection=cases-ca&amp;id=urn:contentItem:5F7T-S6W1-JYYX-61TX-00000-00&amp;context=" TargetMode="External" /><Relationship Id="rId448" Type="http://schemas.openxmlformats.org/officeDocument/2006/relationships/hyperlink" Target="https://advance.lexis.com/api/document?collection=cases-ca&amp;id=urn:contentItem:5F7T-S7J1-JNS1-M2G2-00000-00&amp;context=" TargetMode="External" /><Relationship Id="rId449" Type="http://schemas.openxmlformats.org/officeDocument/2006/relationships/hyperlink" Target="https://advance.lexis.com/api/document?collection=cases-ca&amp;id=urn:contentItem:5F7T-S7M1-JNCK-22MK-00000-00&amp;context=" TargetMode="External" /><Relationship Id="rId45" Type="http://schemas.openxmlformats.org/officeDocument/2006/relationships/footer" Target="footer10.xml" /><Relationship Id="rId450" Type="http://schemas.openxmlformats.org/officeDocument/2006/relationships/hyperlink" Target="https://advance.lexis.com/api/document?collection=cases-ca&amp;id=urn:contentItem:5F7T-S6W1-JB7K-21F4-00000-00&amp;context=" TargetMode="External" /><Relationship Id="rId451" Type="http://schemas.openxmlformats.org/officeDocument/2006/relationships/hyperlink" Target="https://advance.lexis.com/api/document?collection=cases-ca&amp;id=urn:contentItem:5F7T-S6X1-JTNR-M3X3-00000-00&amp;context=" TargetMode="External" /><Relationship Id="rId452" Type="http://schemas.openxmlformats.org/officeDocument/2006/relationships/hyperlink" Target="https://advance.lexis.com/api/document?collection=cases-ca&amp;id=urn:contentItem:5F7T-S791-JCJ5-251B-00000-00&amp;context=" TargetMode="External" /><Relationship Id="rId453" Type="http://schemas.openxmlformats.org/officeDocument/2006/relationships/hyperlink" Target="https://advance.lexis.com/api/document?collection=cases-ca&amp;id=urn:contentItem:5F7T-S7C1-F4NT-X3NB-00000-00&amp;context=" TargetMode="External" /><Relationship Id="rId454" Type="http://schemas.openxmlformats.org/officeDocument/2006/relationships/hyperlink" Target="https://advance.lexis.com/api/document?collection=cases-ca&amp;id=urn:contentItem:5F7T-S7N1-F57G-S2D4-00000-00&amp;context=" TargetMode="External" /><Relationship Id="rId455" Type="http://schemas.openxmlformats.org/officeDocument/2006/relationships/hyperlink" Target="https://advance.lexis.com/api/document?collection=cases-ca&amp;id=urn:contentItem:5F7T-S7K1-DY33-B1K8-00000-00&amp;context=" TargetMode="External" /><Relationship Id="rId456" Type="http://schemas.openxmlformats.org/officeDocument/2006/relationships/hyperlink" Target="https://advance.lexis.com/api/document?collection=cases-ca&amp;id=urn:contentItem:5F7T-S771-JSJC-X05N-00000-00&amp;context=" TargetMode="External" /><Relationship Id="rId457" Type="http://schemas.openxmlformats.org/officeDocument/2006/relationships/hyperlink" Target="https://advance.lexis.com/api/document?collection=cases-ca&amp;id=urn:contentItem:5RTY-1871-JCBX-S0TB-00000-00&amp;context=" TargetMode="External" /><Relationship Id="rId458" Type="http://schemas.openxmlformats.org/officeDocument/2006/relationships/hyperlink" Target="https://advance.lexis.com/api/document?collection=cases-ca&amp;id=urn:contentItem:5MJ7-NBJ1-F1WF-M26W-00000-00&amp;context=" TargetMode="External" /><Relationship Id="rId459" Type="http://schemas.openxmlformats.org/officeDocument/2006/relationships/hyperlink" Target="https://advance.lexis.com/api/document?collection=cases-ca&amp;id=urn:contentItem:5F7T-S7M1-JCRC-B1SF-00000-00&amp;context=" TargetMode="External" /><Relationship Id="rId46" Type="http://schemas.openxmlformats.org/officeDocument/2006/relationships/footer" Target="footer11.xml" /><Relationship Id="rId460" Type="http://schemas.openxmlformats.org/officeDocument/2006/relationships/hyperlink" Target="https://advance.lexis.com/api/document?collection=cases-ca&amp;id=urn:contentItem:5VK4-J891-FGJR-2411-00000-00&amp;context=" TargetMode="External" /><Relationship Id="rId461" Type="http://schemas.openxmlformats.org/officeDocument/2006/relationships/header" Target="header79.xml" /><Relationship Id="rId462" Type="http://schemas.openxmlformats.org/officeDocument/2006/relationships/header" Target="header80.xml" /><Relationship Id="rId463" Type="http://schemas.openxmlformats.org/officeDocument/2006/relationships/footer" Target="footer79.xml" /><Relationship Id="rId464" Type="http://schemas.openxmlformats.org/officeDocument/2006/relationships/footer" Target="footer80.xml" /><Relationship Id="rId465" Type="http://schemas.openxmlformats.org/officeDocument/2006/relationships/header" Target="header81.xml" /><Relationship Id="rId466" Type="http://schemas.openxmlformats.org/officeDocument/2006/relationships/footer" Target="footer81.xml" /><Relationship Id="rId467" Type="http://schemas.openxmlformats.org/officeDocument/2006/relationships/hyperlink" Target="https://advance.lexis.com/api/document?collection=cases-ca&amp;id=urn:contentItem:5F7T-S7K1-F528-G32W-00000-00&amp;context=" TargetMode="External" /><Relationship Id="rId468" Type="http://schemas.openxmlformats.org/officeDocument/2006/relationships/hyperlink" Target="https://advance.lexis.com/api/document?collection=cases-ca&amp;id=urn:contentItem:5F7T-S711-JC0G-62R6-00000-00&amp;context=" TargetMode="External" /><Relationship Id="rId469" Type="http://schemas.openxmlformats.org/officeDocument/2006/relationships/hyperlink" Target="https://advance.lexis.com/api/document?collection=cases-ca&amp;id=urn:contentItem:5F7T-S741-F8D9-M1J3-00000-00&amp;context=" TargetMode="External" /><Relationship Id="rId47" Type="http://schemas.openxmlformats.org/officeDocument/2006/relationships/header" Target="header12.xml" /><Relationship Id="rId470" Type="http://schemas.openxmlformats.org/officeDocument/2006/relationships/hyperlink" Target="https://advance.lexis.com/api/document?collection=cases-ca&amp;id=urn:contentItem:5F8P-SC81-JN14-G22V-00000-00&amp;context=" TargetMode="External" /><Relationship Id="rId471" Type="http://schemas.openxmlformats.org/officeDocument/2006/relationships/hyperlink" Target="https://advance.lexis.com/api/document?collection=cases-ca&amp;id=urn:contentItem:5F7T-S711-JNS1-M117-00000-00&amp;context=" TargetMode="External" /><Relationship Id="rId472" Type="http://schemas.openxmlformats.org/officeDocument/2006/relationships/header" Target="header82.xml" /><Relationship Id="rId473" Type="http://schemas.openxmlformats.org/officeDocument/2006/relationships/header" Target="header83.xml" /><Relationship Id="rId474" Type="http://schemas.openxmlformats.org/officeDocument/2006/relationships/footer" Target="footer82.xml" /><Relationship Id="rId475" Type="http://schemas.openxmlformats.org/officeDocument/2006/relationships/footer" Target="footer83.xml" /><Relationship Id="rId476" Type="http://schemas.openxmlformats.org/officeDocument/2006/relationships/header" Target="header84.xml" /><Relationship Id="rId477" Type="http://schemas.openxmlformats.org/officeDocument/2006/relationships/footer" Target="footer84.xml" /><Relationship Id="rId478" Type="http://schemas.openxmlformats.org/officeDocument/2006/relationships/hyperlink" Target="https://advance.lexis.com/api/document?collection=cases-ca&amp;id=urn:contentItem:5F7T-S7P1-JP4G-624M-00000-00&amp;context=" TargetMode="External" /><Relationship Id="rId479" Type="http://schemas.openxmlformats.org/officeDocument/2006/relationships/hyperlink" Target="https://advance.lexis.com/api/document?collection=legislation-ca&amp;id=urn:contentItem:5F41-1FG1-FC1F-M0TW-00000-00&amp;context=" TargetMode="External" /><Relationship Id="rId48" Type="http://schemas.openxmlformats.org/officeDocument/2006/relationships/footer" Target="footer12.xml" /><Relationship Id="rId480" Type="http://schemas.openxmlformats.org/officeDocument/2006/relationships/hyperlink" Target="https://advance.lexis.com/api/document?collection=cases-ca&amp;id=urn:contentItem:5F7T-S7G1-JBT7-X43M-00000-00&amp;context=" TargetMode="External" /><Relationship Id="rId481" Type="http://schemas.openxmlformats.org/officeDocument/2006/relationships/hyperlink" Target="https://advance.lexis.com/api/document?collection=cases-ca&amp;id=urn:contentItem:5F8T-N3V1-FC1F-M428-00000-00&amp;context=" TargetMode="External" /><Relationship Id="rId482" Type="http://schemas.openxmlformats.org/officeDocument/2006/relationships/hyperlink" Target="https://advance.lexis.com/api/document?collection=cases-ca&amp;id=urn:contentItem:5F81-YGM1-JG02-S0YS-00000-00&amp;context=" TargetMode="External" /><Relationship Id="rId483" Type="http://schemas.openxmlformats.org/officeDocument/2006/relationships/hyperlink" Target="https://advance.lexis.com/api/document?collection=cases-ca&amp;id=urn:contentItem:5F7T-S7J1-JYYX-627J-00000-00&amp;context=" TargetMode="External" /><Relationship Id="rId484" Type="http://schemas.openxmlformats.org/officeDocument/2006/relationships/hyperlink" Target="https://advance.lexis.com/api/document?collection=cases-ca&amp;id=urn:contentItem:5F7T-S741-F7VM-S2XY-00000-00&amp;context=" TargetMode="External" /><Relationship Id="rId485" Type="http://schemas.openxmlformats.org/officeDocument/2006/relationships/hyperlink" Target="https://advance.lexis.com/api/document?collection=cases-ca&amp;id=urn:contentItem:5F7T-S7J1-FGCG-S0G6-00000-00&amp;context=" TargetMode="External" /><Relationship Id="rId486" Type="http://schemas.openxmlformats.org/officeDocument/2006/relationships/hyperlink" Target="https://advance.lexis.com/api/document?collection=cases-ca&amp;id=urn:contentItem:5F7T-V421-FCCX-6180-00000-00&amp;context=" TargetMode="External" /><Relationship Id="rId487" Type="http://schemas.openxmlformats.org/officeDocument/2006/relationships/header" Target="header85.xml" /><Relationship Id="rId488" Type="http://schemas.openxmlformats.org/officeDocument/2006/relationships/header" Target="header86.xml" /><Relationship Id="rId489" Type="http://schemas.openxmlformats.org/officeDocument/2006/relationships/footer" Target="footer85.xml" /><Relationship Id="rId49" Type="http://schemas.openxmlformats.org/officeDocument/2006/relationships/hyperlink" Target="https://advance.lexis.com/api/document?collection=cases-ca&amp;id=urn:contentItem:5F7T-S7F1-JFKM-61VT-00000-00&amp;context=" TargetMode="External" /><Relationship Id="rId490" Type="http://schemas.openxmlformats.org/officeDocument/2006/relationships/footer" Target="footer86.xml" /><Relationship Id="rId491" Type="http://schemas.openxmlformats.org/officeDocument/2006/relationships/header" Target="header87.xml" /><Relationship Id="rId492" Type="http://schemas.openxmlformats.org/officeDocument/2006/relationships/footer" Target="footer87.xml" /><Relationship Id="rId493" Type="http://schemas.openxmlformats.org/officeDocument/2006/relationships/hyperlink" Target="https://advance.lexis.com/api/document?collection=cases-ca&amp;id=urn:contentItem:5K6Y-81T1-F7VM-S40C-00000-00&amp;context=" TargetMode="External" /><Relationship Id="rId494" Type="http://schemas.openxmlformats.org/officeDocument/2006/relationships/header" Target="header88.xml" /><Relationship Id="rId495" Type="http://schemas.openxmlformats.org/officeDocument/2006/relationships/header" Target="header89.xml" /><Relationship Id="rId496" Type="http://schemas.openxmlformats.org/officeDocument/2006/relationships/footer" Target="footer88.xml" /><Relationship Id="rId497" Type="http://schemas.openxmlformats.org/officeDocument/2006/relationships/footer" Target="footer89.xml" /><Relationship Id="rId498" Type="http://schemas.openxmlformats.org/officeDocument/2006/relationships/header" Target="header90.xml" /><Relationship Id="rId499" Type="http://schemas.openxmlformats.org/officeDocument/2006/relationships/footer" Target="footer90.xml" /><Relationship Id="rId5" Type="http://schemas.openxmlformats.org/officeDocument/2006/relationships/header" Target="header2.xml" /><Relationship Id="rId50" Type="http://schemas.openxmlformats.org/officeDocument/2006/relationships/header" Target="header13.xml" /><Relationship Id="rId500" Type="http://schemas.openxmlformats.org/officeDocument/2006/relationships/hyperlink" Target="https://advance.lexis.com/api/document?collection=cases-ca&amp;id=urn:contentItem:5P0Y-RR01-JG59-20FK-00000-00&amp;context=" TargetMode="External" /><Relationship Id="rId501" Type="http://schemas.openxmlformats.org/officeDocument/2006/relationships/hyperlink" Target="https://advance.lexis.com/api/document?collection=cases-ca&amp;id=urn:contentItem:5F8T-N3T1-JJSF-23BN-00000-00&amp;context=" TargetMode="External" /><Relationship Id="rId502" Type="http://schemas.openxmlformats.org/officeDocument/2006/relationships/hyperlink" Target="https://advance.lexis.com/api/document?collection=cases-ca&amp;id=urn:contentItem:5F7T-S7C1-F7VM-S3GN-00000-00&amp;context=" TargetMode="External" /><Relationship Id="rId503" Type="http://schemas.openxmlformats.org/officeDocument/2006/relationships/hyperlink" Target="https://advance.lexis.com/api/document?collection=cases-ca&amp;id=urn:contentItem:5H60-GJS1-FD4T-B163-00000-00&amp;context=" TargetMode="External" /><Relationship Id="rId504" Type="http://schemas.openxmlformats.org/officeDocument/2006/relationships/hyperlink" Target="https://advance.lexis.com/api/document?collection=cases-ca&amp;id=urn:contentItem:5GRD-0501-JSRM-61CM-00000-00&amp;context=" TargetMode="External" /><Relationship Id="rId505" Type="http://schemas.openxmlformats.org/officeDocument/2006/relationships/hyperlink" Target="https://advance.lexis.com/api/document?collection=cases-ca&amp;id=urn:contentItem:5GDF-9NJ1-F016-S165-00000-00&amp;context=" TargetMode="External" /><Relationship Id="rId506" Type="http://schemas.openxmlformats.org/officeDocument/2006/relationships/header" Target="header91.xml" /><Relationship Id="rId507" Type="http://schemas.openxmlformats.org/officeDocument/2006/relationships/header" Target="header92.xml" /><Relationship Id="rId508" Type="http://schemas.openxmlformats.org/officeDocument/2006/relationships/footer" Target="footer91.xml" /><Relationship Id="rId509" Type="http://schemas.openxmlformats.org/officeDocument/2006/relationships/footer" Target="footer92.xml" /><Relationship Id="rId51" Type="http://schemas.openxmlformats.org/officeDocument/2006/relationships/header" Target="header14.xml" /><Relationship Id="rId510" Type="http://schemas.openxmlformats.org/officeDocument/2006/relationships/header" Target="header93.xml" /><Relationship Id="rId511" Type="http://schemas.openxmlformats.org/officeDocument/2006/relationships/footer" Target="footer93.xml" /><Relationship Id="rId512" Type="http://schemas.openxmlformats.org/officeDocument/2006/relationships/hyperlink" Target="https://advance.lexis.com/api/document?collection=cases-ca&amp;id=urn:contentItem:5F7T-S7K1-JX3N-B35X-00000-00&amp;context=" TargetMode="External" /><Relationship Id="rId513" Type="http://schemas.openxmlformats.org/officeDocument/2006/relationships/hyperlink" Target="https://advance.lexis.com/api/document?collection=cases-ca&amp;id=urn:contentItem:5F7T-S731-JC0G-63HG-00000-00&amp;context=" TargetMode="External" /><Relationship Id="rId514" Type="http://schemas.openxmlformats.org/officeDocument/2006/relationships/hyperlink" Target="https://advance.lexis.com/api/document?collection=cases-ca&amp;id=urn:contentItem:5F7T-S761-JCBX-S0S8-00000-00&amp;context=" TargetMode="External" /><Relationship Id="rId515" Type="http://schemas.openxmlformats.org/officeDocument/2006/relationships/hyperlink" Target="https://advance.lexis.com/api/document?collection=cases-ca&amp;id=urn:contentItem:5F7T-S6W1-JB7K-21G3-00000-00&amp;context=" TargetMode="External" /><Relationship Id="rId516" Type="http://schemas.openxmlformats.org/officeDocument/2006/relationships/hyperlink" Target="https://advance.lexis.com/api/document?collection=cases-ca&amp;id=urn:contentItem:5F7T-S7C1-F30T-B282-00000-00&amp;context=" TargetMode="External" /><Relationship Id="rId517" Type="http://schemas.openxmlformats.org/officeDocument/2006/relationships/header" Target="header94.xml" /><Relationship Id="rId518" Type="http://schemas.openxmlformats.org/officeDocument/2006/relationships/header" Target="header95.xml" /><Relationship Id="rId519" Type="http://schemas.openxmlformats.org/officeDocument/2006/relationships/footer" Target="footer94.xml" /><Relationship Id="rId52" Type="http://schemas.openxmlformats.org/officeDocument/2006/relationships/footer" Target="footer13.xml" /><Relationship Id="rId520" Type="http://schemas.openxmlformats.org/officeDocument/2006/relationships/footer" Target="footer95.xml" /><Relationship Id="rId521" Type="http://schemas.openxmlformats.org/officeDocument/2006/relationships/header" Target="header96.xml" /><Relationship Id="rId522" Type="http://schemas.openxmlformats.org/officeDocument/2006/relationships/footer" Target="footer96.xml" /><Relationship Id="rId523" Type="http://schemas.openxmlformats.org/officeDocument/2006/relationships/hyperlink" Target="https://advance.lexis.com/api/document?collection=cases-ca&amp;id=urn:contentItem:5Y2W-6P51-K0HK-24SH-00000-00&amp;context=" TargetMode="External" /><Relationship Id="rId524" Type="http://schemas.openxmlformats.org/officeDocument/2006/relationships/hyperlink" Target="https://advance.lexis.com/api/document?collection=cases-ca&amp;id=urn:contentItem:5F7T-S7P1-JNJT-B2DR-00000-00&amp;context=" TargetMode="External" /><Relationship Id="rId525" Type="http://schemas.openxmlformats.org/officeDocument/2006/relationships/hyperlink" Target="https://advance.lexis.com/api/document?collection=cases-ca&amp;id=urn:contentItem:5F7T-S6X1-F7ND-G38M-00000-00&amp;context=" TargetMode="External" /><Relationship Id="rId526" Type="http://schemas.openxmlformats.org/officeDocument/2006/relationships/hyperlink" Target="https://advance.lexis.com/api/document?collection=cases-ca&amp;id=urn:contentItem:5F7T-S7D1-JG02-S30F-00000-00&amp;context=" TargetMode="External" /><Relationship Id="rId527" Type="http://schemas.openxmlformats.org/officeDocument/2006/relationships/hyperlink" Target="https://advance.lexis.com/api/document?collection=cases-ca&amp;id=urn:contentItem:5F7T-S781-F7G6-639Y-00000-00&amp;context=" TargetMode="External" /><Relationship Id="rId528" Type="http://schemas.openxmlformats.org/officeDocument/2006/relationships/hyperlink" Target="https://advance.lexis.com/api/document?collection=cases-ca&amp;id=urn:contentItem:5F7T-S7B1-FH4C-X3VV-00000-00&amp;context=" TargetMode="External" /><Relationship Id="rId529" Type="http://schemas.openxmlformats.org/officeDocument/2006/relationships/hyperlink" Target="https://advance.lexis.com/api/document?collection=cases-ca&amp;id=urn:contentItem:5F7T-S7H1-F4GK-M39W-00000-00&amp;context=" TargetMode="External" /><Relationship Id="rId53" Type="http://schemas.openxmlformats.org/officeDocument/2006/relationships/footer" Target="footer14.xml" /><Relationship Id="rId530" Type="http://schemas.openxmlformats.org/officeDocument/2006/relationships/hyperlink" Target="https://advance.lexis.com/api/document?collection=cases-ca&amp;id=urn:contentItem:5F7T-S7J1-FGCG-S07S-00000-00&amp;context=" TargetMode="External" /><Relationship Id="rId531" Type="http://schemas.openxmlformats.org/officeDocument/2006/relationships/hyperlink" Target="https://advance.lexis.com/api/document?collection=cases-ca&amp;id=urn:contentItem:5F7T-S7M1-JPP5-22H5-00000-00&amp;context=" TargetMode="External" /><Relationship Id="rId532" Type="http://schemas.openxmlformats.org/officeDocument/2006/relationships/header" Target="header97.xml" /><Relationship Id="rId533" Type="http://schemas.openxmlformats.org/officeDocument/2006/relationships/header" Target="header98.xml" /><Relationship Id="rId534" Type="http://schemas.openxmlformats.org/officeDocument/2006/relationships/footer" Target="footer97.xml" /><Relationship Id="rId535" Type="http://schemas.openxmlformats.org/officeDocument/2006/relationships/footer" Target="footer98.xml" /><Relationship Id="rId536" Type="http://schemas.openxmlformats.org/officeDocument/2006/relationships/header" Target="header99.xml" /><Relationship Id="rId537" Type="http://schemas.openxmlformats.org/officeDocument/2006/relationships/footer" Target="footer99.xml" /><Relationship Id="rId538" Type="http://schemas.openxmlformats.org/officeDocument/2006/relationships/hyperlink" Target="https://advance.lexis.com/api/document?collection=cases-ca&amp;id=urn:contentItem:5F7T-S7F1-JX3N-B1F7-00000-00&amp;context=" TargetMode="External" /><Relationship Id="rId539" Type="http://schemas.openxmlformats.org/officeDocument/2006/relationships/hyperlink" Target="https://advance.lexis.com/api/document?collection=cases-ca&amp;id=urn:contentItem:5F7T-S6Y1-JP9P-G1B4-00000-00&amp;context=" TargetMode="External" /><Relationship Id="rId54" Type="http://schemas.openxmlformats.org/officeDocument/2006/relationships/header" Target="header15.xml" /><Relationship Id="rId540" Type="http://schemas.openxmlformats.org/officeDocument/2006/relationships/hyperlink" Target="https://advance.lexis.com/api/document?collection=cases-ca&amp;id=urn:contentItem:5F7T-S701-JF75-M4J8-00000-00&amp;context=" TargetMode="External" /><Relationship Id="rId541" Type="http://schemas.openxmlformats.org/officeDocument/2006/relationships/header" Target="header100.xml" /><Relationship Id="rId542" Type="http://schemas.openxmlformats.org/officeDocument/2006/relationships/header" Target="header101.xml" /><Relationship Id="rId543" Type="http://schemas.openxmlformats.org/officeDocument/2006/relationships/footer" Target="footer100.xml" /><Relationship Id="rId544" Type="http://schemas.openxmlformats.org/officeDocument/2006/relationships/footer" Target="footer101.xml" /><Relationship Id="rId545" Type="http://schemas.openxmlformats.org/officeDocument/2006/relationships/header" Target="header102.xml" /><Relationship Id="rId546" Type="http://schemas.openxmlformats.org/officeDocument/2006/relationships/footer" Target="footer102.xml" /><Relationship Id="rId547" Type="http://schemas.openxmlformats.org/officeDocument/2006/relationships/hyperlink" Target="https://advance.lexis.com/api/document?collection=cases-ca&amp;id=urn:contentItem:5X5P-36Y1-F2MB-S0B1-00000-00&amp;context=" TargetMode="External" /><Relationship Id="rId548" Type="http://schemas.openxmlformats.org/officeDocument/2006/relationships/image" Target="media/image2.jpeg" /><Relationship Id="rId549" Type="http://schemas.openxmlformats.org/officeDocument/2006/relationships/image" Target="media/image3.jpeg" /><Relationship Id="rId55" Type="http://schemas.openxmlformats.org/officeDocument/2006/relationships/footer" Target="footer15.xml" /><Relationship Id="rId550" Type="http://schemas.openxmlformats.org/officeDocument/2006/relationships/image" Target="media/image4.jpeg" /><Relationship Id="rId551" Type="http://schemas.openxmlformats.org/officeDocument/2006/relationships/hyperlink" Target="https://advance.lexis.com/api/document?collection=cases-ca&amp;id=urn:contentItem:5F8T-N3P1-F7ND-G14C-00000-00&amp;context=" TargetMode="External" /><Relationship Id="rId552" Type="http://schemas.openxmlformats.org/officeDocument/2006/relationships/hyperlink" Target="https://advance.lexis.com/api/document?collection=cases-ca&amp;id=urn:contentItem:5F81-YGW1-DYFH-X025-00000-00&amp;context=" TargetMode="External" /><Relationship Id="rId553" Type="http://schemas.openxmlformats.org/officeDocument/2006/relationships/hyperlink" Target="https://advance.lexis.com/api/document?collection=cases-ca&amp;id=urn:contentItem:5F8P-SC71-JK4W-M2MK-00000-00&amp;context=" TargetMode="External" /><Relationship Id="rId554" Type="http://schemas.openxmlformats.org/officeDocument/2006/relationships/hyperlink" Target="https://advance.lexis.com/api/document?collection=cases-ca&amp;id=urn:contentItem:5F8T-N3V1-JF75-M3WX-00000-00&amp;context=" TargetMode="External" /><Relationship Id="rId555" Type="http://schemas.openxmlformats.org/officeDocument/2006/relationships/hyperlink" Target="https://advance.lexis.com/api/document?collection=cases-ca&amp;id=urn:contentItem:5NRG-V8R1-FJM6-61YN-00000-00&amp;context=" TargetMode="External" /><Relationship Id="rId556" Type="http://schemas.openxmlformats.org/officeDocument/2006/relationships/hyperlink" Target="https://advance.lexis.com/api/document?collection=cases-ca&amp;id=urn:contentItem:5VB3-JF51-FCYK-20D1-00000-00&amp;context=" TargetMode="External" /><Relationship Id="rId557" Type="http://schemas.openxmlformats.org/officeDocument/2006/relationships/hyperlink" Target="https://advance.lexis.com/api/document?collection=cases-ca&amp;id=urn:contentItem:5F7T-XPW1-F1WF-M323-00000-00&amp;context=" TargetMode="External" /><Relationship Id="rId558" Type="http://schemas.openxmlformats.org/officeDocument/2006/relationships/hyperlink" Target="https://advance.lexis.com/api/document?collection=cases-ca&amp;id=urn:contentItem:5F82-1SF1-K054-G44X-00000-00&amp;context=" TargetMode="External" /><Relationship Id="rId559" Type="http://schemas.openxmlformats.org/officeDocument/2006/relationships/hyperlink" Target="https://advance.lexis.com/api/document?collection=cases-ca&amp;id=urn:contentItem:5FXJ-PSX1-JNJT-B0JG-00000-00&amp;context=" TargetMode="External" /><Relationship Id="rId56" Type="http://schemas.openxmlformats.org/officeDocument/2006/relationships/hyperlink" Target="https://advance.lexis.com/api/document?collection=cases-ca&amp;id=urn:contentItem:5J8P-FFP1-FBN1-23X3-00000-00&amp;context=" TargetMode="External" /><Relationship Id="rId560" Type="http://schemas.openxmlformats.org/officeDocument/2006/relationships/hyperlink" Target="https://advance.lexis.com/api/document?collection=cases-ca&amp;id=urn:contentItem:5F7T-S7K1-F1H1-22C7-00000-00&amp;context=" TargetMode="External" /><Relationship Id="rId561" Type="http://schemas.openxmlformats.org/officeDocument/2006/relationships/hyperlink" Target="https://advance.lexis.com/api/document?collection=cases-ca&amp;id=urn:contentItem:5F82-1SJ1-DYMS-63DJ-00000-00&amp;context=" TargetMode="External" /><Relationship Id="rId562" Type="http://schemas.openxmlformats.org/officeDocument/2006/relationships/hyperlink" Target="https://advance.lexis.com/api/document?collection=cases-ca&amp;id=urn:contentItem:5F7T-S6T1-F361-M07P-00000-00&amp;context=" TargetMode="External" /><Relationship Id="rId563" Type="http://schemas.openxmlformats.org/officeDocument/2006/relationships/hyperlink" Target="https://advance.lexis.com/api/document?collection=cases-ca&amp;id=urn:contentItem:5F7T-S6T1-JJ1H-X2CR-00000-00&amp;context=" TargetMode="External" /><Relationship Id="rId564" Type="http://schemas.openxmlformats.org/officeDocument/2006/relationships/hyperlink" Target="https://advance.lexis.com/api/document?collection=cases-ca&amp;id=urn:contentItem:5F7T-S7N1-JGHR-M2XF-00000-00&amp;context=" TargetMode="External" /><Relationship Id="rId565" Type="http://schemas.openxmlformats.org/officeDocument/2006/relationships/hyperlink" Target="https://advance.lexis.com/api/document?collection=cases-ca&amp;id=urn:contentItem:5JBT-WT01-JT42-S159-00000-00&amp;context=" TargetMode="External" /><Relationship Id="rId566" Type="http://schemas.openxmlformats.org/officeDocument/2006/relationships/hyperlink" Target="https://advance.lexis.com/api/document?collection=cases-ca&amp;id=urn:contentItem:5F8P-SCP1-JJSF-20V8-00000-00&amp;context=" TargetMode="External" /><Relationship Id="rId567" Type="http://schemas.openxmlformats.org/officeDocument/2006/relationships/hyperlink" Target="https://advance.lexis.com/api/document?collection=cases-ca&amp;id=urn:contentItem:5F7T-S7C1-FGRY-B0H5-00000-00&amp;context=" TargetMode="External" /><Relationship Id="rId568" Type="http://schemas.openxmlformats.org/officeDocument/2006/relationships/hyperlink" Target="https://advance.lexis.com/api/document?collection=cases-ca&amp;id=urn:contentItem:5F7T-S7G1-JBT7-X484-00000-00&amp;context=" TargetMode="External" /><Relationship Id="rId569" Type="http://schemas.openxmlformats.org/officeDocument/2006/relationships/hyperlink" Target="https://advance.lexis.com/api/document?collection=cases-ca&amp;id=urn:contentItem:5M2K-D5W1-DXPM-S0H7-00000-00&amp;context=" TargetMode="External" /><Relationship Id="rId57" Type="http://schemas.openxmlformats.org/officeDocument/2006/relationships/hyperlink" Target="https://advance.lexis.com/api/document?collection=cases-ca&amp;id=urn:contentItem:5F7T-S7G1-FCYK-2073-00000-00&amp;context=" TargetMode="External" /><Relationship Id="rId570" Type="http://schemas.openxmlformats.org/officeDocument/2006/relationships/hyperlink" Target="https://advance.lexis.com/api/document?collection=cases-ca&amp;id=urn:contentItem:5F8T-N3V1-JFKM-6052-00000-00&amp;context=" TargetMode="External" /><Relationship Id="rId571" Type="http://schemas.openxmlformats.org/officeDocument/2006/relationships/hyperlink" Target="https://advance.lexis.com/api/document?collection=cases-ca&amp;id=urn:contentItem:5F7T-XPW1-JG59-21V7-00000-00&amp;context=" TargetMode="External" /><Relationship Id="rId572" Type="http://schemas.openxmlformats.org/officeDocument/2006/relationships/hyperlink" Target="https://advance.lexis.com/api/document?collection=cases-ca&amp;id=urn:contentItem:5F7T-S751-JNS1-M1BT-00000-00&amp;context=" TargetMode="External" /><Relationship Id="rId573" Type="http://schemas.openxmlformats.org/officeDocument/2006/relationships/hyperlink" Target="https://advance.lexis.com/api/document?collection=cases-ca&amp;id=urn:contentItem:5VJP-HPW1-F57G-S318-00000-00&amp;context=" TargetMode="External" /><Relationship Id="rId574" Type="http://schemas.openxmlformats.org/officeDocument/2006/relationships/hyperlink" Target="https://advance.lexis.com/api/document?collection=cases-ca&amp;id=urn:contentItem:5GCC-XVB1-FK0M-S4T8-00000-00&amp;context=" TargetMode="External" /><Relationship Id="rId575" Type="http://schemas.openxmlformats.org/officeDocument/2006/relationships/hyperlink" Target="https://advance.lexis.com/api/document?collection=cases-ca&amp;id=urn:contentItem:5RG4-SKP1-JXG3-X07P-00000-00&amp;context=" TargetMode="External" /><Relationship Id="rId576" Type="http://schemas.openxmlformats.org/officeDocument/2006/relationships/hyperlink" Target="https://advance.lexis.com/api/document?collection=cases-ca&amp;id=urn:contentItem:5F7T-S7K1-JNY7-X4JT-00000-00&amp;context=" TargetMode="External" /><Relationship Id="rId577" Type="http://schemas.openxmlformats.org/officeDocument/2006/relationships/hyperlink" Target="https://advance.lexis.com/api/document?collection=cases-ca&amp;id=urn:contentItem:5F81-VJX1-F5KY-B4DN-00000-00&amp;context=" TargetMode="External" /><Relationship Id="rId578" Type="http://schemas.openxmlformats.org/officeDocument/2006/relationships/hyperlink" Target="https://advance.lexis.com/api/document?collection=cases-ca&amp;id=urn:contentItem:5F8T-N3T1-JGHR-M26G-00000-00&amp;context=" TargetMode="External" /><Relationship Id="rId579" Type="http://schemas.openxmlformats.org/officeDocument/2006/relationships/hyperlink" Target="https://advance.lexis.com/api/document?collection=cases-ca&amp;id=urn:contentItem:5F7V-3DF1-JWR6-S39T-00000-00&amp;context=" TargetMode="External" /><Relationship Id="rId58" Type="http://schemas.openxmlformats.org/officeDocument/2006/relationships/hyperlink" Target="https://advance.lexis.com/api/document?collection=cases-ca&amp;id=urn:contentItem:5F7T-S7J1-JGBH-B23M-00000-00&amp;context=" TargetMode="External" /><Relationship Id="rId580" Type="http://schemas.openxmlformats.org/officeDocument/2006/relationships/hyperlink" Target="https://advance.lexis.com/api/document?collection=cases-ca&amp;id=urn:contentItem:5F7T-S7M1-JFSV-G3TC-00000-00&amp;context=" TargetMode="External" /><Relationship Id="rId581" Type="http://schemas.openxmlformats.org/officeDocument/2006/relationships/hyperlink" Target="https://advance.lexis.com/api/document?collection=cases-ca&amp;id=urn:contentItem:5HG9-C1T1-DYMS-64FB-00000-00&amp;context=" TargetMode="External" /><Relationship Id="rId582" Type="http://schemas.openxmlformats.org/officeDocument/2006/relationships/hyperlink" Target="https://advance.lexis.com/api/document?collection=cases-ca&amp;id=urn:contentItem:5K4C-1TN1-F528-G4DB-00000-00&amp;context=" TargetMode="External" /><Relationship Id="rId583" Type="http://schemas.openxmlformats.org/officeDocument/2006/relationships/hyperlink" Target="https://advance.lexis.com/api/document?collection=cases-ca&amp;id=urn:contentItem:5JGN-CPP1-JWR6-S269-00000-00&amp;context=" TargetMode="External" /><Relationship Id="rId584" Type="http://schemas.openxmlformats.org/officeDocument/2006/relationships/hyperlink" Target="https://advance.lexis.com/api/document?collection=cases-ca&amp;id=urn:contentItem:5MRB-VMB1-K054-G0MX-00000-00&amp;context=" TargetMode="External" /><Relationship Id="rId585" Type="http://schemas.openxmlformats.org/officeDocument/2006/relationships/hyperlink" Target="https://advance.lexis.com/api/document?collection=cases-ca&amp;id=urn:contentItem:5F8T-N3V1-FC1F-M4BT-00000-00&amp;context=" TargetMode="External" /><Relationship Id="rId586" Type="http://schemas.openxmlformats.org/officeDocument/2006/relationships/hyperlink" Target="https://advance.lexis.com/api/document?collection=cases-ca&amp;id=urn:contentItem:5F7T-S7H1-K054-G20G-00000-00&amp;context=" TargetMode="External" /><Relationship Id="rId587" Type="http://schemas.openxmlformats.org/officeDocument/2006/relationships/hyperlink" Target="https://advance.lexis.com/api/document?collection=cases-ca&amp;id=urn:contentItem:5F8T-N3V1-JTGH-B111-00000-00&amp;context=" TargetMode="External" /><Relationship Id="rId588" Type="http://schemas.openxmlformats.org/officeDocument/2006/relationships/header" Target="header103.xml" /><Relationship Id="rId589" Type="http://schemas.openxmlformats.org/officeDocument/2006/relationships/header" Target="header104.xml" /><Relationship Id="rId59" Type="http://schemas.openxmlformats.org/officeDocument/2006/relationships/hyperlink" Target="https://advance.lexis.com/api/document?collection=cases-ca&amp;id=urn:contentItem:5GCC-XVC1-FK0M-S01M-00000-00&amp;context=" TargetMode="External" /><Relationship Id="rId590" Type="http://schemas.openxmlformats.org/officeDocument/2006/relationships/footer" Target="footer103.xml" /><Relationship Id="rId591" Type="http://schemas.openxmlformats.org/officeDocument/2006/relationships/footer" Target="footer104.xml" /><Relationship Id="rId592" Type="http://schemas.openxmlformats.org/officeDocument/2006/relationships/header" Target="header105.xml" /><Relationship Id="rId593" Type="http://schemas.openxmlformats.org/officeDocument/2006/relationships/footer" Target="footer105.xml" /><Relationship Id="rId594" Type="http://schemas.openxmlformats.org/officeDocument/2006/relationships/hyperlink" Target="https://advance.lexis.com/api/document?collection=cases-ca&amp;id=urn:contentItem:5W48-C7G1-JJ6S-6146-00000-00&amp;context=" TargetMode="External" /><Relationship Id="rId595" Type="http://schemas.openxmlformats.org/officeDocument/2006/relationships/hyperlink" Target="https://advance.lexis.com/api/document?collection=cases-ca&amp;id=urn:contentItem:5F8P-SF61-JPP5-21HC-00000-00&amp;context=" TargetMode="External" /><Relationship Id="rId596" Type="http://schemas.openxmlformats.org/officeDocument/2006/relationships/hyperlink" Target="https://advance.lexis.com/api/document?collection=cases-ca&amp;id=urn:contentItem:5G6F-0731-JSJC-X1BH-00000-00&amp;context=" TargetMode="External" /><Relationship Id="rId597" Type="http://schemas.openxmlformats.org/officeDocument/2006/relationships/hyperlink" Target="https://advance.lexis.com/api/document?collection=cases-ca&amp;id=urn:contentItem:5F8T-N3V1-JTGH-B1D5-00000-00&amp;context=" TargetMode="External" /><Relationship Id="rId598" Type="http://schemas.openxmlformats.org/officeDocument/2006/relationships/hyperlink" Target="https://advance.lexis.com/api/document?collection=cases-ca&amp;id=urn:contentItem:5F7T-S721-F06F-23D1-00000-00&amp;context=" TargetMode="External" /><Relationship Id="rId599" Type="http://schemas.openxmlformats.org/officeDocument/2006/relationships/hyperlink" Target="https://advance.lexis.com/api/document?collection=cases-ca&amp;id=urn:contentItem:5F7T-S6Y1-JNY7-X296-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J1-DXWW-2531-00000-00&amp;context=" TargetMode="External" /><Relationship Id="rId600" Type="http://schemas.openxmlformats.org/officeDocument/2006/relationships/hyperlink" Target="https://advance.lexis.com/api/document?collection=cases-ca&amp;id=urn:contentItem:5F7T-S7H1-FCSB-S3RD-00000-00&amp;context=" TargetMode="External" /><Relationship Id="rId601" Type="http://schemas.openxmlformats.org/officeDocument/2006/relationships/hyperlink" Target="https://advance.lexis.com/api/document?collection=cases-ca&amp;id=urn:contentItem:5F7T-S7N1-F57G-S2PF-00000-00&amp;context=" TargetMode="External" /><Relationship Id="rId602" Type="http://schemas.openxmlformats.org/officeDocument/2006/relationships/hyperlink" Target="https://advance.lexis.com/api/document?collection=cases-ca&amp;id=urn:contentItem:5F8W-M491-JC5P-G3K3-00000-00&amp;context=" TargetMode="External" /><Relationship Id="rId603" Type="http://schemas.openxmlformats.org/officeDocument/2006/relationships/hyperlink" Target="https://advance.lexis.com/api/document?collection=cases-ca&amp;id=urn:contentItem:5F7T-S7N1-JWR6-S2GS-00000-00&amp;context=" TargetMode="External" /><Relationship Id="rId604" Type="http://schemas.openxmlformats.org/officeDocument/2006/relationships/hyperlink" Target="https://advance.lexis.com/api/document?collection=cases-ca&amp;id=urn:contentItem:5F7H-KWB1-F7ND-G1FP-00000-00&amp;context=" TargetMode="External" /><Relationship Id="rId605" Type="http://schemas.openxmlformats.org/officeDocument/2006/relationships/hyperlink" Target="https://advance.lexis.com/api/document?collection=cases-ca&amp;id=urn:contentItem:5RB8-XJC1-F528-G06F-00000-00&amp;context=" TargetMode="External" /><Relationship Id="rId606" Type="http://schemas.openxmlformats.org/officeDocument/2006/relationships/hyperlink" Target="https://advance.lexis.com/api/document?collection=cases-ca&amp;id=urn:contentItem:5F7T-S7M1-DYMS-62BG-00000-00&amp;context=" TargetMode="External" /><Relationship Id="rId607" Type="http://schemas.openxmlformats.org/officeDocument/2006/relationships/hyperlink" Target="https://advance.lexis.com/api/document?collection=cases-ca&amp;id=urn:contentItem:5F7T-S7P1-JBDT-B0WJ-00000-00&amp;context=" TargetMode="External" /><Relationship Id="rId608" Type="http://schemas.openxmlformats.org/officeDocument/2006/relationships/hyperlink" Target="https://advance.lexis.com/api/document?collection=cases-ca&amp;id=urn:contentItem:5F8T-N3T1-JGHR-M27Y-00000-00&amp;context=" TargetMode="External" /><Relationship Id="rId609" Type="http://schemas.openxmlformats.org/officeDocument/2006/relationships/hyperlink" Target="https://advance.lexis.com/api/document?collection=cases-ca&amp;id=urn:contentItem:5F7T-S7P1-JCRC-B23D-00000-00&amp;context=" TargetMode="External" /><Relationship Id="rId61" Type="http://schemas.openxmlformats.org/officeDocument/2006/relationships/hyperlink" Target="https://advance.lexis.com/api/document?collection=cases-ca&amp;id=urn:contentItem:5F7T-S6Y1-JNY7-X2F2-00000-00&amp;context=" TargetMode="External" /><Relationship Id="rId610" Type="http://schemas.openxmlformats.org/officeDocument/2006/relationships/hyperlink" Target="https://advance.lexis.com/api/document?collection=cases-ca&amp;id=urn:contentItem:5F81-VJY1-JPGX-S4K7-00000-00&amp;context=" TargetMode="External" /><Relationship Id="rId611" Type="http://schemas.openxmlformats.org/officeDocument/2006/relationships/hyperlink" Target="https://advance.lexis.com/api/document?collection=cases-ca&amp;id=urn:contentItem:5F7T-S7D1-F7ND-G0C0-00000-00&amp;context=" TargetMode="External" /><Relationship Id="rId612" Type="http://schemas.openxmlformats.org/officeDocument/2006/relationships/hyperlink" Target="https://advance.lexis.com/api/document?collection=cases-ca&amp;id=urn:contentItem:5F7T-S7P1-JCRC-B28H-00000-00&amp;context=" TargetMode="External" /><Relationship Id="rId613" Type="http://schemas.openxmlformats.org/officeDocument/2006/relationships/hyperlink" Target="https://advance.lexis.com/api/document?collection=cases-ca&amp;id=urn:contentItem:5F8P-SDC1-K0BB-S4PY-00000-00&amp;context=" TargetMode="External" /><Relationship Id="rId614" Type="http://schemas.openxmlformats.org/officeDocument/2006/relationships/hyperlink" Target="https://advance.lexis.com/api/document?collection=cases-ca&amp;id=urn:contentItem:5F8T-N3P1-FC6N-X171-00000-00&amp;context=" TargetMode="External" /><Relationship Id="rId615" Type="http://schemas.openxmlformats.org/officeDocument/2006/relationships/hyperlink" Target="https://advance.lexis.com/api/document?collection=cases-ca&amp;id=urn:contentItem:5F8T-N3T1-JFKM-6519-00000-00&amp;context=" TargetMode="External" /><Relationship Id="rId616" Type="http://schemas.openxmlformats.org/officeDocument/2006/relationships/hyperlink" Target="https://advance.lexis.com/api/document?collection=cases-ca&amp;id=urn:contentItem:5F8T-N3V1-JF75-M3FN-00000-00&amp;context=" TargetMode="External" /><Relationship Id="rId617" Type="http://schemas.openxmlformats.org/officeDocument/2006/relationships/hyperlink" Target="https://advance.lexis.com/api/document?collection=cases-ca&amp;id=urn:contentItem:5F7T-S771-JSJC-X056-00000-00&amp;context=" TargetMode="External" /><Relationship Id="rId618" Type="http://schemas.openxmlformats.org/officeDocument/2006/relationships/hyperlink" Target="https://advance.lexis.com/api/document?collection=cases-ca&amp;id=urn:contentItem:5F8T-N3V1-JF75-M3B2-00000-00&amp;context=" TargetMode="External" /><Relationship Id="rId619" Type="http://schemas.openxmlformats.org/officeDocument/2006/relationships/hyperlink" Target="https://advance.lexis.com/api/document?collection=cases-ca&amp;id=urn:contentItem:5HK3-JGT1-JPGX-S3V6-00000-00&amp;context=" TargetMode="External" /><Relationship Id="rId62" Type="http://schemas.openxmlformats.org/officeDocument/2006/relationships/hyperlink" Target="https://advance.lexis.com/api/document?collection=cases-ca&amp;id=urn:contentItem:5F7T-S6S1-F60C-X0S6-00000-00&amp;context=" TargetMode="External" /><Relationship Id="rId620" Type="http://schemas.openxmlformats.org/officeDocument/2006/relationships/hyperlink" Target="https://advance.lexis.com/api/document?collection=cases-ca&amp;id=urn:contentItem:5F7T-S6S1-FFTT-X0D5-00000-00&amp;context=" TargetMode="External" /><Relationship Id="rId621" Type="http://schemas.openxmlformats.org/officeDocument/2006/relationships/hyperlink" Target="https://advance.lexis.com/api/document?collection=cases-ca&amp;id=urn:contentItem:5F8P-SCT1-JP4G-60JD-00000-00&amp;context=" TargetMode="External" /><Relationship Id="rId622" Type="http://schemas.openxmlformats.org/officeDocument/2006/relationships/hyperlink" Target="https://advance.lexis.com/api/document?collection=cases-ca&amp;id=urn:contentItem:5F7H-KW91-F1WF-M0X3-00000-00&amp;context=" TargetMode="External" /><Relationship Id="rId623" Type="http://schemas.openxmlformats.org/officeDocument/2006/relationships/hyperlink" Target="https://advance.lexis.com/api/document?collection=cases-ca&amp;id=urn:contentItem:5F8P-SDF1-F81W-214X-00000-00&amp;context=" TargetMode="External" /><Relationship Id="rId624" Type="http://schemas.openxmlformats.org/officeDocument/2006/relationships/hyperlink" Target="https://advance.lexis.com/api/document?collection=cases-ca&amp;id=urn:contentItem:5F8P-SFC1-FCK4-G09R-00000-00&amp;context=" TargetMode="External" /><Relationship Id="rId625" Type="http://schemas.openxmlformats.org/officeDocument/2006/relationships/hyperlink" Target="https://advance.lexis.com/api/document?collection=cases-ca&amp;id=urn:contentItem:5F8T-N3S1-JT99-2506-00000-00&amp;context=" TargetMode="External" /><Relationship Id="rId626" Type="http://schemas.openxmlformats.org/officeDocument/2006/relationships/hyperlink" Target="https://advance.lexis.com/api/document?collection=cases-ca&amp;id=urn:contentItem:5F8N-K6V1-F8KH-X1F8-00000-00&amp;context=" TargetMode="External" /><Relationship Id="rId627" Type="http://schemas.openxmlformats.org/officeDocument/2006/relationships/hyperlink" Target="https://advance.lexis.com/api/document?collection=cases-ca&amp;id=urn:contentItem:5NPW-RDN1-JXG3-X2B1-00000-00&amp;context=" TargetMode="External" /><Relationship Id="rId628" Type="http://schemas.openxmlformats.org/officeDocument/2006/relationships/hyperlink" Target="https://advance.lexis.com/api/document?collection=cases-ca&amp;id=urn:contentItem:5SV3-2NS1-F1WF-M3K1-00000-00&amp;context=" TargetMode="External" /><Relationship Id="rId629" Type="http://schemas.openxmlformats.org/officeDocument/2006/relationships/hyperlink" Target="https://advance.lexis.com/api/document?collection=cases-ca&amp;id=urn:contentItem:5F8P-SCR1-JB2B-S4R8-00000-00&amp;context=" TargetMode="External" /><Relationship Id="rId63" Type="http://schemas.openxmlformats.org/officeDocument/2006/relationships/hyperlink" Target="https://advance.lexis.com/api/document?collection=cases-ca&amp;id=urn:contentItem:5F7T-S6X1-F7ND-G3F1-00000-00&amp;context=" TargetMode="External" /><Relationship Id="rId630" Type="http://schemas.openxmlformats.org/officeDocument/2006/relationships/hyperlink" Target="https://advance.lexis.com/api/document?collection=cases-ca&amp;id=urn:contentItem:5F8N-K6T1-F8SS-61F9-00000-00&amp;context=" TargetMode="External" /><Relationship Id="rId631" Type="http://schemas.openxmlformats.org/officeDocument/2006/relationships/hyperlink" Target="https://advance.lexis.com/api/document?collection=cases-ca&amp;id=urn:contentItem:5F7V-3DD1-JC5P-G2J7-00000-00&amp;context=" TargetMode="External" /><Relationship Id="rId632" Type="http://schemas.openxmlformats.org/officeDocument/2006/relationships/hyperlink" Target="https://advance.lexis.com/api/document?collection=cases-ca&amp;id=urn:contentItem:5F7T-S721-FD4T-B11P-00000-00&amp;context=" TargetMode="External" /><Relationship Id="rId633" Type="http://schemas.openxmlformats.org/officeDocument/2006/relationships/hyperlink" Target="https://advance.lexis.com/api/document?collection=cases-ca&amp;id=urn:contentItem:5SFM-V1B1-JYYX-603S-00000-00&amp;context=" TargetMode="External" /><Relationship Id="rId634" Type="http://schemas.openxmlformats.org/officeDocument/2006/relationships/header" Target="header106.xml" /><Relationship Id="rId635" Type="http://schemas.openxmlformats.org/officeDocument/2006/relationships/header" Target="header107.xml" /><Relationship Id="rId636" Type="http://schemas.openxmlformats.org/officeDocument/2006/relationships/footer" Target="footer106.xml" /><Relationship Id="rId637" Type="http://schemas.openxmlformats.org/officeDocument/2006/relationships/footer" Target="footer107.xml" /><Relationship Id="rId638" Type="http://schemas.openxmlformats.org/officeDocument/2006/relationships/header" Target="header108.xml" /><Relationship Id="rId639" Type="http://schemas.openxmlformats.org/officeDocument/2006/relationships/footer" Target="footer108.xml" /><Relationship Id="rId64" Type="http://schemas.openxmlformats.org/officeDocument/2006/relationships/hyperlink" Target="https://advance.lexis.com/api/document?collection=cases-ca&amp;id=urn:contentItem:5F7T-S721-F956-S1F2-00000-00&amp;context=" TargetMode="External" /><Relationship Id="rId640" Type="http://schemas.openxmlformats.org/officeDocument/2006/relationships/hyperlink" Target="https://advance.lexis.com/api/document?collection=cases-ca&amp;id=urn:contentItem:5F7T-S7C1-F7VM-S3H6-00000-00&amp;context=" TargetMode="External" /><Relationship Id="rId641" Type="http://schemas.openxmlformats.org/officeDocument/2006/relationships/hyperlink" Target="https://advance.lexis.com/api/document?collection=cases-ca&amp;id=urn:contentItem:5F7T-S741-F1H1-21RG-00000-00&amp;context=" TargetMode="External" /><Relationship Id="rId642" Type="http://schemas.openxmlformats.org/officeDocument/2006/relationships/header" Target="header109.xml" /><Relationship Id="rId643" Type="http://schemas.openxmlformats.org/officeDocument/2006/relationships/header" Target="header110.xml" /><Relationship Id="rId644" Type="http://schemas.openxmlformats.org/officeDocument/2006/relationships/footer" Target="footer109.xml" /><Relationship Id="rId645" Type="http://schemas.openxmlformats.org/officeDocument/2006/relationships/footer" Target="footer110.xml" /><Relationship Id="rId646" Type="http://schemas.openxmlformats.org/officeDocument/2006/relationships/header" Target="header111.xml" /><Relationship Id="rId647" Type="http://schemas.openxmlformats.org/officeDocument/2006/relationships/footer" Target="footer111.xml" /><Relationship Id="rId648" Type="http://schemas.openxmlformats.org/officeDocument/2006/relationships/hyperlink" Target="https://advance.lexis.com/api/document?collection=cases-ca&amp;id=urn:contentItem:5F7T-S7J1-JYYX-62G5-00000-00&amp;context=" TargetMode="External" /><Relationship Id="rId649" Type="http://schemas.openxmlformats.org/officeDocument/2006/relationships/hyperlink" Target="https://advance.lexis.com/api/document?collection=cases-ca&amp;id=urn:contentItem:5F7T-S7J1-JNS1-M2J2-00000-00&amp;context=" TargetMode="External" /><Relationship Id="rId65" Type="http://schemas.openxmlformats.org/officeDocument/2006/relationships/hyperlink" Target="https://advance.lexis.com/api/document?collection=cases-ca&amp;id=urn:contentItem:5F7T-S7N1-JW09-M0WH-00000-00&amp;context=" TargetMode="External" /><Relationship Id="rId650" Type="http://schemas.openxmlformats.org/officeDocument/2006/relationships/header" Target="header112.xml" /><Relationship Id="rId651" Type="http://schemas.openxmlformats.org/officeDocument/2006/relationships/header" Target="header113.xml" /><Relationship Id="rId652" Type="http://schemas.openxmlformats.org/officeDocument/2006/relationships/footer" Target="footer112.xml" /><Relationship Id="rId653" Type="http://schemas.openxmlformats.org/officeDocument/2006/relationships/footer" Target="footer113.xml" /><Relationship Id="rId654" Type="http://schemas.openxmlformats.org/officeDocument/2006/relationships/header" Target="header114.xml" /><Relationship Id="rId655" Type="http://schemas.openxmlformats.org/officeDocument/2006/relationships/footer" Target="footer114.xml" /><Relationship Id="rId656" Type="http://schemas.openxmlformats.org/officeDocument/2006/relationships/hyperlink" Target="https://advance.lexis.com/api/document?collection=cases-ca&amp;id=urn:contentItem:5F7T-S7C1-FCSB-S294-00000-00&amp;context=" TargetMode="External" /><Relationship Id="rId657" Type="http://schemas.openxmlformats.org/officeDocument/2006/relationships/hyperlink" Target="https://advance.lexis.com/api/document?collection=cases-ca&amp;id=urn:contentItem:5F7T-S741-DY89-M3R5-00000-00&amp;context=" TargetMode="External" /><Relationship Id="rId658" Type="http://schemas.openxmlformats.org/officeDocument/2006/relationships/header" Target="header115.xml" /><Relationship Id="rId659" Type="http://schemas.openxmlformats.org/officeDocument/2006/relationships/header" Target="header116.xml" /><Relationship Id="rId66" Type="http://schemas.openxmlformats.org/officeDocument/2006/relationships/hyperlink" Target="https://advance.lexis.com/api/document?collection=cases-ca&amp;id=urn:contentItem:5F8T-N3R1-JNS1-M180-00000-00&amp;context=" TargetMode="External" /><Relationship Id="rId660" Type="http://schemas.openxmlformats.org/officeDocument/2006/relationships/footer" Target="footer115.xml" /><Relationship Id="rId661" Type="http://schemas.openxmlformats.org/officeDocument/2006/relationships/footer" Target="footer116.xml" /><Relationship Id="rId662" Type="http://schemas.openxmlformats.org/officeDocument/2006/relationships/header" Target="header117.xml" /><Relationship Id="rId663" Type="http://schemas.openxmlformats.org/officeDocument/2006/relationships/footer" Target="footer117.xml" /><Relationship Id="rId664" Type="http://schemas.openxmlformats.org/officeDocument/2006/relationships/hyperlink" Target="https://advance.lexis.com/api/document?collection=cases-ca&amp;id=urn:contentItem:5F7T-S7M1-JFSV-G3R4-00000-00&amp;context=" TargetMode="External" /><Relationship Id="rId665" Type="http://schemas.openxmlformats.org/officeDocument/2006/relationships/hyperlink" Target="https://advance.lexis.com/api/document?collection=cases-ca&amp;id=urn:contentItem:5F7T-S741-F8D9-M1V7-00000-00&amp;context=" TargetMode="External" /><Relationship Id="rId666" Type="http://schemas.openxmlformats.org/officeDocument/2006/relationships/hyperlink" Target="https://advance.lexis.com/api/document?collection=cases-ca&amp;id=urn:contentItem:5F7T-S7M1-DYMS-62DS-00000-00&amp;context=" TargetMode="External" /><Relationship Id="rId667" Type="http://schemas.openxmlformats.org/officeDocument/2006/relationships/hyperlink" Target="https://advance.lexis.com/api/document?collection=cases-ca&amp;id=urn:contentItem:5F7T-S7F1-JBT7-X2RT-00000-00&amp;context=" TargetMode="External" /><Relationship Id="rId668" Type="http://schemas.openxmlformats.org/officeDocument/2006/relationships/hyperlink" Target="https://advance.lexis.com/api/document?collection=cases-ca&amp;id=urn:contentItem:5F7T-S7H1-FCSB-S3KG-00000-00&amp;context=" TargetMode="External" /><Relationship Id="rId669" Type="http://schemas.openxmlformats.org/officeDocument/2006/relationships/hyperlink" Target="https://advance.lexis.com/api/document?collection=cases-ca&amp;id=urn:contentItem:5F8T-N3T1-JGHR-M1TK-00000-00&amp;context=" TargetMode="External" /><Relationship Id="rId67" Type="http://schemas.openxmlformats.org/officeDocument/2006/relationships/hyperlink" Target="https://advance.lexis.com/api/document?collection=cases-ca&amp;id=urn:contentItem:5F7T-S751-JGHR-M1VK-00000-00&amp;context=" TargetMode="External" /><Relationship Id="rId670" Type="http://schemas.openxmlformats.org/officeDocument/2006/relationships/hyperlink" Target="https://advance.lexis.com/api/document?collection=cases-ca&amp;id=urn:contentItem:5F7T-S781-F7G6-63MT-00000-00&amp;context=" TargetMode="External" /><Relationship Id="rId671" Type="http://schemas.openxmlformats.org/officeDocument/2006/relationships/hyperlink" Target="https://advance.lexis.com/api/document?collection=cases-ca&amp;id=urn:contentItem:5F7T-S7J1-JGBH-B2HV-00000-00&amp;context=" TargetMode="External" /><Relationship Id="rId672" Type="http://schemas.openxmlformats.org/officeDocument/2006/relationships/hyperlink" Target="https://advance.lexis.com/api/document?collection=cases-ca&amp;id=urn:contentItem:5F8T-N3V1-FC1F-M4C7-00000-00&amp;context=" TargetMode="External" /><Relationship Id="rId673" Type="http://schemas.openxmlformats.org/officeDocument/2006/relationships/hyperlink" Target="https://advance.lexis.com/api/document?collection=cases-ca&amp;id=urn:contentItem:5F8T-N3V1-FC1F-M41M-00000-00&amp;context=" TargetMode="External" /><Relationship Id="rId674" Type="http://schemas.openxmlformats.org/officeDocument/2006/relationships/hyperlink" Target="https://advance.lexis.com/api/document?collection=cases-ca&amp;id=urn:contentItem:5F8T-N3V1-JTGH-B132-00000-00&amp;context=" TargetMode="External" /><Relationship Id="rId675" Type="http://schemas.openxmlformats.org/officeDocument/2006/relationships/hyperlink" Target="https://advance.lexis.com/api/document?collection=cases-ca&amp;id=urn:contentItem:5F7T-S771-F2TK-22YP-00000-00&amp;context=" TargetMode="External" /><Relationship Id="rId676" Type="http://schemas.openxmlformats.org/officeDocument/2006/relationships/hyperlink" Target="https://advance.lexis.com/api/document?collection=cases-ca&amp;id=urn:contentItem:5F7T-S751-JG02-S26G-00000-00&amp;context=" TargetMode="External" /><Relationship Id="rId677" Type="http://schemas.openxmlformats.org/officeDocument/2006/relationships/hyperlink" Target="https://advance.lexis.com/api/document?collection=cases-ca&amp;id=urn:contentItem:5F7T-S781-F06F-245J-00000-00&amp;context=" TargetMode="External" /><Relationship Id="rId678" Type="http://schemas.openxmlformats.org/officeDocument/2006/relationships/hyperlink" Target="https://advance.lexis.com/api/document?collection=cases-ca&amp;id=urn:contentItem:5F7T-S7K1-JWXF-20TX-00000-00&amp;context=" TargetMode="External" /><Relationship Id="rId679" Type="http://schemas.openxmlformats.org/officeDocument/2006/relationships/hyperlink" Target="https://advance.lexis.com/api/document?collection=cases-ca&amp;id=urn:contentItem:5F7T-S751-JG02-S20B-00000-00&amp;context=" TargetMode="External" /><Relationship Id="rId68" Type="http://schemas.openxmlformats.org/officeDocument/2006/relationships/hyperlink" Target="https://advance.lexis.com/api/document?collection=cases-ca&amp;id=urn:contentItem:5F7T-S7K1-JWXF-2137-00000-00&amp;context=" TargetMode="External" /><Relationship Id="rId680" Type="http://schemas.openxmlformats.org/officeDocument/2006/relationships/hyperlink" Target="https://advance.lexis.com/api/document?collection=cases-ca&amp;id=urn:contentItem:5F7T-S7M1-F4W2-6298-00000-00&amp;context=" TargetMode="External" /><Relationship Id="rId681" Type="http://schemas.openxmlformats.org/officeDocument/2006/relationships/hyperlink" Target="https://advance.lexis.com/api/document?collection=cases-ca&amp;id=urn:contentItem:5F7T-S781-DYMS-61N0-00000-00&amp;context=" TargetMode="External" /><Relationship Id="rId682" Type="http://schemas.openxmlformats.org/officeDocument/2006/relationships/hyperlink" Target="https://advance.lexis.com/api/document?collection=cases-ca&amp;id=urn:contentItem:5F7T-S6T1-JJSF-21HV-00000-00&amp;context=" TargetMode="External" /><Relationship Id="rId683" Type="http://schemas.openxmlformats.org/officeDocument/2006/relationships/hyperlink" Target="https://advance.lexis.com/api/document?collection=cases-ca&amp;id=urn:contentItem:5F7T-S741-FJM6-61JY-00000-00&amp;context=" TargetMode="External" /><Relationship Id="rId684" Type="http://schemas.openxmlformats.org/officeDocument/2006/relationships/hyperlink" Target="https://advance.lexis.com/api/document?collection=cases-ca&amp;id=urn:contentItem:5F7T-S7J1-JNS1-M271-00000-00&amp;context=" TargetMode="External" /><Relationship Id="rId685" Type="http://schemas.openxmlformats.org/officeDocument/2006/relationships/hyperlink" Target="https://advance.lexis.com/api/document?collection=cases-ca&amp;id=urn:contentItem:5F7T-S7K1-F1H1-223T-00000-00&amp;context=" TargetMode="External" /><Relationship Id="rId686" Type="http://schemas.openxmlformats.org/officeDocument/2006/relationships/header" Target="header118.xml" /><Relationship Id="rId687" Type="http://schemas.openxmlformats.org/officeDocument/2006/relationships/header" Target="header119.xml" /><Relationship Id="rId688" Type="http://schemas.openxmlformats.org/officeDocument/2006/relationships/footer" Target="footer118.xml" /><Relationship Id="rId689" Type="http://schemas.openxmlformats.org/officeDocument/2006/relationships/footer" Target="footer119.xml" /><Relationship Id="rId69" Type="http://schemas.openxmlformats.org/officeDocument/2006/relationships/hyperlink" Target="https://advance.lexis.com/api/document?collection=cases-ca&amp;id=urn:contentItem:5F7T-S711-F4W2-61KC-00000-00&amp;context=" TargetMode="External" /><Relationship Id="rId690" Type="http://schemas.openxmlformats.org/officeDocument/2006/relationships/header" Target="header120.xml" /><Relationship Id="rId691" Type="http://schemas.openxmlformats.org/officeDocument/2006/relationships/footer" Target="footer120.xml" /><Relationship Id="rId692" Type="http://schemas.openxmlformats.org/officeDocument/2006/relationships/hyperlink" Target="https://advance.lexis.com/api/document?collection=cases-ca&amp;id=urn:contentItem:5K6Y-81T1-F7VM-S3X5-00000-00&amp;context=" TargetMode="External" /><Relationship Id="rId693" Type="http://schemas.openxmlformats.org/officeDocument/2006/relationships/header" Target="header121.xml" /><Relationship Id="rId694" Type="http://schemas.openxmlformats.org/officeDocument/2006/relationships/header" Target="header122.xml" /><Relationship Id="rId695" Type="http://schemas.openxmlformats.org/officeDocument/2006/relationships/footer" Target="footer121.xml" /><Relationship Id="rId696" Type="http://schemas.openxmlformats.org/officeDocument/2006/relationships/footer" Target="footer122.xml" /><Relationship Id="rId697" Type="http://schemas.openxmlformats.org/officeDocument/2006/relationships/header" Target="header123.xml" /><Relationship Id="rId698" Type="http://schemas.openxmlformats.org/officeDocument/2006/relationships/footer" Target="footer123.xml" /><Relationship Id="rId699" Type="http://schemas.openxmlformats.org/officeDocument/2006/relationships/hyperlink" Target="https://advance.lexis.com/api/document?collection=cases-ca&amp;id=urn:contentItem:5F7T-S7B1-JCJ5-206D-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8T-N3V1-JTGH-B1H4-00000-00&amp;context=" TargetMode="External" /><Relationship Id="rId700" Type="http://schemas.openxmlformats.org/officeDocument/2006/relationships/hyperlink" Target="https://advance.lexis.com/api/document?collection=cases-ca&amp;id=urn:contentItem:5F8T-N3S1-JBDT-B0FP-00000-00&amp;context=" TargetMode="External" /><Relationship Id="rId701" Type="http://schemas.openxmlformats.org/officeDocument/2006/relationships/hyperlink" Target="https://advance.lexis.com/api/document?collection=cases-ca&amp;id=urn:contentItem:5F7T-S7G1-JBT7-X459-00000-00&amp;context=" TargetMode="External" /><Relationship Id="rId702" Type="http://schemas.openxmlformats.org/officeDocument/2006/relationships/hyperlink" Target="https://advance.lexis.com/api/document?collection=cases-ca&amp;id=urn:contentItem:5F7T-S6T1-F8KH-X0HS-00000-00&amp;context=" TargetMode="External" /><Relationship Id="rId703" Type="http://schemas.openxmlformats.org/officeDocument/2006/relationships/hyperlink" Target="https://advance.lexis.com/api/document?collection=cases-ca&amp;id=urn:contentItem:5F7T-S6T1-DY89-M2YK-00000-00&amp;context=" TargetMode="External" /><Relationship Id="rId704" Type="http://schemas.openxmlformats.org/officeDocument/2006/relationships/hyperlink" Target="https://advance.lexis.com/api/document?collection=cases-ca&amp;id=urn:contentItem:5F8T-N3T1-JFKM-6508-00000-00&amp;context=" TargetMode="External" /><Relationship Id="rId705" Type="http://schemas.openxmlformats.org/officeDocument/2006/relationships/hyperlink" Target="https://advance.lexis.com/api/document?collection=cases-ca&amp;id=urn:contentItem:5F81-VJS1-JT99-22TJ-00000-00&amp;context=" TargetMode="External" /><Relationship Id="rId706" Type="http://schemas.openxmlformats.org/officeDocument/2006/relationships/header" Target="header124.xml" /><Relationship Id="rId707" Type="http://schemas.openxmlformats.org/officeDocument/2006/relationships/header" Target="header125.xml" /><Relationship Id="rId708" Type="http://schemas.openxmlformats.org/officeDocument/2006/relationships/footer" Target="footer124.xml" /><Relationship Id="rId709" Type="http://schemas.openxmlformats.org/officeDocument/2006/relationships/footer" Target="footer125.xml" /><Relationship Id="rId71" Type="http://schemas.openxmlformats.org/officeDocument/2006/relationships/hyperlink" Target="https://advance.lexis.com/api/document?collection=cases-ca&amp;id=urn:contentItem:5F8T-N3V1-FC1F-M42M-00000-00&amp;context=" TargetMode="External" /><Relationship Id="rId710" Type="http://schemas.openxmlformats.org/officeDocument/2006/relationships/header" Target="header126.xml" /><Relationship Id="rId711" Type="http://schemas.openxmlformats.org/officeDocument/2006/relationships/footer" Target="footer126.xml" /><Relationship Id="rId712" Type="http://schemas.openxmlformats.org/officeDocument/2006/relationships/hyperlink" Target="https://advance.lexis.com/api/document?collection=cases-ca&amp;id=urn:contentItem:5H0N-67B1-FJTD-G157-00000-00&amp;context=" TargetMode="External" /><Relationship Id="rId713" Type="http://schemas.openxmlformats.org/officeDocument/2006/relationships/hyperlink" Target="https://advance.lexis.com/api/document?collection=legislation-ca&amp;id=urn:contentItem:5VYK-W9Y1-F2F4-G3VM-00000-00&amp;context=" TargetMode="External" /><Relationship Id="rId714" Type="http://schemas.openxmlformats.org/officeDocument/2006/relationships/hyperlink" Target="https://advance.lexis.com/api/document?collection=legislation-ca&amp;id=urn:contentItem:5VYK-WB61-JXG3-X3FD-00000-00&amp;context=" TargetMode="External" /><Relationship Id="rId715" Type="http://schemas.openxmlformats.org/officeDocument/2006/relationships/hyperlink" Target="https://advance.lexis.com/api/document?collection=cases-ca&amp;id=urn:contentItem:5GCC-XVB1-FK0M-S4T5-00000-00&amp;context=" TargetMode="External" /><Relationship Id="rId716" Type="http://schemas.openxmlformats.org/officeDocument/2006/relationships/hyperlink" Target="https://advance.lexis.com/api/document?collection=cases-ca&amp;id=urn:contentItem:5F7T-S7C1-JXG3-X0HM-00000-00&amp;context=" TargetMode="External" /><Relationship Id="rId717" Type="http://schemas.openxmlformats.org/officeDocument/2006/relationships/hyperlink" Target="https://advance.lexis.com/api/document?collection=cases-ca&amp;id=urn:contentItem:5GCC-XVC1-FK0M-S01C-00000-00&amp;context=" TargetMode="External" /><Relationship Id="rId718" Type="http://schemas.openxmlformats.org/officeDocument/2006/relationships/hyperlink" Target="https://advance.lexis.com/api/document?collection=cases-ca&amp;id=urn:contentItem:5F8T-N3V1-JTGH-B175-00000-00&amp;context=" TargetMode="External" /><Relationship Id="rId719" Type="http://schemas.openxmlformats.org/officeDocument/2006/relationships/hyperlink" Target="https://advance.lexis.com/api/document?collection=cases-ca&amp;id=urn:contentItem:5F7T-S7M1-JPP5-22F0-00000-00&amp;context=" TargetMode="External" /><Relationship Id="rId72" Type="http://schemas.openxmlformats.org/officeDocument/2006/relationships/hyperlink" Target="https://advance.lexis.com/api/document?collection=cases-ca&amp;id=urn:contentItem:5F8T-N3V1-JTGH-B10R-00000-00&amp;context=" TargetMode="External" /><Relationship Id="rId720" Type="http://schemas.openxmlformats.org/officeDocument/2006/relationships/hyperlink" Target="https://advance.lexis.com/api/document?collection=cases-ca&amp;id=urn:contentItem:5F7T-S7K1-F1H1-22GK-00000-00&amp;context=" TargetMode="External" /><Relationship Id="rId721" Type="http://schemas.openxmlformats.org/officeDocument/2006/relationships/hyperlink" Target="https://advance.lexis.com/api/document?collection=cases-ca&amp;id=urn:contentItem:5F7T-S7H1-F4GK-M2VX-00000-00&amp;context=" TargetMode="External" /><Relationship Id="rId722" Type="http://schemas.openxmlformats.org/officeDocument/2006/relationships/hyperlink" Target="https://advance.lexis.com/api/document?collection=cases-ca&amp;id=urn:contentItem:5F7T-S7D1-JG02-S34G-00000-00&amp;context=" TargetMode="External" /><Relationship Id="rId723" Type="http://schemas.openxmlformats.org/officeDocument/2006/relationships/hyperlink" Target="https://advance.lexis.com/api/document?collection=cases-ca&amp;id=urn:contentItem:5F7T-S7K1-JWXF-213R-00000-00&amp;context=" TargetMode="External" /><Relationship Id="rId724" Type="http://schemas.openxmlformats.org/officeDocument/2006/relationships/hyperlink" Target="https://advance.lexis.com/api/document?collection=cases-ca&amp;id=urn:contentItem:5F7T-S761-F81W-224T-00000-00&amp;context=" TargetMode="External" /><Relationship Id="rId725" Type="http://schemas.openxmlformats.org/officeDocument/2006/relationships/hyperlink" Target="https://advance.lexis.com/api/document?collection=cases-ca&amp;id=urn:contentItem:5F8T-N3V1-JFKM-608K-00000-00&amp;context=" TargetMode="External" /><Relationship Id="rId726" Type="http://schemas.openxmlformats.org/officeDocument/2006/relationships/hyperlink" Target="https://advance.lexis.com/api/document?collection=cases-ca&amp;id=urn:contentItem:5F7T-S7M1-F4W2-62BH-00000-00&amp;context=" TargetMode="External" /><Relationship Id="rId727" Type="http://schemas.openxmlformats.org/officeDocument/2006/relationships/header" Target="header127.xml" /><Relationship Id="rId728" Type="http://schemas.openxmlformats.org/officeDocument/2006/relationships/header" Target="header128.xml" /><Relationship Id="rId729" Type="http://schemas.openxmlformats.org/officeDocument/2006/relationships/footer" Target="footer127.xml" /><Relationship Id="rId73" Type="http://schemas.openxmlformats.org/officeDocument/2006/relationships/hyperlink" Target="https://advance.lexis.com/api/document?collection=cases-ca&amp;id=urn:contentItem:5F7T-S7J1-JYYX-62HS-00000-00&amp;context=" TargetMode="External" /><Relationship Id="rId730" Type="http://schemas.openxmlformats.org/officeDocument/2006/relationships/footer" Target="footer128.xml" /><Relationship Id="rId731" Type="http://schemas.openxmlformats.org/officeDocument/2006/relationships/header" Target="header129.xml" /><Relationship Id="rId732" Type="http://schemas.openxmlformats.org/officeDocument/2006/relationships/footer" Target="footer129.xml" /><Relationship Id="rId733" Type="http://schemas.openxmlformats.org/officeDocument/2006/relationships/hyperlink" Target="https://advance.lexis.com/api/document?collection=cases-ca&amp;id=urn:contentItem:5R9V-XFH1-FD4T-B18V-00000-00&amp;context=" TargetMode="External" /><Relationship Id="rId734" Type="http://schemas.openxmlformats.org/officeDocument/2006/relationships/hyperlink" Target="https://advance.lexis.com/api/document?collection=cases-ca&amp;id=urn:contentItem:5GB3-MY31-JX3N-B2CM-00000-00&amp;context=" TargetMode="External" /><Relationship Id="rId735" Type="http://schemas.openxmlformats.org/officeDocument/2006/relationships/hyperlink" Target="https://advance.lexis.com/api/document?collection=cases-ca&amp;id=urn:contentItem:5HD5-ST21-F2F4-G3K8-00000-00&amp;context=" TargetMode="External" /><Relationship Id="rId736" Type="http://schemas.openxmlformats.org/officeDocument/2006/relationships/hyperlink" Target="https://advance.lexis.com/api/document?collection=cases-ca&amp;id=urn:contentItem:5F7T-S6T1-JP9P-G13M-00000-00&amp;context=" TargetMode="External" /><Relationship Id="rId737" Type="http://schemas.openxmlformats.org/officeDocument/2006/relationships/hyperlink" Target="https://advance.lexis.com/api/document?collection=cases-ca&amp;id=urn:contentItem:5R1J-31X1-F956-S171-00000-00&amp;context=" TargetMode="External" /><Relationship Id="rId738" Type="http://schemas.openxmlformats.org/officeDocument/2006/relationships/hyperlink" Target="https://advance.lexis.com/api/document?collection=cases-ca&amp;id=urn:contentItem:5F7T-S6T1-FJTD-G1PC-00000-00&amp;context=" TargetMode="External" /><Relationship Id="rId739" Type="http://schemas.openxmlformats.org/officeDocument/2006/relationships/header" Target="header130.xml" /><Relationship Id="rId74" Type="http://schemas.openxmlformats.org/officeDocument/2006/relationships/hyperlink" Target="https://advance.lexis.com/api/document?collection=cases-ca&amp;id=urn:contentItem:5F7T-S761-FGJR-2288-00000-00&amp;context=" TargetMode="External" /><Relationship Id="rId740" Type="http://schemas.openxmlformats.org/officeDocument/2006/relationships/header" Target="header131.xml" /><Relationship Id="rId741" Type="http://schemas.openxmlformats.org/officeDocument/2006/relationships/footer" Target="footer130.xml" /><Relationship Id="rId742" Type="http://schemas.openxmlformats.org/officeDocument/2006/relationships/footer" Target="footer131.xml" /><Relationship Id="rId743" Type="http://schemas.openxmlformats.org/officeDocument/2006/relationships/header" Target="header132.xml" /><Relationship Id="rId744" Type="http://schemas.openxmlformats.org/officeDocument/2006/relationships/footer" Target="footer132.xml" /><Relationship Id="rId745" Type="http://schemas.openxmlformats.org/officeDocument/2006/relationships/hyperlink" Target="https://advance.lexis.com/api/document?collection=cases-ca&amp;id=urn:contentItem:5G50-9HN1-F016-S3Y7-00000-00&amp;context=" TargetMode="External" /><Relationship Id="rId746" Type="http://schemas.openxmlformats.org/officeDocument/2006/relationships/hyperlink" Target="https://advance.lexis.com/api/document?collection=cases-ca&amp;id=urn:contentItem:5F7T-S7K1-F1H1-224T-00000-00&amp;context=" TargetMode="External" /><Relationship Id="rId747" Type="http://schemas.openxmlformats.org/officeDocument/2006/relationships/hyperlink" Target="https://advance.lexis.com/api/document?collection=cases-ca&amp;id=urn:contentItem:5F7F-5RH1-JTGH-B09V-00000-00&amp;context=" TargetMode="External" /><Relationship Id="rId748" Type="http://schemas.openxmlformats.org/officeDocument/2006/relationships/hyperlink" Target="https://advance.lexis.com/api/document?collection=cases-ca&amp;id=urn:contentItem:5F8T-N3V1-FH4C-X22W-00000-00&amp;context=" TargetMode="External" /><Relationship Id="rId749" Type="http://schemas.openxmlformats.org/officeDocument/2006/relationships/hyperlink" Target="https://advance.lexis.com/api/document?collection=cases-ca&amp;id=urn:contentItem:5F7T-S771-F81W-22M5-00000-00&amp;context=" TargetMode="External" /><Relationship Id="rId75" Type="http://schemas.openxmlformats.org/officeDocument/2006/relationships/hyperlink" Target="https://advance.lexis.com/api/document?collection=cases-ca&amp;id=urn:contentItem:5F8P-SDG1-FJDY-X1M4-00000-00&amp;context=" TargetMode="External" /><Relationship Id="rId750" Type="http://schemas.openxmlformats.org/officeDocument/2006/relationships/hyperlink" Target="https://advance.lexis.com/api/document?collection=cases-ca&amp;id=urn:contentItem:5F7V-3DG1-JJK6-S3W5-00000-00&amp;context=" TargetMode="External" /><Relationship Id="rId751" Type="http://schemas.openxmlformats.org/officeDocument/2006/relationships/header" Target="header133.xml" /><Relationship Id="rId752" Type="http://schemas.openxmlformats.org/officeDocument/2006/relationships/header" Target="header134.xml" /><Relationship Id="rId753" Type="http://schemas.openxmlformats.org/officeDocument/2006/relationships/footer" Target="footer133.xml" /><Relationship Id="rId754" Type="http://schemas.openxmlformats.org/officeDocument/2006/relationships/footer" Target="footer134.xml" /><Relationship Id="rId755" Type="http://schemas.openxmlformats.org/officeDocument/2006/relationships/header" Target="header135.xml" /><Relationship Id="rId756" Type="http://schemas.openxmlformats.org/officeDocument/2006/relationships/footer" Target="footer135.xml" /><Relationship Id="rId757" Type="http://schemas.openxmlformats.org/officeDocument/2006/relationships/hyperlink" Target="https://advance.lexis.com/api/document?collection=cases-ca&amp;id=urn:contentItem:5YCT-N0M1-F1H1-2182-00000-00&amp;context=" TargetMode="External" /><Relationship Id="rId758" Type="http://schemas.openxmlformats.org/officeDocument/2006/relationships/hyperlink" Target="https://advance.lexis.com/api/document?collection=cases-ca&amp;id=urn:contentItem:5F7T-S7N1-JGHR-M37N-00000-00&amp;context=" TargetMode="External" /><Relationship Id="rId759" Type="http://schemas.openxmlformats.org/officeDocument/2006/relationships/hyperlink" Target="https://advance.lexis.com/api/document?collection=cases-ca&amp;id=urn:contentItem:5F7T-S761-JX8W-M330-00000-00&amp;context=" TargetMode="External" /><Relationship Id="rId76" Type="http://schemas.openxmlformats.org/officeDocument/2006/relationships/header" Target="header16.xml" /><Relationship Id="rId760" Type="http://schemas.openxmlformats.org/officeDocument/2006/relationships/hyperlink" Target="https://advance.lexis.com/api/document?collection=cases-ca&amp;id=urn:contentItem:5F7T-S7J1-JGBH-B2H4-00000-00&amp;context=" TargetMode="External" /><Relationship Id="rId761" Type="http://schemas.openxmlformats.org/officeDocument/2006/relationships/hyperlink" Target="https://advance.lexis.com/api/document?collection=cases-ca&amp;id=urn:contentItem:5F7T-S7H1-F016-S42W-00000-00&amp;context=" TargetMode="External" /><Relationship Id="rId762" Type="http://schemas.openxmlformats.org/officeDocument/2006/relationships/hyperlink" Target="https://advance.lexis.com/api/document?collection=cases-ca&amp;id=urn:contentItem:5F7T-S7P1-JSJC-X1GX-00000-00&amp;context=" TargetMode="External" /><Relationship Id="rId763" Type="http://schemas.openxmlformats.org/officeDocument/2006/relationships/hyperlink" Target="https://advance.lexis.com/api/document?collection=cases-ca&amp;id=urn:contentItem:5PB2-D101-F956-S49Y-00000-00&amp;context=" TargetMode="External" /><Relationship Id="rId764" Type="http://schemas.openxmlformats.org/officeDocument/2006/relationships/hyperlink" Target="https://advance.lexis.com/api/document?collection=cases-ca&amp;id=urn:contentItem:5G68-9741-FCYK-21K0-00000-00&amp;context=" TargetMode="External" /><Relationship Id="rId765" Type="http://schemas.openxmlformats.org/officeDocument/2006/relationships/hyperlink" Target="https://advance.lexis.com/api/document?collection=cases-ca&amp;id=urn:contentItem:5F7T-S751-JNS1-M1WN-00000-00&amp;context=" TargetMode="External" /><Relationship Id="rId766" Type="http://schemas.openxmlformats.org/officeDocument/2006/relationships/hyperlink" Target="https://advance.lexis.com/api/document?collection=cases-ca&amp;id=urn:contentItem:5F8N-K751-F1P7-B511-00000-00&amp;context=" TargetMode="External" /><Relationship Id="rId767" Type="http://schemas.openxmlformats.org/officeDocument/2006/relationships/hyperlink" Target="https://advance.lexis.com/api/document?collection=cases-ca&amp;id=urn:contentItem:5F7T-S711-F4W2-61NS-00000-00&amp;context=" TargetMode="External" /><Relationship Id="rId768" Type="http://schemas.openxmlformats.org/officeDocument/2006/relationships/hyperlink" Target="https://advance.lexis.com/api/document?collection=cases-ca&amp;id=urn:contentItem:5F8T-N3V1-FC1F-M45R-00000-00&amp;context=" TargetMode="External" /><Relationship Id="rId769" Type="http://schemas.openxmlformats.org/officeDocument/2006/relationships/hyperlink" Target="https://advance.lexis.com/api/document?collection=cases-ca&amp;id=urn:contentItem:5F8P-SCS1-FBFS-S0XS-00000-00&amp;context=" TargetMode="External" /><Relationship Id="rId77" Type="http://schemas.openxmlformats.org/officeDocument/2006/relationships/header" Target="header17.xml" /><Relationship Id="rId770" Type="http://schemas.openxmlformats.org/officeDocument/2006/relationships/hyperlink" Target="https://advance.lexis.com/api/document?collection=cases-ca&amp;id=urn:contentItem:5F16-9351-JTNR-M4VG-00000-00&amp;context=" TargetMode="External" /><Relationship Id="rId771" Type="http://schemas.openxmlformats.org/officeDocument/2006/relationships/hyperlink" Target="https://advance.lexis.com/api/document?collection=cases-ca&amp;id=urn:contentItem:5F7T-S7C1-FGRY-B08R-00000-00&amp;context=" TargetMode="External" /><Relationship Id="rId772" Type="http://schemas.openxmlformats.org/officeDocument/2006/relationships/hyperlink" Target="https://advance.lexis.com/api/document?collection=cases-ca&amp;id=urn:contentItem:5F7T-S781-JC5P-G1JG-00000-00&amp;context=" TargetMode="External" /><Relationship Id="rId773" Type="http://schemas.openxmlformats.org/officeDocument/2006/relationships/hyperlink" Target="https://advance.lexis.com/api/document?collection=cases-ca&amp;id=urn:contentItem:5F7T-S6V1-JFKM-61CW-00000-00&amp;context=" TargetMode="External" /><Relationship Id="rId774" Type="http://schemas.openxmlformats.org/officeDocument/2006/relationships/hyperlink" Target="https://advance.lexis.com/api/document?collection=cases-ca&amp;id=urn:contentItem:5F7T-S711-F4W2-61JR-00000-00&amp;context=" TargetMode="External" /><Relationship Id="rId775" Type="http://schemas.openxmlformats.org/officeDocument/2006/relationships/hyperlink" Target="https://advance.lexis.com/api/document?collection=cases-ca&amp;id=urn:contentItem:5F7T-S761-FGJR-227J-00000-00&amp;context=" TargetMode="External" /><Relationship Id="rId776" Type="http://schemas.openxmlformats.org/officeDocument/2006/relationships/hyperlink" Target="https://advance.lexis.com/api/document?collection=cases-ca&amp;id=urn:contentItem:5MXP-54B1-JJD0-G4BP-00000-00&amp;context=" TargetMode="External" /><Relationship Id="rId777" Type="http://schemas.openxmlformats.org/officeDocument/2006/relationships/hyperlink" Target="https://advance.lexis.com/api/document?collection=cases-ca&amp;id=urn:contentItem:5F8T-N3V1-FC1F-M4D3-00000-00&amp;context=" TargetMode="External" /><Relationship Id="rId778" Type="http://schemas.openxmlformats.org/officeDocument/2006/relationships/header" Target="header136.xml" /><Relationship Id="rId779" Type="http://schemas.openxmlformats.org/officeDocument/2006/relationships/header" Target="header137.xml" /><Relationship Id="rId78" Type="http://schemas.openxmlformats.org/officeDocument/2006/relationships/footer" Target="footer16.xml" /><Relationship Id="rId780" Type="http://schemas.openxmlformats.org/officeDocument/2006/relationships/footer" Target="footer136.xml" /><Relationship Id="rId781" Type="http://schemas.openxmlformats.org/officeDocument/2006/relationships/footer" Target="footer137.xml" /><Relationship Id="rId782" Type="http://schemas.openxmlformats.org/officeDocument/2006/relationships/header" Target="header138.xml" /><Relationship Id="rId783" Type="http://schemas.openxmlformats.org/officeDocument/2006/relationships/footer" Target="footer138.xml" /><Relationship Id="rId784" Type="http://schemas.openxmlformats.org/officeDocument/2006/relationships/hyperlink" Target="https://advance.lexis.com/api/document?collection=cases-ca&amp;id=urn:contentItem:5YJP-WD11-F8KH-X3R8-00000-00&amp;context=" TargetMode="External" /><Relationship Id="rId785" Type="http://schemas.openxmlformats.org/officeDocument/2006/relationships/hyperlink" Target="https://advance.lexis.com/api/document?collection=cases-ca&amp;id=urn:contentItem:5X47-57X1-F57G-S36N-00000-00&amp;context=" TargetMode="External" /><Relationship Id="rId786" Type="http://schemas.openxmlformats.org/officeDocument/2006/relationships/image" Target="media/image5.jpeg" /><Relationship Id="rId787" Type="http://schemas.openxmlformats.org/officeDocument/2006/relationships/hyperlink" Target="https://advance.lexis.com/api/document?collection=cases-ca&amp;id=urn:contentItem:5WCH-7DY1-DYFH-X1D9-00000-00&amp;context=" TargetMode="External" /><Relationship Id="rId788" Type="http://schemas.openxmlformats.org/officeDocument/2006/relationships/hyperlink" Target="https://advance.lexis.com/api/document?collection=cases-ca&amp;id=urn:contentItem:5F7T-S7N1-JW09-M0WN-00000-00&amp;context=" TargetMode="External" /><Relationship Id="rId789" Type="http://schemas.openxmlformats.org/officeDocument/2006/relationships/hyperlink" Target="https://advance.lexis.com/api/document?collection=cases-ca&amp;id=urn:contentItem:5F7T-S6X1-F06F-22SH-00000-00&amp;context=" TargetMode="External" /><Relationship Id="rId79" Type="http://schemas.openxmlformats.org/officeDocument/2006/relationships/footer" Target="footer17.xml" /><Relationship Id="rId790" Type="http://schemas.openxmlformats.org/officeDocument/2006/relationships/hyperlink" Target="https://advance.lexis.com/api/document?collection=cases-ca&amp;id=urn:contentItem:5F7T-S731-F1WF-M229-00000-00&amp;context=" TargetMode="External" /><Relationship Id="rId791" Type="http://schemas.openxmlformats.org/officeDocument/2006/relationships/hyperlink" Target="https://advance.lexis.com/api/document?collection=cases-ca&amp;id=urn:contentItem:5F7T-S7H1-JS5Y-B35X-00000-00&amp;context=" TargetMode="External" /><Relationship Id="rId792" Type="http://schemas.openxmlformats.org/officeDocument/2006/relationships/hyperlink" Target="https://advance.lexis.com/api/document?collection=cases-ca&amp;id=urn:contentItem:5F7T-S7H1-JCRC-B0XG-00000-00&amp;context=" TargetMode="External" /><Relationship Id="rId793" Type="http://schemas.openxmlformats.org/officeDocument/2006/relationships/hyperlink" Target="https://advance.lexis.com/api/document?collection=cases-ca&amp;id=urn:contentItem:5F7T-S781-F27X-616N-00000-00&amp;context=" TargetMode="External" /><Relationship Id="rId794" Type="http://schemas.openxmlformats.org/officeDocument/2006/relationships/hyperlink" Target="https://advance.lexis.com/api/document?collection=cases-ca&amp;id=urn:contentItem:5G3H-VVF1-JSRM-62ND-00000-00&amp;context=" TargetMode="External" /><Relationship Id="rId795" Type="http://schemas.openxmlformats.org/officeDocument/2006/relationships/hyperlink" Target="https://advance.lexis.com/api/document?collection=cases-ca&amp;id=urn:contentItem:5F7T-S7F1-FJTD-G3B0-00000-00&amp;context=" TargetMode="External" /><Relationship Id="rId796" Type="http://schemas.openxmlformats.org/officeDocument/2006/relationships/hyperlink" Target="https://advance.lexis.com/api/document?collection=cases-ca&amp;id=urn:contentItem:5F7T-S7P1-JP4G-61VB-00000-00&amp;context=" TargetMode="External" /><Relationship Id="rId797" Type="http://schemas.openxmlformats.org/officeDocument/2006/relationships/hyperlink" Target="https://advance.lexis.com/api/document?collection=cases-ca&amp;id=urn:contentItem:5F7T-S7P1-JCRC-B24V-00000-00&amp;context=" TargetMode="External" /><Relationship Id="rId798" Type="http://schemas.openxmlformats.org/officeDocument/2006/relationships/hyperlink" Target="https://advance.lexis.com/api/document?collection=cases-ca&amp;id=urn:contentItem:5F7T-S7D1-F7ND-G0FW-00000-00&amp;context=" TargetMode="External" /><Relationship Id="rId799" Type="http://schemas.openxmlformats.org/officeDocument/2006/relationships/hyperlink" Target="https://advance.lexis.com/api/document?collection=cases-ca&amp;id=urn:contentItem:5NM4-BM61-F57G-S4P7-00000-00&amp;context=" TargetMode="External" /><Relationship Id="rId8" Type="http://schemas.openxmlformats.org/officeDocument/2006/relationships/header" Target="header3.xml" /><Relationship Id="rId80" Type="http://schemas.openxmlformats.org/officeDocument/2006/relationships/header" Target="header18.xml" /><Relationship Id="rId800" Type="http://schemas.openxmlformats.org/officeDocument/2006/relationships/header" Target="header139.xml" /><Relationship Id="rId801" Type="http://schemas.openxmlformats.org/officeDocument/2006/relationships/header" Target="header140.xml" /><Relationship Id="rId802" Type="http://schemas.openxmlformats.org/officeDocument/2006/relationships/footer" Target="footer139.xml" /><Relationship Id="rId803" Type="http://schemas.openxmlformats.org/officeDocument/2006/relationships/footer" Target="footer140.xml" /><Relationship Id="rId804" Type="http://schemas.openxmlformats.org/officeDocument/2006/relationships/header" Target="header141.xml" /><Relationship Id="rId805" Type="http://schemas.openxmlformats.org/officeDocument/2006/relationships/footer" Target="footer141.xml" /><Relationship Id="rId806" Type="http://schemas.openxmlformats.org/officeDocument/2006/relationships/hyperlink" Target="https://advance.lexis.com/api/document?collection=cases-ca&amp;id=urn:contentItem:5V08-WF31-JWR6-S2K9-00000-00&amp;context=" TargetMode="External" /><Relationship Id="rId807" Type="http://schemas.openxmlformats.org/officeDocument/2006/relationships/hyperlink" Target="https://advance.lexis.com/api/document?collection=cases-ca&amp;id=urn:contentItem:5F7T-S7K1-DY33-B1GF-00000-00&amp;context=" TargetMode="External" /><Relationship Id="rId808" Type="http://schemas.openxmlformats.org/officeDocument/2006/relationships/header" Target="header142.xml" /><Relationship Id="rId809" Type="http://schemas.openxmlformats.org/officeDocument/2006/relationships/header" Target="header143.xml" /><Relationship Id="rId81" Type="http://schemas.openxmlformats.org/officeDocument/2006/relationships/footer" Target="footer18.xml" /><Relationship Id="rId810" Type="http://schemas.openxmlformats.org/officeDocument/2006/relationships/footer" Target="footer142.xml" /><Relationship Id="rId811" Type="http://schemas.openxmlformats.org/officeDocument/2006/relationships/footer" Target="footer143.xml" /><Relationship Id="rId812" Type="http://schemas.openxmlformats.org/officeDocument/2006/relationships/header" Target="header144.xml" /><Relationship Id="rId813" Type="http://schemas.openxmlformats.org/officeDocument/2006/relationships/footer" Target="footer144.xml" /><Relationship Id="rId814" Type="http://schemas.openxmlformats.org/officeDocument/2006/relationships/hyperlink" Target="https://advance.lexis.com/api/document?collection=cases-ca&amp;id=urn:contentItem:5F7T-S7C1-F7VM-S3G7-00000-00&amp;context=" TargetMode="External" /><Relationship Id="rId815" Type="http://schemas.openxmlformats.org/officeDocument/2006/relationships/header" Target="header145.xml" /><Relationship Id="rId816" Type="http://schemas.openxmlformats.org/officeDocument/2006/relationships/header" Target="header146.xml" /><Relationship Id="rId817" Type="http://schemas.openxmlformats.org/officeDocument/2006/relationships/footer" Target="footer145.xml" /><Relationship Id="rId818" Type="http://schemas.openxmlformats.org/officeDocument/2006/relationships/footer" Target="footer146.xml" /><Relationship Id="rId819" Type="http://schemas.openxmlformats.org/officeDocument/2006/relationships/header" Target="header147.xml" /><Relationship Id="rId82" Type="http://schemas.openxmlformats.org/officeDocument/2006/relationships/hyperlink" Target="https://advance.lexis.com/api/document?collection=cases-ca&amp;id=urn:contentItem:5F7T-S7N1-JC5P-G2D7-00000-00&amp;context=" TargetMode="External" /><Relationship Id="rId820" Type="http://schemas.openxmlformats.org/officeDocument/2006/relationships/footer" Target="footer147.xml" /><Relationship Id="rId821" Type="http://schemas.openxmlformats.org/officeDocument/2006/relationships/hyperlink" Target="https://advance.lexis.com/api/document?collection=cases-ca&amp;id=urn:contentItem:5F7T-S7F1-FJTD-G3HS-00000-00&amp;context=" TargetMode="External" /><Relationship Id="rId822" Type="http://schemas.openxmlformats.org/officeDocument/2006/relationships/hyperlink" Target="https://advance.lexis.com/api/document?collection=cases-ca&amp;id=urn:contentItem:5F81-VJT1-JK4W-M45X-00000-00&amp;context=" TargetMode="External" /><Relationship Id="rId823" Type="http://schemas.openxmlformats.org/officeDocument/2006/relationships/hyperlink" Target="https://advance.lexis.com/api/document?collection=cases-ca&amp;id=urn:contentItem:5F8T-N3R1-JJSF-22W3-00000-00&amp;context=" TargetMode="External" /><Relationship Id="rId824" Type="http://schemas.openxmlformats.org/officeDocument/2006/relationships/hyperlink" Target="https://advance.lexis.com/api/document?collection=cases-ca&amp;id=urn:contentItem:5F7T-S711-F4W2-61NY-00000-00&amp;context=" TargetMode="External" /><Relationship Id="rId825" Type="http://schemas.openxmlformats.org/officeDocument/2006/relationships/hyperlink" Target="https://advance.lexis.com/api/document?collection=cases-ca&amp;id=urn:contentItem:5F7T-S7C1-JCJ5-20R2-00000-00&amp;context=" TargetMode="External" /><Relationship Id="rId826" Type="http://schemas.openxmlformats.org/officeDocument/2006/relationships/hyperlink" Target="https://advance.lexis.com/api/document?collection=cases-ca&amp;id=urn:contentItem:5F7T-S741-F1H1-21VV-00000-00&amp;context=" TargetMode="External" /><Relationship Id="rId827" Type="http://schemas.openxmlformats.org/officeDocument/2006/relationships/hyperlink" Target="https://advance.lexis.com/api/document?collection=cases-ca&amp;id=urn:contentItem:5F7T-S711-JC0G-62M6-00000-00&amp;context=" TargetMode="External" /><Relationship Id="rId828" Type="http://schemas.openxmlformats.org/officeDocument/2006/relationships/hyperlink" Target="https://advance.lexis.com/api/document?collection=cases-ca&amp;id=urn:contentItem:5F8P-SDD1-JFSV-G3CW-00000-00&amp;context=" TargetMode="External" /><Relationship Id="rId829" Type="http://schemas.openxmlformats.org/officeDocument/2006/relationships/hyperlink" Target="https://advance.lexis.com/api/document?collection=cases-ca&amp;id=urn:contentItem:5F7T-S761-FFMK-M15Y-00000-00&amp;context=" TargetMode="External" /><Relationship Id="rId83" Type="http://schemas.openxmlformats.org/officeDocument/2006/relationships/hyperlink" Target="https://advance.lexis.com/api/document?collection=cases-ca&amp;id=urn:contentItem:5F7T-S7N1-F57G-S2D6-00000-00&amp;context=" TargetMode="External" /><Relationship Id="rId830" Type="http://schemas.openxmlformats.org/officeDocument/2006/relationships/hyperlink" Target="https://advance.lexis.com/api/document?collection=cases-ca&amp;id=urn:contentItem:5F16-9351-JP9P-G3CX-00000-00&amp;context=" TargetMode="External" /><Relationship Id="rId831" Type="http://schemas.openxmlformats.org/officeDocument/2006/relationships/hyperlink" Target="https://advance.lexis.com/api/document?collection=cases-ca&amp;id=urn:contentItem:5F8T-N3V1-FC1F-M488-00000-00&amp;context=" TargetMode="External" /><Relationship Id="rId832" Type="http://schemas.openxmlformats.org/officeDocument/2006/relationships/hyperlink" Target="https://advance.lexis.com/api/document?collection=cases-ca&amp;id=urn:contentItem:5F7T-S7C1-FCSB-S2J6-00000-00&amp;context=" TargetMode="External" /><Relationship Id="rId833" Type="http://schemas.openxmlformats.org/officeDocument/2006/relationships/header" Target="header148.xml" /><Relationship Id="rId834" Type="http://schemas.openxmlformats.org/officeDocument/2006/relationships/header" Target="header149.xml" /><Relationship Id="rId835" Type="http://schemas.openxmlformats.org/officeDocument/2006/relationships/footer" Target="footer148.xml" /><Relationship Id="rId836" Type="http://schemas.openxmlformats.org/officeDocument/2006/relationships/footer" Target="footer149.xml" /><Relationship Id="rId837" Type="http://schemas.openxmlformats.org/officeDocument/2006/relationships/header" Target="header150.xml" /><Relationship Id="rId838" Type="http://schemas.openxmlformats.org/officeDocument/2006/relationships/footer" Target="footer150.xml" /><Relationship Id="rId839" Type="http://schemas.openxmlformats.org/officeDocument/2006/relationships/hyperlink" Target="https://advance.lexis.com/api/document?collection=cases-ca&amp;id=urn:contentItem:5F7T-S7F1-JBT7-X2YH-00000-00&amp;context=" TargetMode="External" /><Relationship Id="rId84" Type="http://schemas.openxmlformats.org/officeDocument/2006/relationships/hyperlink" Target="https://advance.lexis.com/api/document?collection=cases-ca&amp;id=urn:contentItem:5F7T-S7M1-JNCK-22KT-00000-00&amp;context=" TargetMode="External" /><Relationship Id="rId840" Type="http://schemas.openxmlformats.org/officeDocument/2006/relationships/hyperlink" Target="https://advance.lexis.com/api/document?collection=cases-ca&amp;id=urn:contentItem:5F7T-S701-JF75-M4N8-00000-00&amp;context=" TargetMode="External" /><Relationship Id="rId841" Type="http://schemas.openxmlformats.org/officeDocument/2006/relationships/hyperlink" Target="https://advance.lexis.com/api/document?collection=cases-ca&amp;id=urn:contentItem:5F7T-S711-F5KY-B0TT-00000-00&amp;context=" TargetMode="External" /><Relationship Id="rId842" Type="http://schemas.openxmlformats.org/officeDocument/2006/relationships/hyperlink" Target="https://advance.lexis.com/api/document?collection=cases-ca&amp;id=urn:contentItem:5F7T-S721-F956-S1JD-00000-00&amp;context=" TargetMode="External" /><Relationship Id="rId843" Type="http://schemas.openxmlformats.org/officeDocument/2006/relationships/hyperlink" Target="https://advance.lexis.com/api/document?collection=cases-ca&amp;id=urn:contentItem:5F7T-S781-F7G6-63NS-00000-00&amp;context=" TargetMode="External" /><Relationship Id="rId844" Type="http://schemas.openxmlformats.org/officeDocument/2006/relationships/hyperlink" Target="https://advance.lexis.com/api/document?collection=cases-ca&amp;id=urn:contentItem:5F7T-S771-JW5H-X1SX-00000-00&amp;context=" TargetMode="External" /><Relationship Id="rId845" Type="http://schemas.openxmlformats.org/officeDocument/2006/relationships/hyperlink" Target="https://advance.lexis.com/api/document?collection=cases-ca&amp;id=urn:contentItem:5F7T-S751-JBM1-M2DR-00000-00&amp;context=" TargetMode="External" /><Relationship Id="rId846" Type="http://schemas.openxmlformats.org/officeDocument/2006/relationships/hyperlink" Target="https://advance.lexis.com/api/document?collection=cases-ca&amp;id=urn:contentItem:5F7T-S721-F5T5-M23T-00000-00&amp;context=" TargetMode="External" /><Relationship Id="rId847" Type="http://schemas.openxmlformats.org/officeDocument/2006/relationships/numbering" Target="numbering.xml" /><Relationship Id="rId848" Type="http://schemas.openxmlformats.org/officeDocument/2006/relationships/styles" Target="styles.xml" /><Relationship Id="rId85" Type="http://schemas.openxmlformats.org/officeDocument/2006/relationships/hyperlink" Target="https://advance.lexis.com/api/document?collection=cases-ca&amp;id=urn:contentItem:5F7T-S781-F7G6-63BD-00000-00&amp;context=" TargetMode="External" /><Relationship Id="rId86" Type="http://schemas.openxmlformats.org/officeDocument/2006/relationships/hyperlink" Target="https://advance.lexis.com/api/document?collection=cases-ca&amp;id=urn:contentItem:5F7T-S6T1-FJTD-G17V-00000-00&amp;context=" TargetMode="External" /><Relationship Id="rId87" Type="http://schemas.openxmlformats.org/officeDocument/2006/relationships/header" Target="header19.xml" /><Relationship Id="rId88" Type="http://schemas.openxmlformats.org/officeDocument/2006/relationships/header" Target="header20.xml" /><Relationship Id="rId89" Type="http://schemas.openxmlformats.org/officeDocument/2006/relationships/footer" Target="footer19.xml" /><Relationship Id="rId9" Type="http://schemas.openxmlformats.org/officeDocument/2006/relationships/footer" Target="footer3.xml" /><Relationship Id="rId90" Type="http://schemas.openxmlformats.org/officeDocument/2006/relationships/footer" Target="footer20.xml" /><Relationship Id="rId91" Type="http://schemas.openxmlformats.org/officeDocument/2006/relationships/header" Target="header21.xml" /><Relationship Id="rId92" Type="http://schemas.openxmlformats.org/officeDocument/2006/relationships/footer" Target="footer21.xml" /><Relationship Id="rId93" Type="http://schemas.openxmlformats.org/officeDocument/2006/relationships/hyperlink" Target="https://advance.lexis.com/api/document?collection=cases-ca&amp;id=urn:contentItem:5XM3-CN81-DYMS-61S4-00000-00&amp;context=" TargetMode="External" /><Relationship Id="rId94" Type="http://schemas.openxmlformats.org/officeDocument/2006/relationships/hyperlink" Target="https://advance.lexis.com/api/document?collection=cases-ca&amp;id=urn:contentItem:5F7T-S7F1-DXWW-23PX-00000-00&amp;context=" TargetMode="External" /><Relationship Id="rId95" Type="http://schemas.openxmlformats.org/officeDocument/2006/relationships/hyperlink" Target="https://advance.lexis.com/api/document?collection=cases-ca&amp;id=urn:contentItem:5F7T-S7F1-FBN1-21G0-00000-00&amp;context=" TargetMode="External" /><Relationship Id="rId96" Type="http://schemas.openxmlformats.org/officeDocument/2006/relationships/hyperlink" Target="https://advance.lexis.com/api/document?collection=cases-ca&amp;id=urn:contentItem:5F7T-S7N1-JGHR-M382-00000-00&amp;context=" TargetMode="External" /><Relationship Id="rId97" Type="http://schemas.openxmlformats.org/officeDocument/2006/relationships/header" Target="header22.xml" /><Relationship Id="rId98" Type="http://schemas.openxmlformats.org/officeDocument/2006/relationships/header" Target="header23.xml" /><Relationship Id="rId99" Type="http://schemas.openxmlformats.org/officeDocument/2006/relationships/footer" Target="footer2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 v. Wong, [2004] B.C.J. No. 3028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115053271</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